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8F58F7">
      <w:pPr>
        <w:pStyle w:val="88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Política de Uso Razoável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739A6E3C">
      <w:pPr>
        <w:pBdr/>
        <w:spacing/>
        <w:ind/>
        <w:rPr/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/>
    </w:p>
    <w:p w14:paraId="14A06402">
      <w:pPr>
        <w:pBdr/>
        <w:spacing/>
        <w:ind/>
        <w:rPr/>
      </w:pPr>
      <w:r/>
      <w:r/>
    </w:p>
    <w:p w14:paraId="5A078CDF">
      <w:pPr>
        <w:pBdr/>
        <w:spacing/>
        <w:ind/>
        <w:rPr/>
      </w:pPr>
      <w:r>
        <w:t xml:space="preserve">1. Objetivos e Princípios</w:t>
      </w:r>
      <w:r/>
    </w:p>
    <w:p w14:paraId="5F9FC622">
      <w:pPr>
        <w:pBdr/>
        <w:spacing/>
        <w:ind/>
        <w:rPr/>
      </w:pPr>
      <w:r/>
      <w:r/>
    </w:p>
    <w:p w14:paraId="596E25B9">
      <w:pPr>
        <w:pBdr/>
        <w:spacing/>
        <w:ind/>
        <w:rPr/>
      </w:pPr>
      <w:r>
        <w:t xml:space="preserve">- Garantir o uso justo e estável dos recursos de rede para todos os usuários e evitar que abusos individuais afetem a qualidade geral do serviço.</w:t>
      </w:r>
      <w:r/>
    </w:p>
    <w:p w14:paraId="03A97D0A">
      <w:pPr>
        <w:pBdr/>
        <w:spacing/>
        <w:ind/>
        <w:rPr/>
      </w:pPr>
      <w:r/>
      <w:r/>
    </w:p>
    <w:p w14:paraId="47E5963A">
      <w:pPr>
        <w:pBdr/>
        <w:spacing/>
        <w:ind/>
        <w:rPr/>
      </w:pPr>
      <w:r>
        <w:t xml:space="preserve">2. Requisitos de Uso Razoável</w:t>
      </w:r>
      <w:r/>
    </w:p>
    <w:p w14:paraId="439A0C0F">
      <w:pPr>
        <w:pBdr/>
        <w:spacing/>
        <w:ind/>
        <w:rPr/>
      </w:pPr>
      <w:r/>
      <w:r/>
    </w:p>
    <w:p w14:paraId="64EA39C1">
      <w:pPr>
        <w:pBdr/>
        <w:spacing/>
        <w:ind/>
        <w:rPr/>
      </w:pPr>
      <w:r>
        <w:t xml:space="preserve">- Cumprir as diretrizes de uso da rede da operadora; manipulação maliciosa de dados, solicitações automatizadas em lote, imitação ou burla das restrições do sistema são proibidas.</w:t>
      </w:r>
      <w:r/>
    </w:p>
    <w:p w14:paraId="00CD9E4F">
      <w:pPr>
        <w:pBdr/>
        <w:spacing/>
        <w:ind/>
        <w:rPr/>
      </w:pPr>
      <w:r/>
      <w:r/>
    </w:p>
    <w:p w14:paraId="06A958C5">
      <w:pPr>
        <w:pBdr/>
        <w:spacing/>
        <w:ind/>
        <w:rPr/>
      </w:pPr>
      <w:r>
        <w:t xml:space="preserve">- Os planos de dados pessoais não devem ser usados ​​para revenda comercial ou compartilhados com usuários não especificados; a instalação forçada ou a reutilização em dispositivos ou ambientes não suportados são proibidas.</w:t>
      </w:r>
      <w:r/>
    </w:p>
    <w:p w14:paraId="5F1E35B2">
      <w:pPr>
        <w:pBdr/>
        <w:spacing/>
        <w:ind/>
        <w:rPr/>
      </w:pPr>
      <w:r/>
      <w:r/>
    </w:p>
    <w:p w14:paraId="135F1C95">
      <w:pPr>
        <w:pBdr/>
        <w:spacing/>
        <w:ind/>
        <w:rPr/>
      </w:pPr>
      <w:r>
        <w:t xml:space="preserve">- O uso transfronteiriço deve estar em conformidade com as leis, regulamentos e políticas de roaming locais; o roaming de dados ou a seleção manual de rede podem ser necessários.</w:t>
      </w:r>
      <w:r/>
    </w:p>
    <w:p w14:paraId="78850969">
      <w:pPr>
        <w:pBdr/>
        <w:spacing/>
        <w:ind/>
        <w:rPr/>
      </w:pPr>
      <w:r/>
      <w:r/>
    </w:p>
    <w:p w14:paraId="259B119C">
      <w:pPr>
        <w:pBdr/>
        <w:spacing/>
        <w:ind/>
        <w:rPr/>
      </w:pPr>
      <w:r>
        <w:t xml:space="preserve">3. Recursos e Limites</w:t>
      </w:r>
      <w:r/>
    </w:p>
    <w:p w14:paraId="7F16F744">
      <w:pPr>
        <w:pBdr/>
        <w:spacing/>
        <w:ind/>
        <w:rPr/>
      </w:pPr>
      <w:r/>
      <w:r/>
    </w:p>
    <w:p w14:paraId="1A220D81">
      <w:pPr>
        <w:pBdr/>
        <w:spacing/>
        <w:ind/>
        <w:rPr/>
      </w:pPr>
      <w:r>
        <w:t xml:space="preserve">- Os limites de dados e os períodos de validade do plano são baseados na confirmação do pedido e no feedback dos fornecedores; o serviço será suspenso ao atingir o limite ou expirar.</w:t>
      </w:r>
      <w:r/>
    </w:p>
    <w:p w14:paraId="2E635096">
      <w:pPr>
        <w:pBdr/>
        <w:spacing/>
        <w:ind/>
        <w:rPr/>
      </w:pPr>
      <w:r/>
      <w:r/>
    </w:p>
    <w:p w14:paraId="59D03CDB">
      <w:pPr>
        <w:pBdr/>
        <w:spacing/>
        <w:ind/>
        <w:rPr/>
      </w:pPr>
      <w:r>
        <w:t xml:space="preserve">- O uso exibido é apenas para referência e pode estar sujeito a atrasos na coleta ou sincronização.</w:t>
      </w:r>
      <w:r/>
    </w:p>
    <w:p w14:paraId="21095BAD">
      <w:pPr>
        <w:pBdr/>
        <w:spacing/>
        <w:ind/>
        <w:rPr/>
      </w:pPr>
      <w:r/>
      <w:r/>
    </w:p>
    <w:p w14:paraId="6C030329">
      <w:pPr>
        <w:pBdr/>
        <w:spacing/>
        <w:ind/>
        <w:rPr/>
      </w:pPr>
      <w:r>
        <w:t xml:space="preserve">4. Violações e Tratamento</w:t>
      </w:r>
      <w:r/>
    </w:p>
    <w:p w14:paraId="37178CF4">
      <w:pPr>
        <w:pBdr/>
        <w:spacing/>
        <w:ind/>
        <w:rPr/>
      </w:pPr>
      <w:r/>
      <w:r/>
    </w:p>
    <w:p w14:paraId="10CD2F97">
      <w:pPr>
        <w:pBdr/>
        <w:spacing/>
        <w:ind/>
        <w:rPr/>
      </w:pPr>
      <w:r>
        <w:t xml:space="preserve">- Em casos de violações ou comportamentos que afetem a estabilidade do serviço, poderemos tomar medidas restritivas (como suspender a exibição, recusar reembolsos ou encerrar sessões) e cooperaremos com as partes relevantes em investigações, quando necessár</w:t>
      </w:r>
      <w:r>
        <w:t xml:space="preserve">io.</w:t>
      </w:r>
      <w:r/>
    </w:p>
    <w:p w14:paraId="420A40CB">
      <w:pPr>
        <w:pBdr/>
        <w:spacing/>
        <w:ind/>
        <w:rPr/>
      </w:pPr>
      <w:r/>
      <w:r/>
    </w:p>
    <w:p w14:paraId="65308F0F">
      <w:pPr>
        <w:pBdr/>
        <w:spacing/>
        <w:ind/>
        <w:rPr/>
      </w:pPr>
      <w:r>
        <w:t xml:space="preserve">Caso discorde da decisão, você poderá apresentar uma justificativa e recurso por meio dos canais de atendimento ao cliente, e nós o analisaremos.</w:t>
      </w:r>
      <w:r/>
      <w:r/>
      <w:r/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F7B3BAB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F6DE7EF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9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1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1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1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1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1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91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91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91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91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2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4">
    <w:name w:val="Header"/>
    <w:basedOn w:val="888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Header Char"/>
    <w:basedOn w:val="891"/>
    <w:link w:val="864"/>
    <w:uiPriority w:val="99"/>
    <w:pPr>
      <w:pBdr/>
      <w:spacing/>
      <w:ind/>
    </w:pPr>
  </w:style>
  <w:style w:type="paragraph" w:styleId="866">
    <w:name w:val="Footer"/>
    <w:basedOn w:val="88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Footer Char"/>
    <w:basedOn w:val="891"/>
    <w:link w:val="866"/>
    <w:uiPriority w:val="99"/>
    <w:pPr>
      <w:pBdr/>
      <w:spacing/>
      <w:ind/>
    </w:pPr>
  </w:style>
  <w:style w:type="paragraph" w:styleId="86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91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9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9">
    <w:name w:val="Heading 1"/>
    <w:basedOn w:val="888"/>
    <w:next w:val="888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0">
    <w:name w:val="Heading 3"/>
    <w:basedOn w:val="888"/>
    <w:next w:val="888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1" w:default="1">
    <w:name w:val="Default Paragraph Font"/>
    <w:uiPriority w:val="0"/>
    <w:semiHidden/>
    <w:pPr>
      <w:pBdr/>
      <w:spacing/>
      <w:ind/>
    </w:pPr>
  </w:style>
  <w:style w:type="table" w:styleId="892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Normal (Web)"/>
    <w:basedOn w:val="888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4">
    <w:name w:val="Strong"/>
    <w:basedOn w:val="891"/>
    <w:uiPriority w:val="0"/>
    <w:qFormat/>
    <w:pPr>
      <w:pBdr/>
      <w:spacing/>
      <w:ind/>
    </w:pPr>
    <w:rPr>
      <w:b/>
    </w:rPr>
  </w:style>
  <w:style w:type="character" w:styleId="895">
    <w:name w:val="Hyperlink"/>
    <w:basedOn w:val="891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2025-07-30T16:14:00Z</dcterms:created>
  <dcterms:modified xsi:type="dcterms:W3CDTF">2025-12-10T05:48:01Z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