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AD136ED">
      <w:pPr>
        <w:pStyle w:val="902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0" w:before="0" w:beforeAutospacing="0"/>
        <w:ind w:right="0" w:left="0"/>
        <w:rPr>
          <w:rFonts w:hint="default" w:ascii="sans-serif" w:hAnsi="sans-serif" w:eastAsia="sans-serif" w:cs="sans-serif"/>
          <w:b/>
          <w:bCs/>
        </w:rPr>
      </w:pPr>
      <w:r>
        <w:rPr>
          <w:rFonts w:hint="default" w:ascii="sans-serif" w:hAnsi="sans-serif" w:eastAsia="sans-serif" w:cs="sans-serif"/>
          <w:b/>
          <w:bCs/>
        </w:rPr>
      </w:r>
      <w:r>
        <w:rPr>
          <w:rFonts w:hint="default" w:ascii="sans-serif" w:hAnsi="sans-serif" w:eastAsia="sans-serif" w:cs="sans-serif"/>
          <w:b/>
          <w:bCs/>
        </w:rPr>
        <w:t xml:space="preserve">Privacy Policy</w:t>
      </w:r>
      <w:r>
        <w:rPr>
          <w:rFonts w:hint="default" w:ascii="sans-serif" w:hAnsi="sans-serif" w:eastAsia="sans-serif" w:cs="sans-serif"/>
          <w:b/>
          <w:bCs/>
        </w:rPr>
      </w:r>
      <w:r>
        <w:rPr>
          <w:rFonts w:hint="default" w:ascii="sans-serif" w:hAnsi="sans-serif" w:eastAsia="sans-serif" w:cs="sans-serif"/>
          <w:b/>
          <w:bCs/>
        </w:rPr>
      </w:r>
    </w:p>
    <w:p w14:paraId="0AB93EC0">
      <w:pPr>
        <w:pBdr/>
        <w:spacing/>
        <w:ind/>
        <w:rPr>
          <w:rFonts w:ascii="Arial" w:hAnsi="Arial" w:eastAsia="Arial" w:cs="Arial"/>
          <w:b w:val="0"/>
          <w:bCs w:val="0"/>
          <w:sz w:val="21"/>
          <w:szCs w:val="21"/>
        </w:rPr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>
        <w:rPr>
          <w:rFonts w:ascii="Arial" w:hAnsi="Arial" w:eastAsia="Arial" w:cs="Arial"/>
          <w:b w:val="0"/>
          <w:bCs w:val="0"/>
          <w:sz w:val="21"/>
          <w:szCs w:val="21"/>
        </w:rPr>
      </w:r>
      <w:r>
        <w:rPr>
          <w:rFonts w:ascii="Arial" w:hAnsi="Arial" w:eastAsia="Arial" w:cs="Arial"/>
          <w:b w:val="0"/>
          <w:bCs w:val="0"/>
          <w:sz w:val="21"/>
          <w:szCs w:val="21"/>
        </w:rPr>
      </w:r>
    </w:p>
    <w:p w14:paraId="4138E0D2">
      <w:pPr>
        <w:pBdr/>
        <w:spacing/>
        <w:ind/>
        <w:rPr>
          <w:rFonts w:ascii="Arial" w:hAnsi="Arial" w:eastAsia="Arial" w:cs="Arial"/>
          <w:b w:val="0"/>
          <w:bCs w:val="0"/>
          <w:sz w:val="21"/>
          <w:szCs w:val="21"/>
        </w:rPr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71956941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1. Introduction</w:t>
      </w:r>
      <w:r/>
    </w:p>
    <w:p w14:paraId="2B3F7737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714E3257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This Privacy Policy explains how we collect, use, share, and protect your information when providing the iOS app "eSIM Home".</w:t>
      </w:r>
      <w:r/>
    </w:p>
    <w:p w14:paraId="1468909C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20742C8A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In case of any discrepancy between this policy and the product's "Terms of Use", "General Terms", "Fair Use Policy", or "Cookie Policy", the stricter one shall prevail.</w:t>
      </w:r>
      <w:r/>
    </w:p>
    <w:p w14:paraId="6C432BB0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1692BBB5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2. Information We Collect</w:t>
      </w:r>
      <w:r/>
    </w:p>
    <w:p w14:paraId="62DBB730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0A14E6FC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Account Information: Name, Last Name (optional), Email (optional), Apple Sign-in ID (used only for account identification).</w:t>
      </w:r>
      <w:r/>
    </w:p>
    <w:p w14:paraId="6E68110D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7F97DE37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Security Credentials: Password hash (not stored in plaintext), Access Token (JWT), Refresh Token hash, Session Expiration and Revocation Flags.</w:t>
      </w:r>
      <w:r/>
    </w:p>
    <w:p w14:paraId="6B83A5F4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2AA0487D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Personal Preferences: Language code, Currency code, Country code (2 digits), used only for interface and price display.</w:t>
      </w:r>
      <w:r/>
    </w:p>
    <w:p w14:paraId="5423DB2A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641FF035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Orders and Usage: Order number, amount, currency, status, (if any) upstream order ID; usage data (such as data remaining, expiration time, status) comes from the upstream interface.</w:t>
      </w:r>
      <w:r/>
    </w:p>
    <w:p w14:paraId="3C8A0919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45B2203A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Recent Searches: Search categories associated with the user ID, Entity ID (country/region/package), title snapshot, number of hits, and timestamp, used to improve the search experience.</w:t>
      </w:r>
      <w:r/>
    </w:p>
    <w:p w14:paraId="485AB562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01BCBF18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Payment-related identifiers (third-party payment gateway): In the Gsalary process, the access_token/refresh_token issued by the gateway and its expiration time are saved for initiating payment and status queries; card numbers or CVVs are not saved.</w:t>
      </w:r>
      <w:r/>
    </w:p>
    <w:p w14:paraId="7F24DF6D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77209013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Verification and reset: 4-digit verification code hash, purpose, and expiration information for registration/email change; password reset token hash and expiration time.</w:t>
      </w:r>
      <w:r/>
    </w:p>
    <w:p w14:paraId="7605F7FC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0680320F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3. How we use information</w:t>
      </w:r>
      <w:r/>
    </w:p>
    <w:p w14:paraId="7780760E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24DB83AB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Providing and maintaining services: Account login and maintenance, order creation and query, installation information display and usage display, refunds and customer support.</w:t>
      </w:r>
      <w:r/>
    </w:p>
    <w:p w14:paraId="114B9084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693AB0B9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Security and risk control: Verifying credentials, maintaining sessions and tokens, recording key operations (such as audit logs for account deletion).</w:t>
      </w:r>
      <w:r/>
    </w:p>
    <w:p w14:paraId="616DB032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7A0301E4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Notifications and emails: When the email gateway is enabled, a password reset link and registration/email change verification code are sent.</w:t>
      </w:r>
      <w:r/>
    </w:p>
    <w:p w14:paraId="7BBCA2C1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2C8A555A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Payment and settlement: Interacting with the payment gateway to generate payment sessions and polling payment status; complete card numbers or CVVs are not saved.</w:t>
      </w:r>
      <w:r/>
    </w:p>
    <w:p w14:paraId="6760FC60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4748F019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Product Improvement (Optional Switch): Sends anonymous events or error diagnostic data to Firebase Analytics/Crashlytics only when you actively enable "Allow Anonymous Use of Statistics" or "Allow Diagnostics and Crash Logs"; off by default, can be change</w:t>
      </w: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d at any time in "Personal Profile &gt; Settings".</w:t>
      </w:r>
      <w:r/>
    </w:p>
    <w:p w14:paraId="4B2841D6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7BD86DEF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4. Sharing and Third Parties</w:t>
      </w:r>
      <w:r/>
    </w:p>
    <w:p w14:paraId="7236A985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0F48720D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eSIM Providers and Payment Gateways: To complete orders and payments, we share order references, email snapshots (for lookup and filtering), and payment identifiers as necessary; payment queries may return masked information such as card brand and last fo</w:t>
      </w: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ur digits.</w:t>
      </w:r>
      <w:r/>
    </w:p>
    <w:p w14:paraId="60A7093B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6B1B0D09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Email Service: Uses email service to send verification codes and reset links when enabled; handles recipient addresses, subjects, and content.</w:t>
      </w:r>
      <w:r/>
    </w:p>
    <w:p w14:paraId="08753007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4640BC4A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Analytics and Crash Diagnostics: Sends anonymous events and crash logs (which may include device model, system version, application version, and page events) only when enabled.</w:t>
      </w:r>
      <w:r/>
    </w:p>
    <w:p w14:paraId="789F646D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639CC1BA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5. Cookies, Local Storage, and Mobile Settings</w:t>
      </w:r>
      <w:r/>
    </w:p>
    <w:p w14:paraId="0801AA26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2615FB9B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The iOS app uses local UserDefaults to store language, currency, and statistics/crash switch settings, and does not use browser cookies.</w:t>
      </w:r>
      <w:r/>
    </w:p>
    <w:p w14:paraId="5B6F39EA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1D1AB7C0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The Web Help Center page may record the language selection in the browser's localStorage. This is only for display purposes and not for cross-site tracking.</w:t>
      </w:r>
      <w:r/>
    </w:p>
    <w:p w14:paraId="72008A68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5258B97A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6. Data Retention and Deletion</w:t>
      </w:r>
      <w:r/>
    </w:p>
    <w:p w14:paraId="75B722AB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0FF15850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The above data is retained during the account's active period to provide services.</w:t>
      </w:r>
      <w:r/>
    </w:p>
    <w:p w14:paraId="04344BFC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4E5E908B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When deleting an account: clears the session and refreshes the token, and deletes the user record; retains order records but de-identifies them (removes them from the user_id) to meet compliance and reconciliation requirements; a deletion log is recorded </w:t>
      </w: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before deletion (including the user_id at the time of deletion, email snapshot, reason and explanation, and timestamp).</w:t>
      </w:r>
      <w:r/>
    </w:p>
    <w:p w14:paraId="3CEF32ED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41F03B66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Email verification codes and reset tokens automatically expire upon expiration; payment gateway tokens are managed according to their respective expiration dates.</w:t>
      </w:r>
      <w:r/>
    </w:p>
    <w:p w14:paraId="2D05D1A0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2BD7CD8E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7. Your Rights</w:t>
      </w:r>
      <w:r/>
    </w:p>
    <w:p w14:paraId="1F070233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5C2712CB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Access and Correction: View and update your name, language, currency, country, etc., through the "Personal Profile" and settings pages.</w:t>
      </w:r>
      <w:r/>
    </w:p>
    <w:p w14:paraId="5C00EB47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19291B32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Change Email: Requires verification of the current password and verification via email verification code.</w:t>
      </w:r>
      <w:r/>
    </w:p>
    <w:p w14:paraId="04A05783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3058B25B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Set and Reset Password: Supports initial setting and reset processes (reset link may be sent via email).</w:t>
      </w:r>
      <w:r/>
    </w:p>
    <w:p w14:paraId="7BBC769E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0CC3DC8E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Delete Account: Triggered within the application; if a password has been set, the current password must be verified; after deletion, orders are retained but decoupled from the account.</w:t>
      </w:r>
      <w:r/>
    </w:p>
    <w:p w14:paraId="26B835A3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0E9A2D49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8. Information Security</w:t>
      </w:r>
      <w:r/>
    </w:p>
    <w:p w14:paraId="26AA821D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51012DF2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Passwords are stored using strong hashes; refresh tokens only store hashes; the database uses foreign key constraints and cascading deletion controls to minimize the risk of unauthorized access and accidental deletion.</w:t>
      </w:r>
      <w:r/>
    </w:p>
    <w:p w14:paraId="5DB1E254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1462E731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We do not actively collect unique device identifiers (such as IMEI/IMSI, IDFA) and precise locations; if crash diagnostics are enabled, third-party SDKs may collect data such as device and system versions to locate problems.</w:t>
      </w:r>
      <w:r/>
    </w:p>
    <w:p w14:paraId="185707A3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11072D3A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9. International and Cross-Border Transfers</w:t>
      </w:r>
      <w:r/>
    </w:p>
    <w:p w14:paraId="3C07236A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6D418D80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The system may interact with upstream suppliers or payment gateways located in different regions. Data is only transferred within the scope necessary for business operations, and de-identification or minimization strategies are adopted as much as possible</w:t>
      </w: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.</w:t>
      </w:r>
      <w:r/>
    </w:p>
    <w:p w14:paraId="77F6FB4D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2BDA2662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10. Children's Privacy</w:t>
      </w:r>
      <w:r/>
    </w:p>
    <w:p w14:paraId="3E2053C4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1221D50F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The service is intended for adult users; we do not collect data for the purpose of identifying children; if data is mistakenly collected, it will be deleted as soon as possible upon request.</w:t>
      </w:r>
      <w:r/>
    </w:p>
    <w:p w14:paraId="20B89B19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349A790C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11. eKYC (Electronic KYC)</w:t>
      </w:r>
      <w:r/>
    </w:p>
    <w:p w14:paraId="70C488C9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2A85B1DD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Purpose and Scope</w:t>
      </w:r>
      <w:r/>
    </w:p>
    <w:p w14:paraId="777B6F5A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05E215B0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When legal regulations, upstream suppliers, or payment gateways require identity verification, we may conduct eKYC (electronic identity verification) to meet anti-money laundering/counter-terrorism financing, telecommunications compliance, and risk contro</w:t>
      </w: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l requirements.</w:t>
      </w:r>
      <w:r/>
    </w:p>
    <w:p w14:paraId="4471B66D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08F3AC92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Identity Information We May Collect (Collected on Demand, Not Mandatory)</w:t>
      </w:r>
      <w:r/>
    </w:p>
    <w:p w14:paraId="730DF47F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50A2FF56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Basic Information: Name, Gender (if applicable), Date of Birth, Nationality/Region, Document Type and Number, Issuing Authority and Validity Period.</w:t>
      </w:r>
      <w:r/>
    </w:p>
    <w:p w14:paraId="3E756D3B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410F6F5F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Image and Liveness Detection: ID Photo, Selfie/Liveness Detection, Short Video (if required by regulators or service providers).</w:t>
      </w:r>
      <w:r/>
    </w:p>
    <w:p w14:paraId="1297DFDB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2A3C99F3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Contact Information and Association: Email Address, Mobile Number (if necessary for verification and notification); necessary mapping identifiers to orders.</w:t>
      </w:r>
      <w:r/>
    </w:p>
    <w:p w14:paraId="28CA7E20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1CB1ED3C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Anti-Fraud and Compliance Assistance: Device and Network Attributes (e.g., Operating System Version, Browser or Device Model), Timestamp, Verification Results and Risk Scores (if returned by third-party services).</w:t>
      </w:r>
      <w:r/>
    </w:p>
    <w:p w14:paraId="54EEDAC1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5DEFE12B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Purpose of Use and Legal Basis</w:t>
      </w:r>
      <w:r/>
    </w:p>
    <w:p w14:paraId="057CFD18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0F9D89AE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Contract Performance and Service Provision: In regions or scenarios where identity verification is required to complete the purchase and delivery.</w:t>
      </w:r>
      <w:r/>
    </w:p>
    <w:p w14:paraId="09E8CA06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7B96F7FB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Legal Obligations: Compliance with applicable laws and regulations (including anti-money laundering/counter-terrorism financing telecommunications compliance, etc.) and regulatory requirements.</w:t>
      </w:r>
      <w:r/>
    </w:p>
    <w:p w14:paraId="25EE61AF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507B7F1C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Reasonable Interests: Preventing fraud and abuse, ensuring network and payment security.</w:t>
      </w:r>
      <w:r/>
    </w:p>
    <w:p w14:paraId="148D3BC2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510D702B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Third Parties and Cross-Border Transfers</w:t>
      </w:r>
      <w:r/>
    </w:p>
    <w:p w14:paraId="79EA8978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068D855C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We may share necessary information with compliant third-party eKYC services, upstream suppliers, or payment gateways to complete verification; sharing is limited to the minimum necessary scope.</w:t>
      </w:r>
      <w:r/>
    </w:p>
    <w:p w14:paraId="254F6EB4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7D8CA2BC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Information may be transferred across borders to regions where services are provided or where regulatory requirements apply; we will endeavor to employ de-identification or minimization strategies.</w:t>
      </w:r>
      <w:r/>
    </w:p>
    <w:p w14:paraId="4CE86C28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2B668234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Retention and Deletion</w:t>
      </w:r>
      <w:r/>
    </w:p>
    <w:p w14:paraId="3F68E1B1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498D76BB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Identity information will be retained for the minimum necessary period as required by applicable laws, regulations, or regulatory guidelines; it will be deleted or anonymized after the expiration of the period.</w:t>
      </w:r>
      <w:r/>
    </w:p>
    <w:p w14:paraId="4C89F374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4EBD6697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Records related to orders and payments will be retained in accordance with compliance requirements; after account deletion, orders will be retained but de-identified (removed from user_id).</w:t>
      </w:r>
      <w:r/>
    </w:p>
    <w:p w14:paraId="380B7C74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06D0A2E0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Your Rights</w:t>
      </w:r>
      <w:r/>
    </w:p>
    <w:p w14:paraId="14174855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738DB4C2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You can request access to and correction of eKYC information; you can request deletion or restriction of processing, subject to legal obligations. Records within the mandatory compliance retention period may not be deleted immediately.</w:t>
      </w:r>
      <w:r/>
    </w:p>
    <w:p w14:paraId="03EEBEC8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2D1585BA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Security and Minimization</w:t>
      </w:r>
      <w:r/>
    </w:p>
    <w:p w14:paraId="7A2813A9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57C1E0C2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We employ measures such as encryption and access control to protect eKYC information; we collect and process information only to the extent necessary, and strive to store results in de-identified or digest/token form.</w:t>
      </w:r>
      <w:r/>
    </w:p>
    <w:p w14:paraId="297B22D1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42F65B78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12. Policy Updates and Effectiveness</w:t>
      </w:r>
      <w:r/>
    </w:p>
    <w:p w14:paraId="5A91D762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0DD7C02B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We will update this policy according to functional and compliance requirements; significant changes will be indicated in the application's "More Information &gt; Privacy Policy".</w:t>
      </w:r>
      <w:r/>
    </w:p>
    <w:p w14:paraId="0381ADA9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1D0EAC26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Effective Date: 2025-12-10.</w:t>
      </w:r>
      <w:r/>
    </w:p>
    <w:p w14:paraId="27DE3F72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6A2DB3A1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13. Contact Us</w:t>
      </w:r>
      <w:r/>
    </w:p>
    <w:p w14:paraId="6FB01444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0736E53F">
      <w:pPr>
        <w:pBdr/>
        <w:spacing/>
        <w:ind/>
        <w:rPr>
          <w:rFonts w:ascii="Arial" w:hAnsi="Arial" w:cs="Arial"/>
          <w:b w:val="0"/>
          <w:bCs w:val="0"/>
          <w:sz w:val="21"/>
          <w:szCs w:val="21"/>
        </w:rPr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Support Email: @esim.fit</w:t>
      </w:r>
      <w:r/>
      <w:r>
        <w:rPr>
          <w:rFonts w:ascii="Arial" w:hAnsi="Arial" w:eastAsia="Arial" w:cs="Arial"/>
          <w:b w:val="0"/>
          <w:bCs w:val="0"/>
          <w:sz w:val="21"/>
          <w:szCs w:val="21"/>
        </w:rPr>
      </w:r>
      <w:r>
        <w:rPr>
          <w:rFonts w:ascii="Arial" w:hAnsi="Arial" w:cs="Arial"/>
          <w:b w:val="0"/>
          <w:bCs w:val="0"/>
          <w:sz w:val="21"/>
          <w:szCs w:val="21"/>
        </w:rPr>
      </w:r>
    </w:p>
    <w:sectPr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ans-serif">
    <w:panose1 w:val="05040102010807070707"/>
  </w:font>
  <w:font w:name="Symbol">
    <w:panose1 w:val="05010000000000000000"/>
  </w:font>
  <w:font w:name="宋体">
    <w:panose1 w:val="02010600040101010101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BDC7CDDC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hint="default"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hint="default"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hint="default"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1">
    <w:nsid w:val="BFFEC406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hint="default"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hint="default"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hint="default"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2">
    <w:nsid w:val="D8FB9E0D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hint="default"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hint="default"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hint="default"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3">
    <w:nsid w:val="DFE8D46A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hint="default"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hint="default"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hint="default"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4">
    <w:nsid w:val="F9F741A7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hint="default"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hint="default"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hint="default"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5">
    <w:nsid w:val="FFFEB3EB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hint="default"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hint="default"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hint="default"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6">
    <w:nsid w:val="177F0E34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7">
    <w:nsid w:val="37F042C3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hint="default"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hint="default"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hint="default"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8">
    <w:nsid w:val="791E6F9B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hint="default"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hint="default"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hint="default"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num w:numId="1">
    <w:abstractNumId w:val="6"/>
  </w:num>
  <w:num w:numId="2">
    <w:abstractNumId w:val="1"/>
  </w:num>
  <w:num w:numId="3">
    <w:abstractNumId w:val="3"/>
  </w:num>
  <w:num w:numId="4">
    <w:abstractNumId w:val="8"/>
  </w:num>
  <w:num w:numId="5">
    <w:abstractNumId w:val="4"/>
  </w:num>
  <w:num w:numId="6">
    <w:abstractNumId w:val="7"/>
  </w:num>
  <w:num w:numId="7">
    <w:abstractNumId w:val="0"/>
  </w:num>
  <w:num w:numId="8">
    <w:abstractNumId w:val="2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9">
    <w:name w:val="Table Grid"/>
    <w:basedOn w:val="9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Table Grid Light"/>
    <w:basedOn w:val="9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Plain Table 1"/>
    <w:basedOn w:val="9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Plain Table 2"/>
    <w:basedOn w:val="9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Plain Table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Plain Table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Plain Table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1 Light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1 Light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2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3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4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4 - Accent 1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 - Accent 2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3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4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 - Accent 5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6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5 Dark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5 Dark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3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ce6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ff2c9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f2d8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3f4f1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adade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6 Colorful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6 Colorful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7 Colorful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7 Colorful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1 Light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1 Light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2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3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4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5 Dark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5 Dark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874cb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5b5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ed962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cd78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dded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0949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6 Colorful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6 Colorful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7 Colorful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7 Colorful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ned - Accent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ned - Accent 1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 2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3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4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 5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6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&amp; Lined - Accent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&amp; Lined - Accent 1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 2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3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4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 5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6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5">
    <w:name w:val="Heading 2"/>
    <w:basedOn w:val="901"/>
    <w:next w:val="901"/>
    <w:link w:val="85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6">
    <w:name w:val="Heading 4"/>
    <w:basedOn w:val="901"/>
    <w:next w:val="901"/>
    <w:link w:val="85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7">
    <w:name w:val="Heading 5"/>
    <w:basedOn w:val="901"/>
    <w:next w:val="901"/>
    <w:link w:val="85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8">
    <w:name w:val="Heading 6"/>
    <w:basedOn w:val="901"/>
    <w:next w:val="901"/>
    <w:link w:val="85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9">
    <w:name w:val="Heading 7"/>
    <w:basedOn w:val="901"/>
    <w:next w:val="901"/>
    <w:link w:val="85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0">
    <w:name w:val="Heading 8"/>
    <w:basedOn w:val="901"/>
    <w:next w:val="901"/>
    <w:link w:val="86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1">
    <w:name w:val="Heading 9"/>
    <w:basedOn w:val="901"/>
    <w:next w:val="901"/>
    <w:link w:val="86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852" w:default="1">
    <w:name w:val="No List"/>
    <w:uiPriority w:val="99"/>
    <w:semiHidden/>
    <w:unhideWhenUsed/>
    <w:pPr>
      <w:pBdr/>
      <w:spacing/>
      <w:ind/>
    </w:pPr>
  </w:style>
  <w:style w:type="character" w:styleId="853">
    <w:name w:val="Heading 1 Char"/>
    <w:basedOn w:val="904"/>
    <w:link w:val="9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4">
    <w:name w:val="Heading 2 Char"/>
    <w:basedOn w:val="904"/>
    <w:link w:val="84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5">
    <w:name w:val="Heading 3 Char"/>
    <w:basedOn w:val="904"/>
    <w:link w:val="90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6">
    <w:name w:val="Heading 4 Char"/>
    <w:basedOn w:val="904"/>
    <w:link w:val="84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7">
    <w:name w:val="Heading 5 Char"/>
    <w:basedOn w:val="904"/>
    <w:link w:val="8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8">
    <w:name w:val="Heading 6 Char"/>
    <w:basedOn w:val="904"/>
    <w:link w:val="84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9">
    <w:name w:val="Heading 7 Char"/>
    <w:basedOn w:val="904"/>
    <w:link w:val="84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0">
    <w:name w:val="Heading 8 Char"/>
    <w:basedOn w:val="904"/>
    <w:link w:val="85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1">
    <w:name w:val="Heading 9 Char"/>
    <w:basedOn w:val="904"/>
    <w:link w:val="85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2">
    <w:name w:val="Title"/>
    <w:basedOn w:val="901"/>
    <w:next w:val="901"/>
    <w:link w:val="86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3">
    <w:name w:val="Title Char"/>
    <w:basedOn w:val="904"/>
    <w:link w:val="86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4">
    <w:name w:val="Subtitle"/>
    <w:basedOn w:val="901"/>
    <w:next w:val="901"/>
    <w:link w:val="86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5">
    <w:name w:val="Subtitle Char"/>
    <w:basedOn w:val="904"/>
    <w:link w:val="86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6">
    <w:name w:val="Quote"/>
    <w:basedOn w:val="901"/>
    <w:next w:val="901"/>
    <w:link w:val="86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7">
    <w:name w:val="Quote Char"/>
    <w:basedOn w:val="904"/>
    <w:link w:val="866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68">
    <w:name w:val="List Paragraph"/>
    <w:basedOn w:val="901"/>
    <w:uiPriority w:val="34"/>
    <w:qFormat/>
    <w:pPr>
      <w:pBdr/>
      <w:spacing/>
      <w:ind w:left="720"/>
      <w:contextualSpacing w:val="true"/>
    </w:pPr>
  </w:style>
  <w:style w:type="character" w:styleId="869">
    <w:name w:val="Intense Emphasis"/>
    <w:basedOn w:val="90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0">
    <w:name w:val="Intense Quote"/>
    <w:basedOn w:val="901"/>
    <w:next w:val="901"/>
    <w:link w:val="871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1">
    <w:name w:val="Intense Quote Char"/>
    <w:basedOn w:val="904"/>
    <w:link w:val="87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2">
    <w:name w:val="Intense Reference"/>
    <w:basedOn w:val="90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73">
    <w:name w:val="No Spacing"/>
    <w:basedOn w:val="901"/>
    <w:uiPriority w:val="1"/>
    <w:qFormat/>
    <w:pPr>
      <w:pBdr/>
      <w:spacing w:after="0" w:line="240" w:lineRule="auto"/>
      <w:ind/>
    </w:pPr>
  </w:style>
  <w:style w:type="character" w:styleId="874">
    <w:name w:val="Subtle Emphasis"/>
    <w:basedOn w:val="90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5">
    <w:name w:val="Subtle Reference"/>
    <w:basedOn w:val="90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6">
    <w:name w:val="Book Title"/>
    <w:basedOn w:val="90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7">
    <w:name w:val="Header"/>
    <w:basedOn w:val="901"/>
    <w:link w:val="8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8">
    <w:name w:val="Header Char"/>
    <w:basedOn w:val="904"/>
    <w:link w:val="877"/>
    <w:uiPriority w:val="99"/>
    <w:pPr>
      <w:pBdr/>
      <w:spacing/>
      <w:ind/>
    </w:pPr>
  </w:style>
  <w:style w:type="paragraph" w:styleId="879">
    <w:name w:val="Footer"/>
    <w:basedOn w:val="901"/>
    <w:link w:val="88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0">
    <w:name w:val="Footer Char"/>
    <w:basedOn w:val="904"/>
    <w:link w:val="879"/>
    <w:uiPriority w:val="99"/>
    <w:pPr>
      <w:pBdr/>
      <w:spacing/>
      <w:ind/>
    </w:pPr>
  </w:style>
  <w:style w:type="paragraph" w:styleId="881">
    <w:name w:val="Caption"/>
    <w:basedOn w:val="901"/>
    <w:next w:val="90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2">
    <w:name w:val="footnote text"/>
    <w:basedOn w:val="901"/>
    <w:link w:val="88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3">
    <w:name w:val="Footnote Text Char"/>
    <w:basedOn w:val="904"/>
    <w:link w:val="882"/>
    <w:uiPriority w:val="99"/>
    <w:semiHidden/>
    <w:pPr>
      <w:pBdr/>
      <w:spacing/>
      <w:ind/>
    </w:pPr>
    <w:rPr>
      <w:sz w:val="20"/>
      <w:szCs w:val="20"/>
    </w:rPr>
  </w:style>
  <w:style w:type="character" w:styleId="884">
    <w:name w:val="footnote reference"/>
    <w:basedOn w:val="904"/>
    <w:uiPriority w:val="99"/>
    <w:semiHidden/>
    <w:unhideWhenUsed/>
    <w:pPr>
      <w:pBdr/>
      <w:spacing/>
      <w:ind/>
    </w:pPr>
    <w:rPr>
      <w:vertAlign w:val="superscript"/>
    </w:rPr>
  </w:style>
  <w:style w:type="paragraph" w:styleId="885">
    <w:name w:val="endnote text"/>
    <w:basedOn w:val="901"/>
    <w:link w:val="88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6">
    <w:name w:val="Endnote Text Char"/>
    <w:basedOn w:val="904"/>
    <w:link w:val="885"/>
    <w:uiPriority w:val="99"/>
    <w:semiHidden/>
    <w:pPr>
      <w:pBdr/>
      <w:spacing/>
      <w:ind/>
    </w:pPr>
    <w:rPr>
      <w:sz w:val="20"/>
      <w:szCs w:val="20"/>
    </w:rPr>
  </w:style>
  <w:style w:type="character" w:styleId="887">
    <w:name w:val="endnote reference"/>
    <w:basedOn w:val="904"/>
    <w:uiPriority w:val="99"/>
    <w:semiHidden/>
    <w:unhideWhenUsed/>
    <w:pPr>
      <w:pBdr/>
      <w:spacing/>
      <w:ind/>
    </w:pPr>
    <w:rPr>
      <w:vertAlign w:val="superscript"/>
    </w:rPr>
  </w:style>
  <w:style w:type="character" w:styleId="888">
    <w:name w:val="FollowedHyperlink"/>
    <w:basedOn w:val="90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9">
    <w:name w:val="toc 1"/>
    <w:basedOn w:val="901"/>
    <w:next w:val="901"/>
    <w:uiPriority w:val="39"/>
    <w:unhideWhenUsed/>
    <w:pPr>
      <w:pBdr/>
      <w:spacing w:after="100"/>
      <w:ind/>
    </w:pPr>
  </w:style>
  <w:style w:type="paragraph" w:styleId="890">
    <w:name w:val="toc 2"/>
    <w:basedOn w:val="901"/>
    <w:next w:val="901"/>
    <w:uiPriority w:val="39"/>
    <w:unhideWhenUsed/>
    <w:pPr>
      <w:pBdr/>
      <w:spacing w:after="100"/>
      <w:ind w:left="220"/>
    </w:pPr>
  </w:style>
  <w:style w:type="paragraph" w:styleId="891">
    <w:name w:val="toc 3"/>
    <w:basedOn w:val="901"/>
    <w:next w:val="901"/>
    <w:uiPriority w:val="39"/>
    <w:unhideWhenUsed/>
    <w:pPr>
      <w:pBdr/>
      <w:spacing w:after="100"/>
      <w:ind w:left="440"/>
    </w:pPr>
  </w:style>
  <w:style w:type="paragraph" w:styleId="892">
    <w:name w:val="toc 4"/>
    <w:basedOn w:val="901"/>
    <w:next w:val="901"/>
    <w:uiPriority w:val="39"/>
    <w:unhideWhenUsed/>
    <w:pPr>
      <w:pBdr/>
      <w:spacing w:after="100"/>
      <w:ind w:left="660"/>
    </w:pPr>
  </w:style>
  <w:style w:type="paragraph" w:styleId="893">
    <w:name w:val="toc 5"/>
    <w:basedOn w:val="901"/>
    <w:next w:val="901"/>
    <w:uiPriority w:val="39"/>
    <w:unhideWhenUsed/>
    <w:pPr>
      <w:pBdr/>
      <w:spacing w:after="100"/>
      <w:ind w:left="880"/>
    </w:pPr>
  </w:style>
  <w:style w:type="paragraph" w:styleId="894">
    <w:name w:val="toc 6"/>
    <w:basedOn w:val="901"/>
    <w:next w:val="901"/>
    <w:uiPriority w:val="39"/>
    <w:unhideWhenUsed/>
    <w:pPr>
      <w:pBdr/>
      <w:spacing w:after="100"/>
      <w:ind w:left="1100"/>
    </w:pPr>
  </w:style>
  <w:style w:type="paragraph" w:styleId="895">
    <w:name w:val="toc 7"/>
    <w:basedOn w:val="901"/>
    <w:next w:val="901"/>
    <w:uiPriority w:val="39"/>
    <w:unhideWhenUsed/>
    <w:pPr>
      <w:pBdr/>
      <w:spacing w:after="100"/>
      <w:ind w:left="1320"/>
    </w:pPr>
  </w:style>
  <w:style w:type="paragraph" w:styleId="896">
    <w:name w:val="toc 8"/>
    <w:basedOn w:val="901"/>
    <w:next w:val="901"/>
    <w:uiPriority w:val="39"/>
    <w:unhideWhenUsed/>
    <w:pPr>
      <w:pBdr/>
      <w:spacing w:after="100"/>
      <w:ind w:left="1540"/>
    </w:pPr>
  </w:style>
  <w:style w:type="paragraph" w:styleId="897">
    <w:name w:val="toc 9"/>
    <w:basedOn w:val="901"/>
    <w:next w:val="901"/>
    <w:uiPriority w:val="39"/>
    <w:unhideWhenUsed/>
    <w:pPr>
      <w:pBdr/>
      <w:spacing w:after="100"/>
      <w:ind w:left="1760"/>
    </w:pPr>
  </w:style>
  <w:style w:type="character" w:styleId="898">
    <w:name w:val="Placeholder Text"/>
    <w:basedOn w:val="904"/>
    <w:uiPriority w:val="99"/>
    <w:semiHidden/>
    <w:pPr>
      <w:pBdr/>
      <w:spacing/>
      <w:ind/>
    </w:pPr>
    <w:rPr>
      <w:color w:val="666666"/>
    </w:rPr>
  </w:style>
  <w:style w:type="paragraph" w:styleId="899">
    <w:name w:val="TOC Heading"/>
    <w:uiPriority w:val="39"/>
    <w:unhideWhenUsed/>
    <w:pPr>
      <w:pBdr/>
      <w:spacing/>
      <w:ind/>
    </w:pPr>
  </w:style>
  <w:style w:type="paragraph" w:styleId="900">
    <w:name w:val="table of figures"/>
    <w:basedOn w:val="901"/>
    <w:next w:val="901"/>
    <w:uiPriority w:val="99"/>
    <w:unhideWhenUsed/>
    <w:pPr>
      <w:pBdr/>
      <w:spacing w:after="0" w:afterAutospacing="0"/>
      <w:ind/>
    </w:pPr>
  </w:style>
  <w:style w:type="paragraph" w:styleId="901" w:default="1">
    <w:name w:val="Normal"/>
    <w:uiPriority w:val="0"/>
    <w:qFormat/>
    <w:pPr>
      <w:widowControl w:val="false"/>
      <w:pBdr/>
      <w:spacing/>
      <w:ind/>
      <w:jc w:val="both"/>
    </w:pPr>
    <w:rPr>
      <w:rFonts w:asciiTheme="minorHAnsi" w:hAnsiTheme="minorHAnsi" w:eastAsiaTheme="minorEastAsia" w:cstheme="minorBidi"/>
      <w:sz w:val="21"/>
      <w:szCs w:val="24"/>
      <w:lang w:val="en-US" w:eastAsia="zh-CN" w:bidi="ar-SA"/>
    </w:rPr>
  </w:style>
  <w:style w:type="paragraph" w:styleId="902">
    <w:name w:val="Heading 1"/>
    <w:basedOn w:val="901"/>
    <w:next w:val="901"/>
    <w:uiPriority w:val="0"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48"/>
      <w:szCs w:val="48"/>
      <w:lang w:val="en-US" w:eastAsia="zh-CN" w:bidi="ar"/>
    </w:rPr>
  </w:style>
  <w:style w:type="paragraph" w:styleId="903">
    <w:name w:val="Heading 3"/>
    <w:basedOn w:val="901"/>
    <w:next w:val="901"/>
    <w:uiPriority w:val="0"/>
    <w:semiHidden/>
    <w:unhideWhenUsed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27"/>
      <w:szCs w:val="27"/>
      <w:lang w:val="en-US" w:eastAsia="zh-CN" w:bidi="ar"/>
    </w:rPr>
  </w:style>
  <w:style w:type="character" w:styleId="904" w:default="1">
    <w:name w:val="Default Paragraph Font"/>
    <w:uiPriority w:val="0"/>
    <w:semiHidden/>
    <w:pPr>
      <w:pBdr/>
      <w:spacing/>
      <w:ind/>
    </w:pPr>
  </w:style>
  <w:style w:type="table" w:styleId="905" w:default="1">
    <w:name w:val="Normal Table"/>
    <w:uiPriority w:val="0"/>
    <w:semiHidden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06">
    <w:name w:val="Normal (Web)"/>
    <w:basedOn w:val="901"/>
    <w:uiPriority w:val="0"/>
    <w:pPr>
      <w:pBdr/>
      <w:spacing w:after="0" w:afterAutospacing="1" w:before="0" w:beforeAutospacing="1"/>
      <w:ind w:right="0" w:left="0"/>
      <w:jc w:val="left"/>
    </w:pPr>
    <w:rPr>
      <w:sz w:val="24"/>
      <w:lang w:val="en-US" w:eastAsia="zh-CN" w:bidi="ar"/>
    </w:rPr>
  </w:style>
  <w:style w:type="character" w:styleId="907">
    <w:name w:val="Strong"/>
    <w:basedOn w:val="904"/>
    <w:uiPriority w:val="0"/>
    <w:qFormat/>
    <w:pPr>
      <w:pBdr/>
      <w:spacing/>
      <w:ind/>
    </w:pPr>
    <w:rPr>
      <w:b/>
    </w:rPr>
  </w:style>
  <w:style w:type="character" w:styleId="908">
    <w:name w:val="Emphasis"/>
    <w:basedOn w:val="904"/>
    <w:uiPriority w:val="0"/>
    <w:qFormat/>
    <w:pPr>
      <w:pBdr/>
      <w:spacing/>
      <w:ind/>
    </w:pPr>
    <w:rPr>
      <w:i/>
    </w:rPr>
  </w:style>
  <w:style w:type="character" w:styleId="909">
    <w:name w:val="Hyperlink"/>
    <w:basedOn w:val="904"/>
    <w:uiPriority w:val="0"/>
    <w:pPr>
      <w:pBdr/>
      <w:spacing/>
      <w:ind/>
    </w:pPr>
    <w:rPr>
      <w:color w:val="0000ff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revision>2</cp:revision>
  <dcterms:created xsi:type="dcterms:W3CDTF">2025-07-30T00:14:00Z</dcterms:created>
  <dcterms:modified xsi:type="dcterms:W3CDTF">2025-12-10T05:42:14Z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7CD85D9BC3C439ECFE828868C9F27BF0_41</vt:lpwstr>
  </property>
</Properties>
</file>