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C56722E">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hint="default" w:ascii="sans-serif" w:hAnsi="sans-serif" w:eastAsia="sans-serif" w:cs="sans-serif"/>
          <w:b/>
          <w:bCs/>
          <w:color w:val="auto"/>
          <w:sz w:val="48"/>
          <w:szCs w:val="48"/>
        </w:rPr>
      </w:pPr>
      <w:r>
        <w:rPr>
          <w:rFonts w:hint="default" w:ascii="sans-serif" w:hAnsi="sans-serif" w:eastAsia="sans-serif" w:cs="sans-serif"/>
          <w:b/>
          <w:bCs/>
          <w:color w:val="auto"/>
          <w:sz w:val="48"/>
          <w:szCs w:val="48"/>
        </w:rPr>
      </w:r>
      <w:r>
        <w:rPr>
          <w:rFonts w:hint="default" w:ascii="sans-serif" w:hAnsi="sans-serif" w:eastAsia="sans-serif" w:cs="sans-serif"/>
          <w:b/>
          <w:bCs/>
          <w:color w:val="auto"/>
          <w:sz w:val="48"/>
          <w:szCs w:val="48"/>
        </w:rPr>
        <w:t xml:space="preserve">隐私政策</w:t>
      </w:r>
      <w:r>
        <w:rPr>
          <w:rFonts w:hint="default" w:ascii="sans-serif" w:hAnsi="sans-serif" w:eastAsia="sans-serif" w:cs="sans-serif"/>
          <w:b/>
          <w:bCs/>
          <w:color w:val="auto"/>
          <w:sz w:val="48"/>
          <w:szCs w:val="48"/>
        </w:rPr>
      </w:r>
      <w:r/>
      <w:r/>
      <w:r>
        <w:rPr>
          <w:rFonts w:hint="default" w:ascii="sans-serif" w:hAnsi="sans-serif" w:eastAsia="sans-serif" w:cs="sans-serif"/>
          <w:b/>
          <w:bCs/>
          <w:color w:val="auto"/>
          <w:sz w:val="48"/>
          <w:szCs w:val="48"/>
        </w:rPr>
      </w:r>
    </w:p>
    <w:p w14:paraId="6C132632">
      <w:pPr>
        <w:pBdr/>
        <w:spacing/>
        <w:ind/>
        <w:rPr/>
      </w:pPr>
      <w:r/>
      <w:r/>
    </w:p>
    <w:p w14:paraId="3231759B">
      <w:pPr>
        <w:pBdr/>
        <w:spacing/>
        <w:ind/>
        <w:rPr/>
      </w:pPr>
      <w:r>
        <w:t xml:space="preserve">1. 引言</w:t>
      </w:r>
      <w:r/>
    </w:p>
    <w:p w14:paraId="1F056682">
      <w:pPr>
        <w:pBdr/>
        <w:spacing/>
        <w:ind/>
        <w:rPr/>
      </w:pPr>
      <w:r>
        <w:t xml:space="preserve">- 本隐私权政策说明我们在提供 iOS 应用程式「eSIM Home」过程中如何收集、使用、分享和保护您的资讯。</w:t>
      </w:r>
      <w:r/>
    </w:p>
    <w:p w14:paraId="33BEB43D">
      <w:pPr>
        <w:pBdr/>
        <w:spacing/>
        <w:ind/>
        <w:rPr/>
      </w:pPr>
      <w:r>
        <w:t xml:space="preserve">- 如政策与产品内「使用条款」「一般条款」「合理使用政策」「Cookie 政策」不一致，以更严格者为准。</w:t>
      </w:r>
      <w:r/>
    </w:p>
    <w:p w14:paraId="15088A73">
      <w:pPr>
        <w:pBdr/>
        <w:spacing/>
        <w:ind/>
        <w:rPr/>
      </w:pPr>
      <w:r>
        <w:t xml:space="preserve">2. 我们收集的信息</w:t>
      </w:r>
      <w:r/>
    </w:p>
    <w:p w14:paraId="1B63477B">
      <w:pPr>
        <w:pBdr/>
        <w:spacing/>
        <w:ind/>
        <w:rPr/>
      </w:pPr>
      <w:r>
        <w:t xml:space="preserve">- 帐号资讯：姓名、姓氏（可选）、邮件匣（可选）、Apple 登入识别码（仅用于帐号识别）。</w:t>
      </w:r>
      <w:r/>
    </w:p>
    <w:p w14:paraId="714788FE">
      <w:pPr>
        <w:pBdr/>
        <w:spacing/>
        <w:ind/>
        <w:rPr/>
      </w:pPr>
      <w:r>
        <w:t xml:space="preserve">- 安全凭证：密码杂凑（不储存明文）、存取权杖（JWT）、刷新令牌杂凑、会话到期与撤销标记。</w:t>
      </w:r>
      <w:r/>
    </w:p>
    <w:p w14:paraId="0CE281CD">
      <w:pPr>
        <w:pBdr/>
        <w:spacing/>
        <w:ind/>
        <w:rPr/>
      </w:pPr>
      <w:r>
        <w:t xml:space="preserve">- 个人偏好：语言代码、货币代码、国家代码（2 位），仅用于界面与价格显示。</w:t>
      </w:r>
      <w:r/>
    </w:p>
    <w:p w14:paraId="0B4DEEED">
      <w:pPr>
        <w:pBdr/>
        <w:spacing/>
        <w:ind/>
        <w:rPr/>
      </w:pPr>
      <w:r>
        <w:t xml:space="preserve">- 订单与用量：订单号码、金额、币种、状态、（如有）上游订单 ID；用量资料（如资料剩余、到期时间、状态）来自上游介面。</w:t>
      </w:r>
      <w:r/>
    </w:p>
    <w:p w14:paraId="101EC62F">
      <w:pPr>
        <w:pBdr/>
        <w:spacing/>
        <w:ind/>
        <w:rPr/>
      </w:pPr>
      <w:r>
        <w:t xml:space="preserve">- 最近搜寻：与使用者 ID 相关的搜寻类别、实体 ID（国家/地区/套餐）、标题快照、命中次数与时间戳，用于提升检索体验。</w:t>
      </w:r>
      <w:r/>
    </w:p>
    <w:p w14:paraId="442415BE">
      <w:pPr>
        <w:pBdr/>
        <w:spacing/>
        <w:ind/>
        <w:rPr/>
      </w:pPr>
      <w:r>
        <w:t xml:space="preserve">- 付款相关识别（第三方支付网关）：在 Gsalary 流程中，储存网关颁发的 access_token/refresh_token 及到期时间用于拉起付款与状态查询；不保存卡号或 CVV。</w:t>
      </w:r>
      <w:r/>
    </w:p>
    <w:p w14:paraId="6BFEC67F">
      <w:pPr>
        <w:pBdr/>
        <w:spacing/>
        <w:ind/>
        <w:rPr/>
      </w:pPr>
      <w:r>
        <w:t xml:space="preserve">- 验证与重设：注册/改信箱的 4 位元验证码杂凑、用途与到期资讯；密码重设令牌杂凑与到期时间。</w:t>
      </w:r>
      <w:r/>
    </w:p>
    <w:p w14:paraId="15F59E74">
      <w:pPr>
        <w:pBdr/>
        <w:spacing/>
        <w:ind/>
        <w:rPr/>
      </w:pPr>
      <w:r>
        <w:t xml:space="preserve">3. 我们如何使用资讯</w:t>
      </w:r>
      <w:r/>
    </w:p>
    <w:p w14:paraId="2FAD73A3">
      <w:pPr>
        <w:pBdr/>
        <w:spacing/>
        <w:ind/>
        <w:rPr/>
      </w:pPr>
      <w:r>
        <w:t xml:space="preserve">- 提供与维护服务：帐号登录与维护、订单建立与查询、安装资讯展示与用量展示、退款与客服支援。</w:t>
      </w:r>
      <w:r/>
    </w:p>
    <w:p w14:paraId="09716466">
      <w:pPr>
        <w:pBdr/>
        <w:spacing/>
        <w:ind/>
        <w:rPr/>
      </w:pPr>
      <w:r>
        <w:t xml:space="preserve">- 安全与风控：验证凭证、维护会话与令牌、记录关键操作（如删除帐号的稽核日志）。</w:t>
      </w:r>
      <w:r/>
    </w:p>
    <w:p w14:paraId="03794A4B">
      <w:pPr>
        <w:pBdr/>
        <w:spacing/>
        <w:ind/>
        <w:rPr/>
      </w:pPr>
      <w:r>
        <w:t xml:space="preserve">- 通知与邮件：启用邮件网关时，传送密码重设连结与注册/改信箱验证码。</w:t>
      </w:r>
      <w:r/>
    </w:p>
    <w:p w14:paraId="3E675268">
      <w:pPr>
        <w:pBdr/>
        <w:spacing/>
        <w:ind/>
        <w:rPr/>
      </w:pPr>
      <w:r>
        <w:t xml:space="preserve">- 付款与结算：与支付网关互动产生付款会话、轮询付款状态；不储存完整卡号或 CVV。</w:t>
      </w:r>
      <w:r/>
    </w:p>
    <w:p w14:paraId="7E583B86">
      <w:pPr>
        <w:pBdr/>
        <w:spacing/>
        <w:ind/>
        <w:rPr/>
      </w:pPr>
      <w:r>
        <w:t xml:space="preserve">- 产品改进（可选开关）：仅在您主动开启「允许匿名使用统计」或「允许诊断与崩溃日志」时，请向 Firebase Analytics/Crashlytics 发送匿名事件或错误诊断资料；预设为关闭，可随时在「个人资料 &gt; 设定」变更。</w:t>
      </w:r>
      <w:r/>
    </w:p>
    <w:p w14:paraId="653EF14A">
      <w:pPr>
        <w:pBdr/>
        <w:spacing/>
        <w:ind/>
        <w:rPr/>
      </w:pPr>
      <w:r>
        <w:t xml:space="preserve">4. 共享与第三方</w:t>
      </w:r>
      <w:r/>
    </w:p>
    <w:p w14:paraId="38074546">
      <w:pPr>
        <w:pBdr/>
        <w:spacing/>
        <w:ind/>
        <w:rPr/>
      </w:pPr>
      <w:r>
        <w:t xml:space="preserve">- eSIM 供应商与支付网关：为完成订单与支付，我们会在必要范围内共享订单引用、邮箱快照（用于回查与过滤）与支付标识；支付查询可能返回卡品牌与最后四位等遮蔽信息。</w:t>
      </w:r>
      <w:r/>
    </w:p>
    <w:p w14:paraId="51DD6719">
      <w:pPr>
        <w:pBdr/>
        <w:spacing/>
        <w:ind/>
        <w:rPr/>
      </w:pPr>
      <w:r>
        <w:t xml:space="preserve">- 邮件服务：启用时使用邮件服务传送验证码与重设连结；处理收件地址、主题与内容。</w:t>
      </w:r>
      <w:r/>
    </w:p>
    <w:p w14:paraId="4261EC57">
      <w:pPr>
        <w:pBdr/>
        <w:spacing/>
        <w:ind/>
        <w:rPr/>
      </w:pPr>
      <w:r>
        <w:t xml:space="preserve">- 分析与崩溃诊断：仅在您开启时传送匿名事件与崩溃日志（可能包含装置型号、系统版本、应用程式版本与页面事件）。</w:t>
      </w:r>
      <w:r/>
    </w:p>
    <w:p w14:paraId="256E906D">
      <w:pPr>
        <w:pBdr/>
        <w:spacing/>
        <w:ind/>
        <w:rPr/>
      </w:pPr>
      <w:r>
        <w:t xml:space="preserve">5. Cookies、本地储存与行动端设置</w:t>
      </w:r>
      <w:r/>
    </w:p>
    <w:p w14:paraId="305450AE">
      <w:pPr>
        <w:pBdr/>
        <w:spacing/>
        <w:ind/>
        <w:rPr/>
      </w:pPr>
      <w:r>
        <w:t xml:space="preserve">- iOS 应用程式使用本机 UserDefaults 储存语言、货币与统计/崩溃开关等设置，不使用浏览器 Cookie。</w:t>
      </w:r>
      <w:r/>
    </w:p>
    <w:p w14:paraId="05195920">
      <w:pPr>
        <w:pBdr/>
        <w:spacing/>
        <w:ind/>
        <w:rPr/>
      </w:pPr>
      <w:r>
        <w:t xml:space="preserve">- Web 说明中心页面可能在浏览器 localStorage 记录语言选择，仅用于展示语言，不用于跨站追踪。</w:t>
      </w:r>
      <w:r/>
    </w:p>
    <w:p w14:paraId="30537E0A">
      <w:pPr>
        <w:pBdr/>
        <w:spacing/>
        <w:ind/>
        <w:rPr/>
      </w:pPr>
      <w:r>
        <w:t xml:space="preserve">6. 资料保留与删除</w:t>
      </w:r>
      <w:r/>
    </w:p>
    <w:p w14:paraId="52FECCCF">
      <w:pPr>
        <w:pBdr/>
        <w:spacing/>
        <w:ind/>
        <w:rPr/>
      </w:pPr>
      <w:r>
        <w:t xml:space="preserve">- 帐号在活跃期间保留上述资料以提供服务。</w:t>
      </w:r>
      <w:r/>
    </w:p>
    <w:p w14:paraId="3F2AA7BB">
      <w:pPr>
        <w:pBdr/>
        <w:spacing/>
        <w:ind/>
        <w:rPr/>
      </w:pPr>
      <w:r>
        <w:t xml:space="preserve">- 删除帐号时：清理工作阶段与重新整理令牌并删除使用者记录；保留订单记录但去识别化（脱离 user_id ），以符合合规与对帐需求；在删除前记录一笔删除日志（包含删除时的 user_id 、邮件信箱快照、原因与指示、时间戳记）。</w:t>
      </w:r>
      <w:r/>
    </w:p>
    <w:p w14:paraId="42D0B05E">
      <w:pPr>
        <w:pBdr/>
        <w:spacing/>
        <w:ind/>
        <w:rPr/>
      </w:pPr>
      <w:r>
        <w:t xml:space="preserve">- 邮件验证码与重置令牌按到期自动失效；支付网关令牌按各自到期管理。</w:t>
      </w:r>
      <w:r/>
    </w:p>
    <w:p w14:paraId="117BFCD9">
      <w:pPr>
        <w:pBdr/>
        <w:spacing/>
        <w:ind/>
        <w:rPr/>
      </w:pPr>
      <w:r>
        <w:t xml:space="preserve">7. 您的权利</w:t>
      </w:r>
      <w:r/>
    </w:p>
    <w:p w14:paraId="628BB762">
      <w:pPr>
        <w:pBdr/>
        <w:spacing/>
        <w:ind/>
        <w:rPr/>
      </w:pPr>
      <w:r>
        <w:t xml:space="preserve">- 存取与修正：透过「个人资料」与设定页面检视与更新姓名、语言、货币、国家等。</w:t>
      </w:r>
      <w:r/>
    </w:p>
    <w:p w14:paraId="3180D584">
      <w:pPr>
        <w:pBdr/>
        <w:spacing/>
        <w:ind/>
        <w:rPr/>
      </w:pPr>
      <w:r>
        <w:t xml:space="preserve">- 变更信箱：需验证目前密码并以信箱验证码校验。</w:t>
      </w:r>
      <w:r/>
    </w:p>
    <w:p w14:paraId="318737C5">
      <w:pPr>
        <w:pBdr/>
        <w:spacing/>
        <w:ind/>
        <w:rPr/>
      </w:pPr>
      <w:r>
        <w:t xml:space="preserve">- 设定与重设密码：支援首次设定与重设流程（重设连结可能透过邮件传送）。</w:t>
      </w:r>
      <w:r/>
    </w:p>
    <w:p w14:paraId="38FB8C71">
      <w:pPr>
        <w:pBdr/>
        <w:spacing/>
        <w:ind/>
        <w:rPr/>
      </w:pPr>
      <w:r>
        <w:t xml:space="preserve">- 删除帐号：应用程式内触发，若设定密码需验证目前密码；删除后订单保留但与帐号脱钩。</w:t>
      </w:r>
      <w:r/>
    </w:p>
    <w:p w14:paraId="12EF5537">
      <w:pPr>
        <w:pBdr/>
        <w:spacing/>
        <w:ind/>
        <w:rPr/>
      </w:pPr>
      <w:r>
        <w:t xml:space="preserve">8. 资讯安全</w:t>
      </w:r>
      <w:r/>
    </w:p>
    <w:p w14:paraId="4F3370CA">
      <w:pPr>
        <w:pBdr/>
        <w:spacing/>
        <w:ind/>
        <w:rPr/>
      </w:pPr>
      <w:r>
        <w:t xml:space="preserve">- 密码采用强杂凑储存；刷新令牌仅保存杂凑；数据库启用外键约束与删除级联控制，尽量减少越权与误删风险。</w:t>
      </w:r>
      <w:r/>
    </w:p>
    <w:p w14:paraId="19F1FB88">
      <w:pPr>
        <w:pBdr/>
        <w:spacing/>
        <w:ind/>
        <w:rPr/>
      </w:pPr>
      <w:r>
        <w:t xml:space="preserve">- 我们不主动收集设备唯一识别码（如 IMEI/IMSI、IDFA）与精确位置；若开启崩溃诊断，第三方 SDK 可能会撷取装置与系统版本等用于定位问题的资料。</w:t>
      </w:r>
      <w:r/>
    </w:p>
    <w:p w14:paraId="4A8E5A38">
      <w:pPr>
        <w:pBdr/>
        <w:spacing/>
        <w:ind/>
        <w:rPr/>
      </w:pPr>
      <w:r>
        <w:t xml:space="preserve">9. 国际传输与跨境</w:t>
      </w:r>
      <w:r/>
    </w:p>
    <w:p w14:paraId="042A86AE">
      <w:pPr>
        <w:pBdr/>
        <w:spacing/>
        <w:ind/>
        <w:rPr/>
      </w:pPr>
      <w:r>
        <w:t xml:space="preserve">- 系统可能与位于不同区域的上游供应商或支付网关交互，仅在业务必要范围内传输数据，并尽量采用去识别化或最小化策略。</w:t>
      </w:r>
      <w:r/>
    </w:p>
    <w:p w14:paraId="392C26EF">
      <w:pPr>
        <w:pBdr/>
        <w:spacing/>
        <w:ind/>
        <w:rPr/>
      </w:pPr>
      <w:r>
        <w:t xml:space="preserve">10. 儿童隐私</w:t>
      </w:r>
      <w:r/>
    </w:p>
    <w:p w14:paraId="68E45AAB">
      <w:pPr>
        <w:pBdr/>
        <w:spacing/>
        <w:ind/>
        <w:rPr/>
      </w:pPr>
      <w:r>
        <w:t xml:space="preserve">- 服务针对成人使用者；我们不以识别儿童为目的收集资料；如误收集，将应请求尽快删除。</w:t>
      </w:r>
      <w:r/>
    </w:p>
    <w:p w14:paraId="5C7D001B">
      <w:pPr>
        <w:pBdr/>
        <w:spacing/>
        <w:ind/>
        <w:rPr/>
      </w:pPr>
      <w:r>
        <w:t xml:space="preserve">11. eKYC（身份验证与合规）</w:t>
      </w:r>
      <w:r/>
    </w:p>
    <w:p w14:paraId="41CCA2EA">
      <w:pPr>
        <w:pBdr/>
        <w:spacing/>
        <w:ind/>
        <w:rPr/>
      </w:pPr>
      <w:r/>
      <w:r/>
    </w:p>
    <w:p w14:paraId="57390095">
      <w:pPr>
        <w:pBdr/>
        <w:spacing/>
        <w:ind/>
        <w:rPr/>
      </w:pPr>
      <w:r>
        <w:t xml:space="preserve">- 目的与范围</w:t>
      </w:r>
      <w:r/>
    </w:p>
    <w:p w14:paraId="510B4B8F">
      <w:pPr>
        <w:pBdr/>
        <w:spacing/>
        <w:ind/>
        <w:rPr/>
      </w:pPr>
      <w:r>
        <w:t xml:space="preserve">- 当法规、上游供应商或支付网关要求进行身分核验时，我们可能会进行 eKYC（电子身分验证）以满足反洗钱/反恐怖主义融资、电信合规、风险防控等要求。</w:t>
      </w:r>
      <w:r/>
    </w:p>
    <w:p w14:paraId="49C42A9F">
      <w:pPr>
        <w:pBdr/>
        <w:spacing/>
        <w:ind/>
        <w:rPr/>
      </w:pPr>
      <w:r>
        <w:t xml:space="preserve">- 我们可能收集的身份资讯（按需收集，非必然项）</w:t>
      </w:r>
      <w:r/>
    </w:p>
    <w:p w14:paraId="3682795C">
      <w:pPr>
        <w:pBdr/>
        <w:spacing/>
        <w:ind/>
        <w:rPr/>
      </w:pPr>
      <w:r>
        <w:t xml:space="preserve">- 基本资讯：姓名、性别（如适用）、出生日期、国籍/地区、证件类型与号码、证件签发方与有效期限。</w:t>
      </w:r>
      <w:r/>
    </w:p>
    <w:p w14:paraId="2CF20EA7">
      <w:pPr>
        <w:pBdr/>
        <w:spacing/>
        <w:ind/>
        <w:rPr/>
      </w:pPr>
      <w:r>
        <w:t xml:space="preserve">- 影像与活体：证件照片、自拍照/活体检测、短视频（如监管或服务方要求）。</w:t>
      </w:r>
      <w:r/>
    </w:p>
    <w:p w14:paraId="77EE77DB">
      <w:pPr>
        <w:pBdr/>
        <w:spacing/>
        <w:ind/>
        <w:rPr/>
      </w:pPr>
      <w:r>
        <w:t xml:space="preserve">- 联络方式与关联：邮箱、手机号码（如为验证与通知必要）；与订单的必要对应标识。</w:t>
      </w:r>
      <w:r/>
    </w:p>
    <w:p w14:paraId="59780E04">
      <w:pPr>
        <w:pBdr/>
        <w:spacing/>
        <w:ind/>
        <w:rPr/>
      </w:pPr>
      <w:r>
        <w:t xml:space="preserve">- 反诈骗与合规辅助：装置与网路属性（如作业系统版本、浏览器或装置模型）、时间戳记、校验结果与风险评分（如第三方服务回传）。</w:t>
      </w:r>
      <w:r/>
    </w:p>
    <w:p w14:paraId="247A9015">
      <w:pPr>
        <w:pBdr/>
        <w:spacing/>
        <w:ind/>
        <w:rPr/>
      </w:pPr>
      <w:r>
        <w:t xml:space="preserve">- 使用目的与法律基础</w:t>
      </w:r>
      <w:r/>
    </w:p>
    <w:p w14:paraId="250238B0">
      <w:pPr>
        <w:pBdr/>
        <w:spacing/>
        <w:ind/>
        <w:rPr/>
      </w:pPr>
      <w:r>
        <w:t xml:space="preserve">- 合约履行与服务提供：在完成购买与交付需要身分核验的地区或场景。</w:t>
      </w:r>
      <w:r/>
    </w:p>
    <w:p w14:paraId="408ACD83">
      <w:pPr>
        <w:pBdr/>
        <w:spacing/>
        <w:ind/>
        <w:rPr/>
      </w:pPr>
      <w:r>
        <w:t xml:space="preserve">- 法律义务：遵守适用法规（含反洗钱/反恐融资电信合规等）与法规要求。</w:t>
      </w:r>
      <w:r/>
    </w:p>
    <w:p w14:paraId="77C8DA24">
      <w:pPr>
        <w:pBdr/>
        <w:spacing/>
        <w:ind/>
        <w:rPr/>
      </w:pPr>
      <w:r>
        <w:t xml:space="preserve">- 合理利益：防止诈骗与滥用、保障网路与支付安全。</w:t>
      </w:r>
      <w:r/>
    </w:p>
    <w:p w14:paraId="42DD29EB">
      <w:pPr>
        <w:pBdr/>
        <w:spacing/>
        <w:ind/>
        <w:rPr/>
      </w:pPr>
      <w:r>
        <w:t xml:space="preserve">- 第三方与跨境传输</w:t>
      </w:r>
      <w:r/>
    </w:p>
    <w:p w14:paraId="333DA90C">
      <w:pPr>
        <w:pBdr/>
        <w:spacing/>
        <w:ind/>
        <w:rPr/>
      </w:pPr>
      <w:r>
        <w:t xml:space="preserve">- 我们可能与合规的第三方 eKYC 服务、上游供应商或支付网关共享必要资讯以完成核验；共享仅限最小必要范围。</w:t>
      </w:r>
      <w:r/>
    </w:p>
    <w:p w14:paraId="53FF2E44">
      <w:pPr>
        <w:pBdr/>
        <w:spacing/>
        <w:ind/>
        <w:rPr/>
      </w:pPr>
      <w:r>
        <w:t xml:space="preserve">- 资讯可能跨国传输至提供服务的地区或监管要求的地区；我们将尽力采取去识别化或最小化策略。</w:t>
      </w:r>
      <w:r/>
    </w:p>
    <w:p w14:paraId="243E4389">
      <w:pPr>
        <w:pBdr/>
        <w:spacing/>
        <w:ind/>
        <w:rPr/>
      </w:pPr>
      <w:r>
        <w:t xml:space="preserve">- 保留与删除</w:t>
      </w:r>
      <w:r/>
    </w:p>
    <w:p w14:paraId="4C986001">
      <w:pPr>
        <w:pBdr/>
        <w:spacing/>
        <w:ind/>
        <w:rPr/>
      </w:pPr>
      <w:r>
        <w:t xml:space="preserve">- 身分资讯的保留时间以适用法律法规或监管指引的最低必要期限为准；期限届满后将删除或匿名化处理。</w:t>
      </w:r>
      <w:r/>
    </w:p>
    <w:p w14:paraId="64135F32">
      <w:pPr>
        <w:pBdr/>
        <w:spacing/>
        <w:ind/>
        <w:rPr/>
      </w:pPr>
      <w:r>
        <w:t xml:space="preserve">- 与订单、付款相关的记录将依合规要求保留；删除帐号后，订单保留但去识别化（脱离 user_id）。</w:t>
      </w:r>
      <w:r/>
    </w:p>
    <w:p w14:paraId="0653CD5D">
      <w:pPr>
        <w:pBdr/>
        <w:spacing/>
        <w:ind/>
        <w:rPr/>
      </w:pPr>
      <w:r>
        <w:t xml:space="preserve">- 您的权利</w:t>
      </w:r>
      <w:r/>
    </w:p>
    <w:p w14:paraId="06F025C9">
      <w:pPr>
        <w:pBdr/>
        <w:spacing/>
        <w:ind/>
        <w:rPr/>
      </w:pPr>
      <w:r>
        <w:t xml:space="preserve">- 您可以申请存取和更正 eKYC 资讯；在符合法律义务的前提下可申请删除或限制处理。处于强制合规保留期间的记录，可能无法立即删除。</w:t>
      </w:r>
      <w:r/>
    </w:p>
    <w:p w14:paraId="63A2B5C6">
      <w:pPr>
        <w:pBdr/>
        <w:spacing/>
        <w:ind/>
        <w:rPr/>
      </w:pPr>
      <w:r>
        <w:t xml:space="preserve">- 安全与最小化</w:t>
      </w:r>
      <w:r/>
    </w:p>
    <w:p w14:paraId="6B85001D">
      <w:pPr>
        <w:pBdr/>
        <w:spacing/>
        <w:ind/>
        <w:rPr/>
      </w:pPr>
      <w:r>
        <w:t xml:space="preserve">- 我们采用加密与存取控制等措施保护 eKYC 资讯；仅在必要范围内收集与处理，尽量使用去识别化或摘要/令牌形式储存结果。</w:t>
      </w:r>
      <w:r/>
    </w:p>
    <w:p w14:paraId="66D852DD">
      <w:pPr>
        <w:pBdr/>
        <w:spacing/>
        <w:ind/>
        <w:rPr/>
      </w:pPr>
      <w:r>
        <w:t xml:space="preserve">12. 政策更新与生效</w:t>
      </w:r>
      <w:r/>
    </w:p>
    <w:p w14:paraId="24BC4A53">
      <w:pPr>
        <w:pBdr/>
        <w:spacing/>
        <w:ind/>
        <w:rPr/>
      </w:pPr>
      <w:r>
        <w:t xml:space="preserve">- 我们将根据功能与合规要求更新本政策；重要变更将在应用「更多资讯 &gt; 隐私权政策」提示。</w:t>
      </w:r>
      <w:r/>
    </w:p>
    <w:p w14:paraId="0DFBA09F">
      <w:pPr>
        <w:pBdr/>
        <w:spacing/>
        <w:ind/>
        <w:rPr/>
      </w:pPr>
      <w:r>
        <w:t xml:space="preserve">- 生效日期：2025-12-10。</w:t>
      </w:r>
      <w:r/>
    </w:p>
    <w:p w14:paraId="1A5D9E66">
      <w:pPr>
        <w:pBdr/>
        <w:spacing/>
        <w:ind/>
        <w:rPr/>
      </w:pPr>
      <w:r>
        <w:t xml:space="preserve">13. 联络我们</w:t>
      </w:r>
      <w:r/>
    </w:p>
    <w:p w14:paraId="66C7E954">
      <w:pPr>
        <w:pBdr/>
        <w:spacing/>
        <w:ind/>
        <w:rPr/>
      </w:pPr>
      <w:r>
        <w:t xml:space="preserve">- 支援邮箱： @esim.fit 。</w:t>
      </w:r>
      <w:r/>
      <w: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C7CDD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FFEC4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8FB9E0D"/>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DFE8D46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9F741A7"/>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FFEB3E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6">
    <w:nsid w:val="177F0E3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37F042C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791E6F9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6"/>
  </w:num>
  <w:num w:numId="2">
    <w:abstractNumId w:val="1"/>
  </w:num>
  <w:num w:numId="3">
    <w:abstractNumId w:val="3"/>
  </w:num>
  <w:num w:numId="4">
    <w:abstractNumId w:val="8"/>
  </w:num>
  <w:num w:numId="5">
    <w:abstractNumId w:val="4"/>
  </w:num>
  <w:num w:numId="6">
    <w:abstractNumId w:val="7"/>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2"/>
    <w:basedOn w:val="901"/>
    <w:next w:val="901"/>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6">
    <w:name w:val="Heading 4"/>
    <w:basedOn w:val="901"/>
    <w:next w:val="901"/>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1"/>
    <w:next w:val="901"/>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1"/>
    <w:next w:val="901"/>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1"/>
    <w:next w:val="901"/>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1"/>
    <w:next w:val="901"/>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1"/>
    <w:next w:val="901"/>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2" w:default="1">
    <w:name w:val="No List"/>
    <w:uiPriority w:val="99"/>
    <w:semiHidden/>
    <w:unhideWhenUsed/>
    <w:pPr>
      <w:pBdr/>
      <w:spacing/>
      <w:ind/>
    </w:pPr>
  </w:style>
  <w:style w:type="character" w:styleId="853">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4">
    <w:name w:val="Heading 2 Char"/>
    <w:basedOn w:val="904"/>
    <w:link w:val="845"/>
    <w:uiPriority w:val="9"/>
    <w:pPr>
      <w:pBdr/>
      <w:spacing/>
      <w:ind/>
    </w:pPr>
    <w:rPr>
      <w:rFonts w:ascii="Arial" w:hAnsi="Arial" w:eastAsia="Arial" w:cs="Arial"/>
      <w:color w:val="0f4761" w:themeColor="accent1" w:themeShade="BF"/>
      <w:sz w:val="32"/>
      <w:szCs w:val="32"/>
    </w:rPr>
  </w:style>
  <w:style w:type="character" w:styleId="855">
    <w:name w:val="Heading 3 Char"/>
    <w:basedOn w:val="904"/>
    <w:link w:val="903"/>
    <w:uiPriority w:val="9"/>
    <w:pPr>
      <w:pBdr/>
      <w:spacing/>
      <w:ind/>
    </w:pPr>
    <w:rPr>
      <w:rFonts w:ascii="Arial" w:hAnsi="Arial" w:eastAsia="Arial" w:cs="Arial"/>
      <w:color w:val="0f4761" w:themeColor="accent1" w:themeShade="BF"/>
      <w:sz w:val="28"/>
      <w:szCs w:val="28"/>
    </w:rPr>
  </w:style>
  <w:style w:type="character" w:styleId="856">
    <w:name w:val="Heading 4 Char"/>
    <w:basedOn w:val="904"/>
    <w:link w:val="846"/>
    <w:uiPriority w:val="9"/>
    <w:pPr>
      <w:pBdr/>
      <w:spacing/>
      <w:ind/>
    </w:pPr>
    <w:rPr>
      <w:rFonts w:ascii="Arial" w:hAnsi="Arial" w:eastAsia="Arial" w:cs="Arial"/>
      <w:i/>
      <w:iCs/>
      <w:color w:val="0f4761" w:themeColor="accent1" w:themeShade="BF"/>
    </w:rPr>
  </w:style>
  <w:style w:type="character" w:styleId="857">
    <w:name w:val="Heading 5 Char"/>
    <w:basedOn w:val="904"/>
    <w:link w:val="847"/>
    <w:uiPriority w:val="9"/>
    <w:pPr>
      <w:pBdr/>
      <w:spacing/>
      <w:ind/>
    </w:pPr>
    <w:rPr>
      <w:rFonts w:ascii="Arial" w:hAnsi="Arial" w:eastAsia="Arial" w:cs="Arial"/>
      <w:color w:val="0f4761" w:themeColor="accent1" w:themeShade="BF"/>
    </w:rPr>
  </w:style>
  <w:style w:type="character" w:styleId="858">
    <w:name w:val="Heading 6 Char"/>
    <w:basedOn w:val="904"/>
    <w:link w:val="848"/>
    <w:uiPriority w:val="9"/>
    <w:pPr>
      <w:pBdr/>
      <w:spacing/>
      <w:ind/>
    </w:pPr>
    <w:rPr>
      <w:rFonts w:ascii="Arial" w:hAnsi="Arial" w:eastAsia="Arial" w:cs="Arial"/>
      <w:i/>
      <w:iCs/>
      <w:color w:val="595959" w:themeColor="text1" w:themeTint="A6"/>
    </w:rPr>
  </w:style>
  <w:style w:type="character" w:styleId="859">
    <w:name w:val="Heading 7 Char"/>
    <w:basedOn w:val="904"/>
    <w:link w:val="849"/>
    <w:uiPriority w:val="9"/>
    <w:pPr>
      <w:pBdr/>
      <w:spacing/>
      <w:ind/>
    </w:pPr>
    <w:rPr>
      <w:rFonts w:ascii="Arial" w:hAnsi="Arial" w:eastAsia="Arial" w:cs="Arial"/>
      <w:color w:val="595959" w:themeColor="text1" w:themeTint="A6"/>
    </w:rPr>
  </w:style>
  <w:style w:type="character" w:styleId="860">
    <w:name w:val="Heading 8 Char"/>
    <w:basedOn w:val="904"/>
    <w:link w:val="850"/>
    <w:uiPriority w:val="9"/>
    <w:pPr>
      <w:pBdr/>
      <w:spacing/>
      <w:ind/>
    </w:pPr>
    <w:rPr>
      <w:rFonts w:ascii="Arial" w:hAnsi="Arial" w:eastAsia="Arial" w:cs="Arial"/>
      <w:i/>
      <w:iCs/>
      <w:color w:val="272727" w:themeColor="text1" w:themeTint="D8"/>
    </w:rPr>
  </w:style>
  <w:style w:type="character" w:styleId="861">
    <w:name w:val="Heading 9 Char"/>
    <w:basedOn w:val="904"/>
    <w:link w:val="851"/>
    <w:uiPriority w:val="9"/>
    <w:pPr>
      <w:pBdr/>
      <w:spacing/>
      <w:ind/>
    </w:pPr>
    <w:rPr>
      <w:rFonts w:ascii="Arial" w:hAnsi="Arial" w:eastAsia="Arial" w:cs="Arial"/>
      <w:i/>
      <w:iCs/>
      <w:color w:val="272727" w:themeColor="text1" w:themeTint="D8"/>
    </w:rPr>
  </w:style>
  <w:style w:type="paragraph" w:styleId="862">
    <w:name w:val="Title"/>
    <w:basedOn w:val="901"/>
    <w:next w:val="901"/>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904"/>
    <w:link w:val="862"/>
    <w:uiPriority w:val="10"/>
    <w:pPr>
      <w:pBdr/>
      <w:spacing/>
      <w:ind/>
    </w:pPr>
    <w:rPr>
      <w:rFonts w:ascii="Arial" w:hAnsi="Arial" w:eastAsia="Arial" w:cs="Arial"/>
      <w:spacing w:val="-10"/>
      <w:sz w:val="56"/>
      <w:szCs w:val="56"/>
    </w:rPr>
  </w:style>
  <w:style w:type="paragraph" w:styleId="864">
    <w:name w:val="Subtitle"/>
    <w:basedOn w:val="901"/>
    <w:next w:val="901"/>
    <w:link w:val="865"/>
    <w:uiPriority w:val="11"/>
    <w:qFormat/>
    <w:pPr>
      <w:numPr>
        <w:ilvl w:val="1"/>
      </w:numPr>
      <w:pBdr/>
      <w:spacing/>
      <w:ind/>
    </w:pPr>
    <w:rPr>
      <w:color w:val="595959" w:themeColor="text1" w:themeTint="A6"/>
      <w:spacing w:val="15"/>
      <w:sz w:val="28"/>
      <w:szCs w:val="28"/>
    </w:rPr>
  </w:style>
  <w:style w:type="character" w:styleId="865">
    <w:name w:val="Subtitle Char"/>
    <w:basedOn w:val="904"/>
    <w:link w:val="864"/>
    <w:uiPriority w:val="11"/>
    <w:pPr>
      <w:pBdr/>
      <w:spacing/>
      <w:ind/>
    </w:pPr>
    <w:rPr>
      <w:color w:val="595959" w:themeColor="text1" w:themeTint="A6"/>
      <w:spacing w:val="15"/>
      <w:sz w:val="28"/>
      <w:szCs w:val="28"/>
    </w:rPr>
  </w:style>
  <w:style w:type="paragraph" w:styleId="866">
    <w:name w:val="Quote"/>
    <w:basedOn w:val="901"/>
    <w:next w:val="901"/>
    <w:link w:val="867"/>
    <w:uiPriority w:val="29"/>
    <w:qFormat/>
    <w:pPr>
      <w:pBdr/>
      <w:spacing w:before="160"/>
      <w:ind/>
      <w:jc w:val="center"/>
    </w:pPr>
    <w:rPr>
      <w:i/>
      <w:iCs/>
      <w:color w:val="404040" w:themeColor="text1" w:themeTint="BF"/>
    </w:rPr>
  </w:style>
  <w:style w:type="character" w:styleId="867">
    <w:name w:val="Quote Char"/>
    <w:basedOn w:val="904"/>
    <w:link w:val="866"/>
    <w:uiPriority w:val="29"/>
    <w:pPr>
      <w:pBdr/>
      <w:spacing/>
      <w:ind/>
    </w:pPr>
    <w:rPr>
      <w:i/>
      <w:iCs/>
      <w:color w:val="404040" w:themeColor="text1" w:themeTint="BF"/>
    </w:rPr>
  </w:style>
  <w:style w:type="paragraph" w:styleId="868">
    <w:name w:val="List Paragraph"/>
    <w:basedOn w:val="901"/>
    <w:uiPriority w:val="34"/>
    <w:qFormat/>
    <w:pPr>
      <w:pBdr/>
      <w:spacing/>
      <w:ind w:left="720"/>
      <w:contextualSpacing w:val="true"/>
    </w:pPr>
  </w:style>
  <w:style w:type="character" w:styleId="869">
    <w:name w:val="Intense Emphasis"/>
    <w:basedOn w:val="904"/>
    <w:uiPriority w:val="21"/>
    <w:qFormat/>
    <w:pPr>
      <w:pBdr/>
      <w:spacing/>
      <w:ind/>
    </w:pPr>
    <w:rPr>
      <w:i/>
      <w:iCs/>
      <w:color w:val="0f4761" w:themeColor="accent1" w:themeShade="BF"/>
    </w:rPr>
  </w:style>
  <w:style w:type="paragraph" w:styleId="870">
    <w:name w:val="Intense Quote"/>
    <w:basedOn w:val="901"/>
    <w:next w:val="901"/>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04"/>
    <w:link w:val="870"/>
    <w:uiPriority w:val="30"/>
    <w:pPr>
      <w:pBdr/>
      <w:spacing/>
      <w:ind/>
    </w:pPr>
    <w:rPr>
      <w:i/>
      <w:iCs/>
      <w:color w:val="0f4761" w:themeColor="accent1" w:themeShade="BF"/>
    </w:rPr>
  </w:style>
  <w:style w:type="character" w:styleId="872">
    <w:name w:val="Intense Reference"/>
    <w:basedOn w:val="904"/>
    <w:uiPriority w:val="32"/>
    <w:qFormat/>
    <w:pPr>
      <w:pBdr/>
      <w:spacing/>
      <w:ind/>
    </w:pPr>
    <w:rPr>
      <w:b/>
      <w:bCs/>
      <w:smallCaps/>
      <w:color w:val="0f4761" w:themeColor="accent1" w:themeShade="BF"/>
      <w:spacing w:val="5"/>
    </w:rPr>
  </w:style>
  <w:style w:type="paragraph" w:styleId="873">
    <w:name w:val="No Spacing"/>
    <w:basedOn w:val="901"/>
    <w:uiPriority w:val="1"/>
    <w:qFormat/>
    <w:pPr>
      <w:pBdr/>
      <w:spacing w:after="0" w:line="240" w:lineRule="auto"/>
      <w:ind/>
    </w:pPr>
  </w:style>
  <w:style w:type="character" w:styleId="874">
    <w:name w:val="Subtle Emphasis"/>
    <w:basedOn w:val="904"/>
    <w:uiPriority w:val="19"/>
    <w:qFormat/>
    <w:pPr>
      <w:pBdr/>
      <w:spacing/>
      <w:ind/>
    </w:pPr>
    <w:rPr>
      <w:i/>
      <w:iCs/>
      <w:color w:val="404040" w:themeColor="text1" w:themeTint="BF"/>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3"/>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 w:type="character" w:styleId="908">
    <w:name w:val="Emphasis"/>
    <w:basedOn w:val="904"/>
    <w:uiPriority w:val="0"/>
    <w:qFormat/>
    <w:pPr>
      <w:pBdr/>
      <w:spacing/>
      <w:ind/>
    </w:pPr>
    <w:rPr>
      <w:i/>
    </w:rPr>
  </w:style>
  <w:style w:type="character" w:styleId="909">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3</cp:revision>
  <dcterms:created xsi:type="dcterms:W3CDTF">2025-07-30T00:14:00Z</dcterms:created>
  <dcterms:modified xsi:type="dcterms:W3CDTF">2025-12-10T08:51:01Z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