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w:t>
      </w:r>
      <w:r>
        <w:rPr>
          <w:rFonts w:hint="eastAsia" w:ascii="微软雅黑" w:hAnsi="微软雅黑" w:eastAsia="微软雅黑" w:cs="微软雅黑"/>
          <w:color w:val="auto"/>
          <w:spacing w:val="0"/>
          <w:position w:val="0"/>
          <w:sz w:val="21"/>
          <w:shd w:val="clear" w:fill="auto"/>
          <w:lang w:val="en-US" w:eastAsia="zh-CN"/>
        </w:rPr>
        <w:t>而</w:t>
      </w:r>
      <w:r>
        <w:rPr>
          <w:rFonts w:hint="eastAsia" w:ascii="微软雅黑" w:hAnsi="微软雅黑" w:eastAsia="微软雅黑" w:cs="微软雅黑"/>
          <w:color w:val="auto"/>
          <w:spacing w:val="0"/>
          <w:position w:val="0"/>
          <w:sz w:val="21"/>
          <w:shd w:val="clear" w:fill="auto"/>
        </w:rPr>
        <w:t>且可以帮助他们进行产品多元化和产品定制化服务，从而大幅提高软件的交付效率。</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行业发展</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本节重点介绍我国PaaS市场的发展情况与动向，所有数据若未专门说明则是来自于中国信息通信研究院2021年7月发表的云计算白皮书（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"http://www.caict.ac.cn/kxyj/qwfb/bps/202107/P020210727458966329996.pdf"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中国信通院，2021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历了几年的稳定增长，2020年全球云计算市场增速放缓至13.1%，细分领域中PaaS产业规模增长较为突出，从2019年的375亿美元增长至2020年的463亿美元，涨幅为23.5%。相比于全球云计算市场增速滑坡的情况，我国云计算市场呈爆发式增长，2020年我国云计算市场整体规模增速为56.6%，公有云市场增长85.2%，私有云市场增长26.1%；拓展到细分领域，公有云PaaS市场规模在2020年突破100亿元（人民币），与2019相比提升145.3%，是去年我国云计算市场上发展最迅猛的赛道。</w:t>
      </w:r>
    </w:p>
    <w:p>
      <w:pPr>
        <w:spacing w:before="0" w:after="0" w:line="240" w:lineRule="auto"/>
        <w:ind w:right="0"/>
        <w:jc w:val="both"/>
        <w:rPr>
          <w:rFonts w:hint="default" w:ascii="微软雅黑" w:hAnsi="微软雅黑" w:eastAsia="微软雅黑" w:cs="微软雅黑"/>
          <w:color w:val="auto"/>
          <w:spacing w:val="0"/>
          <w:position w:val="0"/>
          <w:sz w:val="21"/>
          <w:shd w:val="clear" w:fill="auto"/>
          <w:lang w:val="en-US" w:eastAsia="zh-CN"/>
        </w:rPr>
      </w:pPr>
      <w:r>
        <w:rPr>
          <w:rFonts w:hint="default" w:ascii="微软雅黑" w:hAnsi="微软雅黑" w:eastAsia="微软雅黑" w:cs="微软雅黑"/>
          <w:color w:val="auto"/>
          <w:spacing w:val="0"/>
          <w:position w:val="0"/>
          <w:sz w:val="21"/>
          <w:shd w:val="clear" w:fill="auto"/>
          <w:lang w:val="en-US" w:eastAsia="zh-CN"/>
        </w:rPr>
        <w:drawing>
          <wp:inline distT="0" distB="0" distL="114300" distR="114300">
            <wp:extent cx="5268595" cy="3469005"/>
            <wp:effectExtent l="0" t="0" r="8255" b="17145"/>
            <wp:docPr id="10" name="图片 10" descr="162909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9092969(1)"/>
                    <pic:cNvPicPr>
                      <a:picLocks noChangeAspect="1"/>
                    </pic:cNvPicPr>
                  </pic:nvPicPr>
                  <pic:blipFill>
                    <a:blip r:embed="rId4"/>
                    <a:stretch>
                      <a:fillRect/>
                    </a:stretch>
                  </pic:blipFill>
                  <pic:spPr>
                    <a:xfrm>
                      <a:off x="0" y="0"/>
                      <a:ext cx="5268595" cy="3469005"/>
                    </a:xfrm>
                    <a:prstGeom prst="rect">
                      <a:avLst/>
                    </a:prstGeom>
                  </pic:spPr>
                </pic:pic>
              </a:graphicData>
            </a:graphic>
          </wp:inline>
        </w:drawing>
      </w:r>
    </w:p>
    <w:p>
      <w:pPr>
        <w:pStyle w:val="2"/>
        <w:spacing w:before="0" w:after="0" w:line="240" w:lineRule="auto"/>
        <w:ind w:right="0"/>
        <w:jc w:val="both"/>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中国公有云细分市场规模及增速</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厂商市场份额方面，位于我国公有云PaaS方面市场前列的是阿里云、腾讯云、百度云和华为云。</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w:t>
      </w:r>
      <w:r>
        <w:rPr>
          <w:rFonts w:hint="eastAsia" w:ascii="微软雅黑" w:hAnsi="微软雅黑" w:eastAsia="微软雅黑" w:cs="微软雅黑"/>
          <w:color w:val="auto"/>
          <w:spacing w:val="0"/>
          <w:position w:val="0"/>
          <w:sz w:val="21"/>
          <w:shd w:val="clear" w:fill="auto"/>
          <w:lang w:val="en-US" w:eastAsia="zh-CN"/>
        </w:rPr>
        <w:t xml:space="preserve">  h </w:t>
      </w:r>
      <w:r>
        <w:rPr>
          <w:rFonts w:hint="eastAsia" w:ascii="微软雅黑" w:hAnsi="微软雅黑" w:eastAsia="微软雅黑" w:cs="微软雅黑"/>
          <w:color w:val="auto"/>
          <w:spacing w:val="0"/>
          <w:position w:val="0"/>
          <w:sz w:val="21"/>
          <w:shd w:val="clear" w:fill="auto"/>
        </w:rPr>
        <w:t>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6"/>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4"/>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5"/>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7</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8"/>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本节将分别介绍Force.com与Heroku两个PaaS产品的架构，并引入一种将两个产品连通的架构设计Heroku Connect以便于把握整个Salesforce App Cloud的架构特点。</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4.2.1.1 Force.com架构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4.2.1.2 Heroku架构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Heroku使用一种简洁但强大的开源架构。如下图所示，Heroku的架构自外到内大致由反向代理服务器、HTTP缓存、动态路由处理层、动态计算单元（Dynamometer，一般简称为Dyno）网格层、数据库和内存缓存组成。</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drawing>
          <wp:inline distT="0" distB="0" distL="114300" distR="114300">
            <wp:extent cx="5114925" cy="5372100"/>
            <wp:effectExtent l="0" t="0" r="9525" b="0"/>
            <wp:docPr id="16" name="图片 16" descr="160474_1280646184Of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74_1280646184Ofrb"/>
                    <pic:cNvPicPr>
                      <a:picLocks noChangeAspect="1"/>
                    </pic:cNvPicPr>
                  </pic:nvPicPr>
                  <pic:blipFill>
                    <a:blip r:embed="rId19"/>
                    <a:stretch>
                      <a:fillRect/>
                    </a:stretch>
                  </pic:blipFill>
                  <pic:spPr>
                    <a:xfrm>
                      <a:off x="0" y="0"/>
                      <a:ext cx="5114925" cy="5372100"/>
                    </a:xfrm>
                    <a:prstGeom prst="rect">
                      <a:avLst/>
                    </a:prstGeom>
                  </pic:spPr>
                </pic:pic>
              </a:graphicData>
            </a:graphic>
          </wp:inline>
        </w:drawing>
      </w:r>
    </w:p>
    <w:p>
      <w:pPr>
        <w:pStyle w:val="2"/>
        <w:ind w:firstLine="500" w:firstLineChars="0"/>
        <w:jc w:val="left"/>
        <w:rPr>
          <w:rFonts w:hint="eastAsia" w:ascii="微软雅黑" w:hAnsi="微软雅黑" w:eastAsia="宋体" w:cs="微软雅黑"/>
          <w:color w:val="auto"/>
          <w:spacing w:val="0"/>
          <w:position w:val="0"/>
          <w:sz w:val="21"/>
          <w:szCs w:val="21"/>
          <w:shd w:val="clear" w:fill="auto"/>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Heroku架构示意图</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反向代理服务器</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尽管Heroku允许客户的应用直接通过HTTP被访问，但多数Heroku应用会采用Nginx进行反向代理（</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"https://dev.to/heroku/nginx-routing-on-heroku-567j"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Greg Nokes,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），以解决包括但不限于处理SSL、HTTP的请求中转和Gzip的压缩传输等问题。Heroku提供的用例中，客户常常同时部署多个前端Nginx 服务器来解决DNS及负载均衡的问题（</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"https://devcenter.heroku.com/articles/http-routing"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HTTP缓存</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有效的HTTP缓存可以让应用有更好的应答效率，同时能减轻动态计算单元上的负载（从而为客户降低成本）。Heroku不提供默认的HTTP缓存服务，推荐使用Amazon CloudFront和CloudFlare等内容分发网络CDN（</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"https://devcenter.heroku.com/articles/http-caching"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）或Rack::Cache和JAX-RS等HTTP缓存服务（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"https://devcenter.heroku.com/articles/increasing-application-performance-with-http-cache-headers"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）实现HTTP缓存。</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动态路由处理层</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每当应用被访问并且HTTP缓存中找不到请求对象，访问请求就会被传递进动态路由处理层，由动态路由处理层应用轮询调度算法决定分配哪些动态计算单元去处理这一请求（</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"https://www.oreilly.com/library/view/heroku-cloud-application/9781783550975/ch02s02.html"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Anonymous, 2014</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这</w:t>
      </w:r>
      <w:r>
        <w:rPr>
          <w:rFonts w:hint="eastAsia" w:ascii="微软雅黑" w:hAnsi="微软雅黑" w:eastAsia="微软雅黑" w:cs="微软雅黑"/>
          <w:color w:val="auto"/>
          <w:spacing w:val="0"/>
          <w:position w:val="0"/>
          <w:sz w:val="21"/>
          <w:szCs w:val="21"/>
          <w:shd w:val="clear" w:fill="auto"/>
          <w:lang w:val="en-US" w:eastAsia="zh-CN"/>
        </w:rPr>
        <w:t>个层面</w:t>
      </w:r>
      <w:r>
        <w:rPr>
          <w:rFonts w:hint="default" w:ascii="微软雅黑" w:hAnsi="微软雅黑" w:eastAsia="微软雅黑" w:cs="微软雅黑"/>
          <w:color w:val="auto"/>
          <w:spacing w:val="0"/>
          <w:position w:val="0"/>
          <w:sz w:val="21"/>
          <w:szCs w:val="21"/>
          <w:shd w:val="clear" w:fill="auto"/>
          <w:lang w:val="en-US" w:eastAsia="zh-CN"/>
        </w:rPr>
        <w:t>原理上是一个分布式的动态HTTP请求的路由池</w:t>
      </w:r>
      <w:r>
        <w:rPr>
          <w:rFonts w:hint="eastAsia" w:ascii="微软雅黑" w:hAnsi="微软雅黑" w:eastAsia="微软雅黑" w:cs="微软雅黑"/>
          <w:color w:val="auto"/>
          <w:spacing w:val="0"/>
          <w:position w:val="0"/>
          <w:sz w:val="21"/>
          <w:szCs w:val="21"/>
          <w:shd w:val="clear" w:fill="auto"/>
          <w:lang w:val="en-US" w:eastAsia="zh-CN"/>
        </w:rPr>
        <w:t>，大大增强了应用</w:t>
      </w:r>
      <w:r>
        <w:rPr>
          <w:rFonts w:hint="default" w:ascii="微软雅黑" w:hAnsi="微软雅黑" w:eastAsia="微软雅黑" w:cs="微软雅黑"/>
          <w:color w:val="auto"/>
          <w:spacing w:val="0"/>
          <w:position w:val="0"/>
          <w:sz w:val="21"/>
          <w:szCs w:val="21"/>
          <w:shd w:val="clear" w:fill="auto"/>
          <w:lang w:val="en-US" w:eastAsia="zh-CN"/>
        </w:rPr>
        <w:t>的可扩展性和容错性，可以根据下一层服务的负载容量来合理进行路由的选择。</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动态计算单元网格层</w:t>
      </w:r>
    </w:p>
    <w:p>
      <w:pPr>
        <w:numPr>
          <w:ilvl w:val="0"/>
          <w:numId w:val="0"/>
        </w:num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一层面是Heroku架构设计的核心。Heroku使用一种叫做Dyno（动态计算单元）的分离的虚拟化Linux容器来运行应用——Dyno可以被看作粒度更细的服务器集群环境；客户可以根据应用运行需要的资源量来指定使用的Dyno数量，Heroku也会根据Dyno的使用情况衡量服务用量并收取费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"https://www.heroku.com/dynos"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Dyno根据工作任务的不同分为三种类型：Web Dyno，Worker Dyno和One-off Dyno。</w:t>
      </w:r>
      <w:r>
        <w:rPr>
          <w:rFonts w:hint="default" w:ascii="微软雅黑" w:hAnsi="微软雅黑" w:eastAsia="微软雅黑" w:cs="微软雅黑"/>
          <w:color w:val="auto"/>
          <w:spacing w:val="0"/>
          <w:position w:val="0"/>
          <w:sz w:val="21"/>
          <w:szCs w:val="21"/>
          <w:shd w:val="clear" w:fill="auto"/>
          <w:lang w:val="en-US" w:eastAsia="zh-CN"/>
        </w:rPr>
        <w:t>最常用的Dyno类型是Web Dyno</w:t>
      </w:r>
      <w:r>
        <w:rPr>
          <w:rFonts w:hint="eastAsia" w:ascii="微软雅黑" w:hAnsi="微软雅黑" w:eastAsia="微软雅黑" w:cs="微软雅黑"/>
          <w:color w:val="auto"/>
          <w:spacing w:val="0"/>
          <w:position w:val="0"/>
          <w:sz w:val="21"/>
          <w:szCs w:val="21"/>
          <w:shd w:val="clear" w:fill="auto"/>
          <w:lang w:val="en-US" w:eastAsia="zh-CN"/>
        </w:rPr>
        <w:t>，相当于</w:t>
      </w:r>
      <w:r>
        <w:rPr>
          <w:rFonts w:hint="default" w:ascii="微软雅黑" w:hAnsi="微软雅黑" w:eastAsia="微软雅黑" w:cs="微软雅黑"/>
          <w:color w:val="auto"/>
          <w:spacing w:val="0"/>
          <w:position w:val="0"/>
          <w:sz w:val="21"/>
          <w:szCs w:val="21"/>
          <w:shd w:val="clear" w:fill="auto"/>
          <w:lang w:val="en-US" w:eastAsia="zh-CN"/>
        </w:rPr>
        <w:t>一个Web服务器实例</w:t>
      </w:r>
      <w:r>
        <w:rPr>
          <w:rFonts w:hint="eastAsia" w:ascii="微软雅黑" w:hAnsi="微软雅黑" w:eastAsia="微软雅黑" w:cs="微软雅黑"/>
          <w:color w:val="auto"/>
          <w:spacing w:val="0"/>
          <w:position w:val="0"/>
          <w:sz w:val="21"/>
          <w:szCs w:val="21"/>
          <w:shd w:val="clear" w:fill="auto"/>
          <w:lang w:val="en-US" w:eastAsia="zh-CN"/>
        </w:rPr>
        <w:t>，负责接收HTTP请求并提供服务，应用</w:t>
      </w:r>
      <w:r>
        <w:rPr>
          <w:rFonts w:hint="default" w:ascii="微软雅黑" w:hAnsi="微软雅黑" w:eastAsia="微软雅黑" w:cs="微软雅黑"/>
          <w:color w:val="auto"/>
          <w:spacing w:val="0"/>
          <w:position w:val="0"/>
          <w:sz w:val="21"/>
          <w:szCs w:val="21"/>
          <w:shd w:val="clear" w:fill="auto"/>
          <w:lang w:val="en-US" w:eastAsia="zh-CN"/>
        </w:rPr>
        <w:t>可以通过使用更多的Web Dyno以增强其请求处理能力</w:t>
      </w:r>
      <w:r>
        <w:rPr>
          <w:rFonts w:hint="eastAsia" w:ascii="微软雅黑" w:hAnsi="微软雅黑" w:eastAsia="微软雅黑" w:cs="微软雅黑"/>
          <w:color w:val="auto"/>
          <w:spacing w:val="0"/>
          <w:position w:val="0"/>
          <w:sz w:val="21"/>
          <w:szCs w:val="21"/>
          <w:shd w:val="clear" w:fill="auto"/>
          <w:lang w:val="en-US" w:eastAsia="zh-CN"/>
        </w:rPr>
        <w:t>；Worker Dyno负责</w:t>
      </w:r>
      <w:r>
        <w:rPr>
          <w:rFonts w:hint="default" w:ascii="微软雅黑" w:hAnsi="微软雅黑" w:eastAsia="微软雅黑" w:cs="微软雅黑"/>
          <w:color w:val="auto"/>
          <w:spacing w:val="0"/>
          <w:position w:val="0"/>
          <w:sz w:val="21"/>
          <w:szCs w:val="21"/>
          <w:shd w:val="clear" w:fill="auto"/>
          <w:lang w:val="en-US" w:eastAsia="zh-CN"/>
        </w:rPr>
        <w:t>执行后台作业或其他辅助任务</w:t>
      </w:r>
      <w:r>
        <w:rPr>
          <w:rFonts w:hint="eastAsia" w:ascii="微软雅黑" w:hAnsi="微软雅黑" w:eastAsia="微软雅黑" w:cs="微软雅黑"/>
          <w:color w:val="auto"/>
          <w:spacing w:val="0"/>
          <w:position w:val="0"/>
          <w:sz w:val="21"/>
          <w:szCs w:val="21"/>
          <w:shd w:val="clear" w:fill="auto"/>
          <w:lang w:val="en-US" w:eastAsia="zh-CN"/>
        </w:rPr>
        <w:t>以及由Web Dyno转交的耗时间且复杂的计算任务；One-off Dyno则承担客户偶尔需要的临时工作，例如一些周期性任务、临时备份或数据迁移等（</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"https://absyz.com/heroku-architecture/"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NagaSai, 2017</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数据库和内存缓存</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w:t>
      </w:r>
      <w:r>
        <w:rPr>
          <w:rFonts w:hint="eastAsia" w:ascii="微软雅黑" w:hAnsi="微软雅黑" w:eastAsia="微软雅黑" w:cs="微软雅黑"/>
          <w:color w:val="auto"/>
          <w:spacing w:val="0"/>
          <w:position w:val="0"/>
          <w:sz w:val="21"/>
          <w:szCs w:val="21"/>
          <w:shd w:val="clear" w:fill="auto"/>
          <w:lang w:val="en-US" w:eastAsia="zh-CN"/>
        </w:rPr>
        <w:t>采用PostgreSQL作为默认数据库，默认支持Redis提供内存缓存服务，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Heroku提供了大量的插件和扩展,可用于数据库、电子邮件支持和其他很多服务。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平台的灵活性极高且支持多种编程语言。若想把程序部署到Heroku上,开发者要使用Git把程序推送到Heroku的Git服务器上。在服务器上,git push命令会自动触发安装、配置和部署程序。</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0"/>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3"/>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4"/>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5"/>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6"/>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（James Somers, 2013）【重要材料】</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五、国内知名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本节主要调研国内较为知名的PaaS平台，包括龙头平台百度云、阿里云、腾讯云和华为云，以及后起之秀</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 百度应用引擎BAE</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百度应用引擎BAE (Baidu App Engine)专业版 提供基于云服务器和均衡负载的一站式应用部署服务，既能为客户提供独享且可靠的计算资源，又能提供用户级的资源隔离和更高的安全保障。BAE专业版与百度智能云其他服务如BCC（百度智能云服务器）、RDS（百度云关系型数据库服务）、SCS（简单缓存服务）、BOS（）和BMR（）等能实现无缝连接，并提供高度可定制的环</w:t>
      </w:r>
      <w:bookmarkStart w:id="0" w:name="_GoBack"/>
      <w:bookmarkEnd w:id="0"/>
      <w:r>
        <w:rPr>
          <w:rFonts w:hint="eastAsia" w:ascii="微软雅黑" w:hAnsi="微软雅黑" w:eastAsia="微软雅黑" w:cs="微软雅黑"/>
          <w:color w:val="auto"/>
          <w:spacing w:val="0"/>
          <w:position w:val="0"/>
          <w:sz w:val="21"/>
          <w:szCs w:val="21"/>
          <w:shd w:val="clear" w:fill="auto"/>
          <w:lang w:val="en-US" w:eastAsia="zh-CN"/>
        </w:rPr>
        <w:t>境，帮助企业级用户更高效地搭建专业型大型网站和各类web应用（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5.1.1 产品架构</w:t>
      </w:r>
    </w:p>
    <w:p>
      <w:pPr>
        <w:ind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BAE专业版典型部署架构图如下所示：</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337810" cy="4606290"/>
            <wp:effectExtent l="0" t="0" r="15240" b="381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7"/>
                    <a:stretch>
                      <a:fillRect/>
                    </a:stretch>
                  </pic:blipFill>
                  <pic:spPr>
                    <a:xfrm>
                      <a:off x="0" y="0"/>
                      <a:ext cx="5337810" cy="4606290"/>
                    </a:xfrm>
                    <a:prstGeom prst="rect">
                      <a:avLst/>
                    </a:prstGeom>
                    <a:noFill/>
                    <a:ln w="9525">
                      <a:noFill/>
                    </a:ln>
                  </pic:spPr>
                </pic:pic>
              </a:graphicData>
            </a:graphic>
          </wp:inline>
        </w:drawing>
      </w:r>
    </w:p>
    <w:p>
      <w:pPr>
        <w:pStyle w:val="2"/>
        <w:jc w:val="both"/>
        <w:rPr>
          <w:rFonts w:hint="default"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BAE专业版架构</w:t>
      </w:r>
      <w:r>
        <w:rPr>
          <w:rFonts w:hint="eastAsia"/>
          <w:lang w:val="en-US" w:eastAsia="zh-CN"/>
        </w:rPr>
        <w:t>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997575" cy="1830070"/>
            <wp:effectExtent l="0" t="0" r="3175" b="177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8"/>
                    <a:stretch>
                      <a:fillRect/>
                    </a:stretch>
                  </pic:blipFill>
                  <pic:spPr>
                    <a:xfrm>
                      <a:off x="0" y="0"/>
                      <a:ext cx="5997575" cy="1830070"/>
                    </a:xfrm>
                    <a:prstGeom prst="rect">
                      <a:avLst/>
                    </a:prstGeom>
                    <a:noFill/>
                    <a:ln w="9525">
                      <a:noFill/>
                    </a:ln>
                  </pic:spPr>
                </pic:pic>
              </a:graphicData>
            </a:graphic>
          </wp:inline>
        </w:drawing>
      </w:r>
    </w:p>
    <w:p>
      <w:pPr>
        <w:pStyle w:val="2"/>
        <w:spacing w:before="0" w:after="0" w:line="240" w:lineRule="auto"/>
        <w:ind w:right="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w:t>
      </w:r>
      <w:r>
        <w:rPr>
          <w:rFonts w:hint="eastAsia"/>
          <w:lang w:eastAsia="zh-CN"/>
        </w:rPr>
        <w:t>BAE使用流程示意图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BAE专业版支持的开发语言有Node.js、PHP、Python和Java。如果用户希望选择其他语言实现一些自定义或增强功能，可以选择BAE专业版的自定义镜像功能。自定义镜像功能协助用户将集成的镜像代码部署到镜像仓库，然后用户可以选择根据镜像创建应用来实现代码中的功能。用户可以在BAE专业版的操作控制台上通过镜像列表查看镜像仓库中各镜像以及其版本信息（</w:t>
      </w:r>
      <w:r>
        <w:rPr>
          <w:rFonts w:hint="eastAsia" w:ascii="微软雅黑" w:hAnsi="微软雅黑" w:eastAsia="微软雅黑" w:cs="微软雅黑"/>
          <w:color w:val="auto"/>
          <w:spacing w:val="0"/>
          <w:position w:val="0"/>
          <w:sz w:val="22"/>
          <w:szCs w:val="22"/>
          <w:shd w:val="clear" w:fill="auto"/>
          <w:lang w:val="en-US" w:eastAsia="zh-CN"/>
        </w:rPr>
        <w:fldChar w:fldCharType="begin"/>
      </w:r>
      <w:r>
        <w:rPr>
          <w:rFonts w:hint="eastAsia" w:ascii="微软雅黑" w:hAnsi="微软雅黑" w:eastAsia="微软雅黑" w:cs="微软雅黑"/>
          <w:color w:val="auto"/>
          <w:spacing w:val="0"/>
          <w:position w:val="0"/>
          <w:sz w:val="22"/>
          <w:szCs w:val="22"/>
          <w:shd w:val="clear" w:fill="auto"/>
          <w:lang w:val="en-US" w:eastAsia="zh-CN"/>
        </w:rPr>
        <w:instrText xml:space="preserve"> HYPERLINK "https://cloud.baidu.com/doc/BAE-Pro/s/2jwvxxra6" </w:instrText>
      </w:r>
      <w:r>
        <w:rPr>
          <w:rFonts w:hint="eastAsia" w:ascii="微软雅黑" w:hAnsi="微软雅黑" w:eastAsia="微软雅黑" w:cs="微软雅黑"/>
          <w:color w:val="auto"/>
          <w:spacing w:val="0"/>
          <w:position w:val="0"/>
          <w:sz w:val="22"/>
          <w:szCs w:val="22"/>
          <w:shd w:val="clear" w:fill="auto"/>
          <w:lang w:val="en-US" w:eastAsia="zh-CN"/>
        </w:rPr>
        <w:fldChar w:fldCharType="separate"/>
      </w:r>
      <w:r>
        <w:rPr>
          <w:rStyle w:val="7"/>
          <w:rFonts w:hint="eastAsia" w:ascii="微软雅黑" w:hAnsi="微软雅黑" w:eastAsia="微软雅黑" w:cs="微软雅黑"/>
          <w:spacing w:val="0"/>
          <w:position w:val="0"/>
          <w:sz w:val="22"/>
          <w:szCs w:val="22"/>
          <w:shd w:val="clear" w:fill="auto"/>
          <w:lang w:val="en-US" w:eastAsia="zh-CN"/>
        </w:rPr>
        <w:t>百度智能云，2019</w:t>
      </w:r>
      <w:r>
        <w:rPr>
          <w:rFonts w:hint="eastAsia" w:ascii="微软雅黑" w:hAnsi="微软雅黑" w:eastAsia="微软雅黑" w:cs="微软雅黑"/>
          <w:color w:val="auto"/>
          <w:spacing w:val="0"/>
          <w:position w:val="0"/>
          <w:sz w:val="22"/>
          <w:szCs w:val="22"/>
          <w:shd w:val="clear" w:fill="auto"/>
          <w:lang w:val="en-US" w:eastAsia="zh-CN"/>
        </w:rPr>
        <w:fldChar w:fldCharType="end"/>
      </w:r>
      <w:r>
        <w:rPr>
          <w:rFonts w:hint="eastAsia" w:ascii="微软雅黑" w:hAnsi="微软雅黑" w:eastAsia="微软雅黑" w:cs="微软雅黑"/>
          <w:color w:val="auto"/>
          <w:spacing w:val="0"/>
          <w:position w:val="0"/>
          <w:sz w:val="22"/>
          <w:szCs w:val="22"/>
          <w:shd w:val="clear" w:fill="auto"/>
          <w:lang w:val="en-US" w:eastAsia="zh-CN"/>
        </w:rPr>
        <w:t>）。</w:t>
      </w:r>
    </w:p>
    <w:p>
      <w:pPr>
        <w:spacing w:before="0" w:after="0" w:line="240" w:lineRule="auto"/>
        <w:ind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321300" cy="1042670"/>
            <wp:effectExtent l="0" t="0" r="12700" b="508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9"/>
                    <a:stretch>
                      <a:fillRect/>
                    </a:stretch>
                  </pic:blipFill>
                  <pic:spPr>
                    <a:xfrm>
                      <a:off x="0" y="0"/>
                      <a:ext cx="5321300" cy="1042670"/>
                    </a:xfrm>
                    <a:prstGeom prst="rect">
                      <a:avLst/>
                    </a:prstGeom>
                    <a:noFill/>
                    <a:ln w="9525">
                      <a:noFill/>
                    </a:ln>
                  </pic:spPr>
                </pic:pic>
              </a:graphicData>
            </a:graphic>
          </wp:inline>
        </w:drawing>
      </w:r>
    </w:p>
    <w:p>
      <w:pPr>
        <w:pStyle w:val="2"/>
        <w:spacing w:before="0" w:after="0" w:line="240" w:lineRule="auto"/>
        <w:ind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BAE自定义镜像操作流程</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8"/>
          <w:szCs w:val="28"/>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弹性、便捷、高可用的多语言环境应用部署服务，适于部署App、公众号、小程序、</w:t>
      </w:r>
      <w:r>
        <w:rPr>
          <w:rFonts w:hint="eastAsia" w:ascii="微软雅黑" w:hAnsi="微软雅黑" w:eastAsia="微软雅黑" w:cs="微软雅黑"/>
          <w:color w:val="auto"/>
          <w:spacing w:val="0"/>
          <w:position w:val="0"/>
          <w:sz w:val="21"/>
          <w:szCs w:val="21"/>
          <w:shd w:val="clear" w:fill="auto"/>
          <w:lang w:val="en-US" w:eastAsia="zh-CN"/>
        </w:rPr>
        <w:t>网站</w:t>
      </w:r>
      <w:r>
        <w:rPr>
          <w:rFonts w:hint="default" w:ascii="微软雅黑" w:hAnsi="微软雅黑" w:eastAsia="微软雅黑" w:cs="微软雅黑"/>
          <w:color w:val="auto"/>
          <w:spacing w:val="0"/>
          <w:position w:val="0"/>
          <w:sz w:val="21"/>
          <w:szCs w:val="21"/>
          <w:shd w:val="clear" w:fill="auto"/>
          <w:lang w:val="en-US" w:eastAsia="zh-CN"/>
        </w:rPr>
        <w:t>及电商/O2O/企业门户/CRM/办公应用等各种应用，</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5.1.1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0"/>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1DC9D"/>
    <w:multiLevelType w:val="singleLevel"/>
    <w:tmpl w:val="11A1DC9D"/>
    <w:lvl w:ilvl="0" w:tentative="0">
      <w:start w:val="1"/>
      <w:numFmt w:val="upperLetter"/>
      <w:suff w:val="space"/>
      <w:lvlText w:val="%1."/>
      <w:lvlJc w:val="left"/>
    </w:lvl>
  </w:abstractNum>
  <w:abstractNum w:abstractNumId="1">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AC10FB1"/>
    <w:multiLevelType w:val="singleLevel"/>
    <w:tmpl w:val="6AC10FB1"/>
    <w:lvl w:ilvl="0" w:tentative="0">
      <w:start w:val="2"/>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0EB674E"/>
    <w:rsid w:val="01D51BC4"/>
    <w:rsid w:val="02270822"/>
    <w:rsid w:val="04DC4210"/>
    <w:rsid w:val="05D43D4D"/>
    <w:rsid w:val="07DE3612"/>
    <w:rsid w:val="0A6F33B6"/>
    <w:rsid w:val="0EA271B7"/>
    <w:rsid w:val="25886C20"/>
    <w:rsid w:val="26717ED3"/>
    <w:rsid w:val="28670959"/>
    <w:rsid w:val="2AA460E3"/>
    <w:rsid w:val="2D417E69"/>
    <w:rsid w:val="2E9B51DF"/>
    <w:rsid w:val="312B0A47"/>
    <w:rsid w:val="3243293F"/>
    <w:rsid w:val="341369FD"/>
    <w:rsid w:val="3A514676"/>
    <w:rsid w:val="3B63281D"/>
    <w:rsid w:val="3FDC4F07"/>
    <w:rsid w:val="423E408B"/>
    <w:rsid w:val="42444C00"/>
    <w:rsid w:val="43D56EDB"/>
    <w:rsid w:val="444F094F"/>
    <w:rsid w:val="48FC527C"/>
    <w:rsid w:val="4C2348A5"/>
    <w:rsid w:val="4F697680"/>
    <w:rsid w:val="50D12A2F"/>
    <w:rsid w:val="51F67A55"/>
    <w:rsid w:val="58976C80"/>
    <w:rsid w:val="60B50CF8"/>
    <w:rsid w:val="61B33265"/>
    <w:rsid w:val="62186E9E"/>
    <w:rsid w:val="774B02C9"/>
    <w:rsid w:val="7A616E8D"/>
    <w:rsid w:val="7A942C1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hyperlink" Target="https://cloud.rohitkelapure.com/2018/11/when-to-choose-pas-pks.html" TargetMode="External"/><Relationship Id="rId6" Type="http://schemas.openxmlformats.org/officeDocument/2006/relationships/image" Target="media/image2.png"/><Relationship Id="rId5" Type="http://schemas.openxmlformats.org/officeDocument/2006/relationships/hyperlink" Target="https://apprenda.com/platform/" TargetMode="External"/><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jpe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2.svg"/><Relationship Id="rId12" Type="http://schemas.openxmlformats.org/officeDocument/2006/relationships/image" Target="media/image6.png"/><Relationship Id="rId11" Type="http://schemas.openxmlformats.org/officeDocument/2006/relationships/image" Target="media/image1.sv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2021-08-16T08:06:09Z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