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7"/>
          <w:rFonts w:hint="eastAsia" w:ascii="微软雅黑" w:hAnsi="微软雅黑" w:eastAsia="微软雅黑" w:cs="微软雅黑"/>
          <w:spacing w:val="0"/>
          <w:position w:val="0"/>
          <w:sz w:val="21"/>
          <w:shd w:val="clear" w:fill="auto"/>
        </w:rPr>
        <w:t>Sacha Labourey</w:t>
      </w:r>
      <w:r>
        <w:rPr>
          <w:rStyle w:val="7"/>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是将一个完整的软件研发和部署平台，包括应用设计、应用开发、应用测试和应用托管，都作为一种服务提供给客户。同时还是支撑SaaS实质落地的核心应用环境与工具，对于想进入或已经进入SaaS领域的提供商，不仅大大降低了他们服务的门槛，</w:t>
      </w:r>
      <w:r>
        <w:rPr>
          <w:rFonts w:hint="eastAsia" w:ascii="微软雅黑" w:hAnsi="微软雅黑" w:eastAsia="微软雅黑" w:cs="微软雅黑"/>
          <w:color w:val="auto"/>
          <w:spacing w:val="0"/>
          <w:position w:val="0"/>
          <w:sz w:val="21"/>
          <w:shd w:val="clear" w:fill="auto"/>
          <w:lang w:val="en-US" w:eastAsia="zh-CN"/>
        </w:rPr>
        <w:t>而</w:t>
      </w:r>
      <w:r>
        <w:rPr>
          <w:rFonts w:hint="eastAsia" w:ascii="微软雅黑" w:hAnsi="微软雅黑" w:eastAsia="微软雅黑" w:cs="微软雅黑"/>
          <w:color w:val="auto"/>
          <w:spacing w:val="0"/>
          <w:position w:val="0"/>
          <w:sz w:val="21"/>
          <w:shd w:val="clear" w:fill="auto"/>
        </w:rPr>
        <w:t>且可以帮助他们进行产品多元化和产品定制化服务，从而大幅提高软件的交付效率。</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行业发展</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本节重点介绍我国PaaS市场的发展情况与动向，所有数据若未专门说明则是来自于中国信息通信研究院2021年7月发表的云计算白皮书（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"http://www.caict.ac.cn/kxyj/qwfb/bps/202107/P020210727458966329996.pdf"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中国信通院，2021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历了几年的稳定增长，2020年全球云计算市场增速放缓至13.1%，细分领域中PaaS产业规模增长较为突出，从2019年的375亿美元增长至2020年的463亿美元，涨幅为23.5%。相比于全球云计算市场增速滑坡的情况，我国云计算市场呈爆发式增长，2020年我国云计算市场整体规模增速为56.6%，公有云市场增长85.2%，私有云市场增长26.1%；拓展到细分领域，公有云PaaS市场规模在2020年突破100亿元（人民币），与2019相比提升145.3%，是去年我国云计算市场上发展最迅猛的赛道。</w:t>
      </w:r>
    </w:p>
    <w:p>
      <w:pPr>
        <w:spacing w:before="0" w:after="0" w:line="240" w:lineRule="auto"/>
        <w:ind w:right="0"/>
        <w:jc w:val="both"/>
        <w:rPr>
          <w:rFonts w:hint="default" w:ascii="微软雅黑" w:hAnsi="微软雅黑" w:eastAsia="微软雅黑" w:cs="微软雅黑"/>
          <w:color w:val="auto"/>
          <w:spacing w:val="0"/>
          <w:position w:val="0"/>
          <w:sz w:val="21"/>
          <w:shd w:val="clear" w:fill="auto"/>
          <w:lang w:val="en-US" w:eastAsia="zh-CN"/>
        </w:rPr>
      </w:pPr>
      <w:r>
        <w:rPr>
          <w:rFonts w:hint="default" w:ascii="微软雅黑" w:hAnsi="微软雅黑" w:eastAsia="微软雅黑" w:cs="微软雅黑"/>
          <w:color w:val="auto"/>
          <w:spacing w:val="0"/>
          <w:position w:val="0"/>
          <w:sz w:val="21"/>
          <w:shd w:val="clear" w:fill="auto"/>
          <w:lang w:val="en-US" w:eastAsia="zh-CN"/>
        </w:rPr>
        <w:drawing>
          <wp:inline distT="0" distB="0" distL="114300" distR="114300">
            <wp:extent cx="5268595" cy="3469005"/>
            <wp:effectExtent l="0" t="0" r="8255" b="17145"/>
            <wp:docPr id="10" name="图片 10" descr="1629092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9092969(1)"/>
                    <pic:cNvPicPr>
                      <a:picLocks noChangeAspect="1"/>
                    </pic:cNvPicPr>
                  </pic:nvPicPr>
                  <pic:blipFill>
                    <a:blip r:embed="rId4"/>
                    <a:stretch>
                      <a:fillRect/>
                    </a:stretch>
                  </pic:blipFill>
                  <pic:spPr>
                    <a:xfrm>
                      <a:off x="0" y="0"/>
                      <a:ext cx="5268595" cy="3469005"/>
                    </a:xfrm>
                    <a:prstGeom prst="rect">
                      <a:avLst/>
                    </a:prstGeom>
                  </pic:spPr>
                </pic:pic>
              </a:graphicData>
            </a:graphic>
          </wp:inline>
        </w:drawing>
      </w:r>
    </w:p>
    <w:p>
      <w:pPr>
        <w:pStyle w:val="2"/>
        <w:spacing w:before="0" w:after="0" w:line="240" w:lineRule="auto"/>
        <w:ind w:right="0"/>
        <w:jc w:val="both"/>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中国公有云细分市场规模及增速</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厂商市场份额方面，位于我国公有云PaaS方面市场前列的是阿里云、腾讯云、百度云和华为云。</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w:t>
      </w:r>
      <w:r>
        <w:rPr>
          <w:rFonts w:hint="eastAsia" w:ascii="微软雅黑" w:hAnsi="微软雅黑" w:eastAsia="微软雅黑" w:cs="微软雅黑"/>
          <w:color w:val="auto"/>
          <w:spacing w:val="0"/>
          <w:position w:val="0"/>
          <w:sz w:val="21"/>
          <w:shd w:val="clear" w:fill="auto"/>
          <w:lang w:val="en-US" w:eastAsia="zh-CN"/>
        </w:rPr>
        <w:t xml:space="preserve">  h </w:t>
      </w:r>
      <w:r>
        <w:rPr>
          <w:rFonts w:hint="eastAsia" w:ascii="微软雅黑" w:hAnsi="微软雅黑" w:eastAsia="微软雅黑" w:cs="微软雅黑"/>
          <w:color w:val="auto"/>
          <w:spacing w:val="0"/>
          <w:position w:val="0"/>
          <w:sz w:val="21"/>
          <w:shd w:val="clear" w:fill="auto"/>
        </w:rPr>
        <w:t>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6"/>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主要从服务供应方和服务合作方的角度讨论可以和需要进行的活动，包括但不限于服务审计、监控服务、代码管理和配套支持。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4"/>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5"/>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7</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Force.com是</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Heroku是一个基于容器的PaaS平台，</w:t>
      </w:r>
    </w:p>
    <w:p>
      <w:pPr>
        <w:spacing w:before="0" w:after="0" w:line="240" w:lineRule="auto"/>
        <w:ind w:left="0"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8"/>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本节将分别介绍Force.com与Heroku两个PaaS产品的架构，并引入一种将两个产品连通的架构设计Heroku Connect以便于把握整个Salesforce App Cloud的架构特点。</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4.2.1.1 Force.com架构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4.2.1.2 Heroku架构</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Heroku使用一种简洁但强大的开源架构。如下图所示，Heroku的架构自外到内大致由反向代理服务器、HTTP缓存、动态路由处理层、动态计算单元（Dynamometer，一般简称为Dyno）网格层、数据库和内存缓存组成。</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drawing>
          <wp:inline distT="0" distB="0" distL="114300" distR="114300">
            <wp:extent cx="5114925" cy="5372100"/>
            <wp:effectExtent l="0" t="0" r="9525" b="0"/>
            <wp:docPr id="16" name="图片 16" descr="160474_1280646184Of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474_1280646184Ofrb"/>
                    <pic:cNvPicPr>
                      <a:picLocks noChangeAspect="1"/>
                    </pic:cNvPicPr>
                  </pic:nvPicPr>
                  <pic:blipFill>
                    <a:blip r:embed="rId19"/>
                    <a:stretch>
                      <a:fillRect/>
                    </a:stretch>
                  </pic:blipFill>
                  <pic:spPr>
                    <a:xfrm>
                      <a:off x="0" y="0"/>
                      <a:ext cx="5114925" cy="5372100"/>
                    </a:xfrm>
                    <a:prstGeom prst="rect">
                      <a:avLst/>
                    </a:prstGeom>
                  </pic:spPr>
                </pic:pic>
              </a:graphicData>
            </a:graphic>
          </wp:inline>
        </w:drawing>
      </w:r>
    </w:p>
    <w:p>
      <w:pPr>
        <w:pStyle w:val="2"/>
        <w:ind w:firstLine="500" w:firstLineChars="0"/>
        <w:jc w:val="left"/>
        <w:rPr>
          <w:rFonts w:hint="eastAsia" w:ascii="微软雅黑" w:hAnsi="微软雅黑" w:eastAsia="宋体" w:cs="微软雅黑"/>
          <w:color w:val="auto"/>
          <w:spacing w:val="0"/>
          <w:position w:val="0"/>
          <w:sz w:val="21"/>
          <w:szCs w:val="21"/>
          <w:shd w:val="clear" w:fill="auto"/>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Heroku架构示意图</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反向代理服务器</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尽管Heroku允许客户的应用直接通过HTTP被访问，但多数Heroku应用会采用Nginx进行反向代理（</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"https://dev.to/heroku/nginx-routing-on-heroku-567j"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Greg Nokes,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），以解决包括但不限于处理SSL、HTTP的请求中转和Gzip的压缩传输等问题。Heroku提供的用例中，客户常常同时部署多个前端Nginx 服务器来解决DNS及负载均衡的问题（</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"https://devcenter.heroku.com/articles/http-routing"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HTTP缓存</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有效的HTTP缓存可以让应用有更好的应答效率，同时能减轻动态计算单元上的负载（从而为客户降低成本）。Heroku不提供默认的HTTP缓存服务，推荐使用Amazon CloudFront和CloudFlare等内容分发网络CDN（</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"https://devcenter.heroku.com/articles/http-caching"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）或Rack::Cache和JAX-RS等HTTP缓存服务（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"https://devcenter.heroku.com/articles/increasing-application-performance-with-http-cache-headers"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）实现HTTP缓存。</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动态路由处理层</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每当应用被访问并且HTTP缓存中找不到请求对象，访问请求就会被传递进动态路由处理层，由动态路由处理层应用轮询调度算法决定分配哪些动态计算单元去处理这一请求（</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"https://www.oreilly.com/library/view/heroku-cloud-application/9781783550975/ch02s02.html"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Anonymous, 2014</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这</w:t>
      </w:r>
      <w:r>
        <w:rPr>
          <w:rFonts w:hint="eastAsia" w:ascii="微软雅黑" w:hAnsi="微软雅黑" w:eastAsia="微软雅黑" w:cs="微软雅黑"/>
          <w:color w:val="auto"/>
          <w:spacing w:val="0"/>
          <w:position w:val="0"/>
          <w:sz w:val="21"/>
          <w:szCs w:val="21"/>
          <w:shd w:val="clear" w:fill="auto"/>
          <w:lang w:val="en-US" w:eastAsia="zh-CN"/>
        </w:rPr>
        <w:t>个层面</w:t>
      </w:r>
      <w:r>
        <w:rPr>
          <w:rFonts w:hint="default" w:ascii="微软雅黑" w:hAnsi="微软雅黑" w:eastAsia="微软雅黑" w:cs="微软雅黑"/>
          <w:color w:val="auto"/>
          <w:spacing w:val="0"/>
          <w:position w:val="0"/>
          <w:sz w:val="21"/>
          <w:szCs w:val="21"/>
          <w:shd w:val="clear" w:fill="auto"/>
          <w:lang w:val="en-US" w:eastAsia="zh-CN"/>
        </w:rPr>
        <w:t>原理上是一个分布式的动态HTTP请求的路由池</w:t>
      </w:r>
      <w:r>
        <w:rPr>
          <w:rFonts w:hint="eastAsia" w:ascii="微软雅黑" w:hAnsi="微软雅黑" w:eastAsia="微软雅黑" w:cs="微软雅黑"/>
          <w:color w:val="auto"/>
          <w:spacing w:val="0"/>
          <w:position w:val="0"/>
          <w:sz w:val="21"/>
          <w:szCs w:val="21"/>
          <w:shd w:val="clear" w:fill="auto"/>
          <w:lang w:val="en-US" w:eastAsia="zh-CN"/>
        </w:rPr>
        <w:t>，大大增强了应用</w:t>
      </w:r>
      <w:r>
        <w:rPr>
          <w:rFonts w:hint="default" w:ascii="微软雅黑" w:hAnsi="微软雅黑" w:eastAsia="微软雅黑" w:cs="微软雅黑"/>
          <w:color w:val="auto"/>
          <w:spacing w:val="0"/>
          <w:position w:val="0"/>
          <w:sz w:val="21"/>
          <w:szCs w:val="21"/>
          <w:shd w:val="clear" w:fill="auto"/>
          <w:lang w:val="en-US" w:eastAsia="zh-CN"/>
        </w:rPr>
        <w:t>的可扩展性和容错性，可以根据下一层服务的负载容量来合理进行路由的选择。</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动态计算单元网格层</w:t>
      </w:r>
    </w:p>
    <w:p>
      <w:pPr>
        <w:numPr>
          <w:ilvl w:val="0"/>
          <w:numId w:val="0"/>
        </w:num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这一层面是Heroku架构设计的核心。Heroku使用一种叫做Dyno（动态计算单元）的分离的虚拟化Linux容器来运行应用——Dyno可以被看作粒度更细的服务器集群环境；客户可以根据应用运行需要的资源量来指定使用的Dyno数量，Heroku也会根据Dyno的使用情况衡量服务用量并收取费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"https://www.heroku.com/dynos"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Dyno根据工作任务的不同分为三种类型：Web Dyno，Worker Dyno和One-off Dyno。</w:t>
      </w:r>
      <w:r>
        <w:rPr>
          <w:rFonts w:hint="default" w:ascii="微软雅黑" w:hAnsi="微软雅黑" w:eastAsia="微软雅黑" w:cs="微软雅黑"/>
          <w:color w:val="auto"/>
          <w:spacing w:val="0"/>
          <w:position w:val="0"/>
          <w:sz w:val="21"/>
          <w:szCs w:val="21"/>
          <w:shd w:val="clear" w:fill="auto"/>
          <w:lang w:val="en-US" w:eastAsia="zh-CN"/>
        </w:rPr>
        <w:t>最常用的Dyno类型是Web Dyno</w:t>
      </w:r>
      <w:r>
        <w:rPr>
          <w:rFonts w:hint="eastAsia" w:ascii="微软雅黑" w:hAnsi="微软雅黑" w:eastAsia="微软雅黑" w:cs="微软雅黑"/>
          <w:color w:val="auto"/>
          <w:spacing w:val="0"/>
          <w:position w:val="0"/>
          <w:sz w:val="21"/>
          <w:szCs w:val="21"/>
          <w:shd w:val="clear" w:fill="auto"/>
          <w:lang w:val="en-US" w:eastAsia="zh-CN"/>
        </w:rPr>
        <w:t>，相当于</w:t>
      </w:r>
      <w:r>
        <w:rPr>
          <w:rFonts w:hint="default" w:ascii="微软雅黑" w:hAnsi="微软雅黑" w:eastAsia="微软雅黑" w:cs="微软雅黑"/>
          <w:color w:val="auto"/>
          <w:spacing w:val="0"/>
          <w:position w:val="0"/>
          <w:sz w:val="21"/>
          <w:szCs w:val="21"/>
          <w:shd w:val="clear" w:fill="auto"/>
          <w:lang w:val="en-US" w:eastAsia="zh-CN"/>
        </w:rPr>
        <w:t>一个Web服务器实例</w:t>
      </w:r>
      <w:r>
        <w:rPr>
          <w:rFonts w:hint="eastAsia" w:ascii="微软雅黑" w:hAnsi="微软雅黑" w:eastAsia="微软雅黑" w:cs="微软雅黑"/>
          <w:color w:val="auto"/>
          <w:spacing w:val="0"/>
          <w:position w:val="0"/>
          <w:sz w:val="21"/>
          <w:szCs w:val="21"/>
          <w:shd w:val="clear" w:fill="auto"/>
          <w:lang w:val="en-US" w:eastAsia="zh-CN"/>
        </w:rPr>
        <w:t>，负责接收HTTP请求并提供服务，应用</w:t>
      </w:r>
      <w:r>
        <w:rPr>
          <w:rFonts w:hint="default" w:ascii="微软雅黑" w:hAnsi="微软雅黑" w:eastAsia="微软雅黑" w:cs="微软雅黑"/>
          <w:color w:val="auto"/>
          <w:spacing w:val="0"/>
          <w:position w:val="0"/>
          <w:sz w:val="21"/>
          <w:szCs w:val="21"/>
          <w:shd w:val="clear" w:fill="auto"/>
          <w:lang w:val="en-US" w:eastAsia="zh-CN"/>
        </w:rPr>
        <w:t>可以通过使用更多的Web Dyno以增强其请求处理能力</w:t>
      </w:r>
      <w:r>
        <w:rPr>
          <w:rFonts w:hint="eastAsia" w:ascii="微软雅黑" w:hAnsi="微软雅黑" w:eastAsia="微软雅黑" w:cs="微软雅黑"/>
          <w:color w:val="auto"/>
          <w:spacing w:val="0"/>
          <w:position w:val="0"/>
          <w:sz w:val="21"/>
          <w:szCs w:val="21"/>
          <w:shd w:val="clear" w:fill="auto"/>
          <w:lang w:val="en-US" w:eastAsia="zh-CN"/>
        </w:rPr>
        <w:t>；Worker Dyno负责</w:t>
      </w:r>
      <w:r>
        <w:rPr>
          <w:rFonts w:hint="default" w:ascii="微软雅黑" w:hAnsi="微软雅黑" w:eastAsia="微软雅黑" w:cs="微软雅黑"/>
          <w:color w:val="auto"/>
          <w:spacing w:val="0"/>
          <w:position w:val="0"/>
          <w:sz w:val="21"/>
          <w:szCs w:val="21"/>
          <w:shd w:val="clear" w:fill="auto"/>
          <w:lang w:val="en-US" w:eastAsia="zh-CN"/>
        </w:rPr>
        <w:t>执行后台作业或其他辅助任务</w:t>
      </w:r>
      <w:r>
        <w:rPr>
          <w:rFonts w:hint="eastAsia" w:ascii="微软雅黑" w:hAnsi="微软雅黑" w:eastAsia="微软雅黑" w:cs="微软雅黑"/>
          <w:color w:val="auto"/>
          <w:spacing w:val="0"/>
          <w:position w:val="0"/>
          <w:sz w:val="21"/>
          <w:szCs w:val="21"/>
          <w:shd w:val="clear" w:fill="auto"/>
          <w:lang w:val="en-US" w:eastAsia="zh-CN"/>
        </w:rPr>
        <w:t>以及由Web Dyno转交的耗时间且复杂的计算任务；One-off Dyno则承担客户偶尔需要的临时工作，例如一些周期性任务、临时备份或数据迁移等（</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"https://absyz.com/heroku-architecture/"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NagaSai, 2017</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数据库和内存缓存</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w:t>
      </w:r>
      <w:r>
        <w:rPr>
          <w:rFonts w:hint="eastAsia" w:ascii="微软雅黑" w:hAnsi="微软雅黑" w:eastAsia="微软雅黑" w:cs="微软雅黑"/>
          <w:color w:val="auto"/>
          <w:spacing w:val="0"/>
          <w:position w:val="0"/>
          <w:sz w:val="21"/>
          <w:szCs w:val="21"/>
          <w:shd w:val="clear" w:fill="auto"/>
          <w:lang w:val="en-US" w:eastAsia="zh-CN"/>
        </w:rPr>
        <w:t>采用PostgreSQL作为默认数据库，默认支持Redis提供内存缓存服务，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Heroku提供了大量的插件和扩展,可用于数据库、电子邮件支持和其他很多服务。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平台的灵活性极高且支持多种编程语言。若想把程序部署到Heroku上,开发者要使用Git把程序推送到Heroku的Git服务器上。在服务器上,git push命令会自动触发安装、配置和部署程序。</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Cloud的实质就是整合了Force.com和Heroku两个组件的优势和特点形成的定制化PaaS平台。一般而言，客户可以自主选择依靠Force.com或者Heroku搭建自己的应用；但是，Salesforce更推荐使用一种架构上最优的设计Heroku Connect。</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20"/>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Cloud中，除了基本的API调用、CSV文件和ETL工具，基于Force.com和Heroku的应用相互之间还可以通过Heroku Connect来交换数据。Heroku Connect是一种保持Heroku中的Postgres数据库与Force.com的对象同步的复制技术，将Heroku和Force.com紧密结合在一起。</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1. Compute Intensive Work on Large Data Volumes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An application which needs complex workflows &amp; fine grained user access can be quickly created on Force.com. At those points in your application where you need compute intensive resources – you can send the computation request to Heroku through outbound workflow and sync back the results of the computation with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2"/>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use-case-1_3</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2. When Your App Requires Large Volume of Media Files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Instead of storing large volume of unstructured media files – videos, images – in force.com, store them on Heroku. The display the images/videos in context in your force.com app using Canvas. Canvas is a tool from Force.com which allows you to embed external content securely and in-context in Force.com user interface.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To store large volume of unstructured files using your Heroku application, you will also need storage on AWS.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3"/>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use-case-2_1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3. Employee App + B2C App: An Integrated Approach</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e.g. Macy’s Mobile App</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 visitor on a mobile app (served by Heroku), browses product information (served by Force.com through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4"/>
                    <a:stretch>
                      <a:fillRect/>
                    </a:stretch>
                  </pic:blipFill>
                  <pic:spPr>
                    <a:xfrm>
                      <a:off x="0" y="0"/>
                      <a:ext cx="3495675" cy="1247775"/>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visitor/customer then logs using social media (say Facebook) and “Like” a product item (&amp; shares it on his Facebook page). The customer’s interactions are captured by the Mobile Heroku App and synced back to Force.com Sales Cloud using Heroku Connect. The sales rep views customer’s interactions on Account page. The customer is a record in the Contact related list for that Account.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sales rep rewards the customer by sending a discount code, to the customer’s mobile app through SMS. The SMS message is delivered via ExactTarget Marketing Automation API. ExactTarget also sends the customer surveys which the customer can complete to earn more points.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5"/>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customer can also submit ideas for new products to the Force.com Customer Community through External Identity feature in Force.com. SSO between Heroku app and Force.com ensures that the customer only needs to login once.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You can find this last mentioned starter app for Heroku on  https://www.heroku.com/cx</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 do want to emphasize that each framework – Force.com and Heroku – are full functional enterprise application frameworks. While together, they are a potent combination, in a vast majority of applications each by itself can be a complete solution for your business requirements too. Ultimately, your skill as an architect shines in crafting the right architecture pattern and choosing what’s right for your business.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6"/>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 Multi-Tenant</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Multitenancy is an incredible word for influencing you to sound like a geek at supper parties, all things considered, all it implies is that you're sharing your assets. Salesforce gives a central arrangement of administrations to every one of its clients in the multitenant cloud. Regardless of the span of your business, you gain admittance to a similar registering power, information stockpiling, and central features. Whereas a customary single-inhabitant application requires a committed arrangement of assets to satisfy the necessities of only one association, a multitenant application can fulfil the requirements of numerous occupants (organizations or divisions inside an organization, and so forth.) utilizing the equipment assets and staff expected to oversee only a solitary programming case.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 Metadata</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In Metadata-Driven Architectures multitenancy is viable just when it can support applications that are dependable, adaptable, upgradeable, secure, and quick. It's hard to make a statically ordered application executable that can meet these and another one of kind, difficulties of multitenancy. Characteristically, a multitenant application must be dynamic in nature, or polymorphic, to satisfy the individual desires of different inhabitants and their clients. Thus, multitenant application plans have developed to utilize a runtime motor that produces application parts from metadata—information about the application itself. In an all-around characterized metadata-driven engineering, there is an unmistakable division of the ordered runtime engine (kernel), application information, the metadata that portrays the base usefulness of an application, and the metadata that relates to each occupant's information and customizations.</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 API</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On a very basic level, APIs enable diverse bits of programming to interface with each other and trade data. On the off chance that it sounds sort of theoretical, just take a quick glance at the PC you're working on right at this moment. You can presumably discover a progression of connections of different shapes and sizes that help various types of associations. These resemble the equipment form of APIs. You don't need to know how the USB port functions. You should simply understand that when you connect your telephone to a USB port, it passes data to your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APIs are comparable. Without knowing the subtle elements, you can interface your applications with different applications or programming frameworks. The fundamental innovation deals with the specifics of how data goes all through the framework.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Conclusion</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architecture is not a surprising result of any random series of hit and trial experiments. Every feature of its architecture has been carefully planned and placed right where it requires to be. If you get a hand at its architecture you can understand most of its functionality.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也可以通过使用</w:t>
      </w:r>
      <w:r>
        <w:rPr>
          <w:rFonts w:hint="eastAsia" w:ascii="微软雅黑" w:hAnsi="微软雅黑" w:eastAsia="微软雅黑" w:cs="微软雅黑"/>
          <w:color w:val="auto"/>
          <w:spacing w:val="0"/>
          <w:position w:val="0"/>
          <w:sz w:val="21"/>
          <w:szCs w:val="21"/>
          <w:shd w:val="clear" w:fill="auto"/>
          <w:lang w:val="en-US" w:eastAsia="zh-CN"/>
        </w:rPr>
        <w:t>Heroku社区已有或根据开放API</w:t>
      </w:r>
      <w:r>
        <w:rPr>
          <w:rFonts w:hint="default" w:ascii="微软雅黑" w:hAnsi="微软雅黑" w:eastAsia="微软雅黑" w:cs="微软雅黑"/>
          <w:color w:val="auto"/>
          <w:spacing w:val="0"/>
          <w:position w:val="0"/>
          <w:sz w:val="21"/>
          <w:szCs w:val="21"/>
          <w:shd w:val="clear" w:fill="auto"/>
          <w:lang w:val="en-US" w:eastAsia="zh-CN"/>
        </w:rPr>
        <w:t>自定义的构建包</w:t>
      </w:r>
      <w:r>
        <w:rPr>
          <w:rFonts w:hint="eastAsia" w:ascii="微软雅黑" w:hAnsi="微软雅黑" w:eastAsia="微软雅黑" w:cs="微软雅黑"/>
          <w:color w:val="auto"/>
          <w:spacing w:val="0"/>
          <w:position w:val="0"/>
          <w:sz w:val="21"/>
          <w:szCs w:val="21"/>
          <w:shd w:val="clear" w:fill="auto"/>
          <w:lang w:val="en-US" w:eastAsia="zh-CN"/>
        </w:rPr>
        <w:t>（Buildpacks）</w:t>
      </w:r>
      <w:r>
        <w:rPr>
          <w:rFonts w:hint="default" w:ascii="微软雅黑" w:hAnsi="微软雅黑" w:eastAsia="微软雅黑" w:cs="微软雅黑"/>
          <w:color w:val="auto"/>
          <w:spacing w:val="0"/>
          <w:position w:val="0"/>
          <w:sz w:val="21"/>
          <w:szCs w:val="21"/>
          <w:shd w:val="clear" w:fill="auto"/>
          <w:lang w:val="en-US" w:eastAsia="zh-CN"/>
        </w:rPr>
        <w:t>支持另一种语言</w:t>
      </w:r>
      <w:r>
        <w:rPr>
          <w:rFonts w:hint="eastAsia"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"https://www.heroku.com/languages"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关联配套</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The strength of Force.com lies not in the easy development tools, but in the integrated nature of the platform. Database, user directory, security access controls and application logic are tightly integrated in an enterprise grade framework. The applications you create can exchange data with any external system – ERP apps, databases and more – through a variety of ways including APIs, CSV files, ODBC connections.</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4.2.6 应用场景</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（James Somers, 2013）【重要材料】</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jc w:val="center"/>
      </w:pPr>
      <w:r>
        <w:rPr>
          <w:rFonts w:hint="eastAsia" w:ascii="微软雅黑" w:hAnsi="微软雅黑" w:eastAsia="微软雅黑" w:cs="微软雅黑"/>
          <w:color w:val="auto"/>
          <w:spacing w:val="0"/>
          <w:position w:val="0"/>
          <w:sz w:val="28"/>
          <w:szCs w:val="28"/>
          <w:shd w:val="clear" w:fill="auto"/>
          <w:lang w:val="en-US" w:eastAsia="zh-CN"/>
        </w:rPr>
        <w:t>4.3.1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4.4 IBM SmartCloud</w:t>
      </w:r>
    </w:p>
    <w:p>
      <w:pPr>
        <w:jc w:val="center"/>
      </w:pPr>
      <w:r>
        <w:rPr>
          <w:rFonts w:hint="eastAsia" w:ascii="微软雅黑" w:hAnsi="微软雅黑" w:eastAsia="微软雅黑" w:cs="微软雅黑"/>
          <w:color w:val="auto"/>
          <w:spacing w:val="0"/>
          <w:position w:val="0"/>
          <w:sz w:val="28"/>
          <w:szCs w:val="28"/>
          <w:shd w:val="clear" w:fill="auto"/>
          <w:lang w:val="en-US" w:eastAsia="zh-CN"/>
        </w:rPr>
        <w:t>4.4.1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4.5 Oracle</w:t>
      </w:r>
    </w:p>
    <w:p>
      <w:pPr>
        <w:jc w:val="center"/>
      </w:pPr>
      <w:r>
        <w:rPr>
          <w:rFonts w:hint="eastAsia" w:ascii="微软雅黑" w:hAnsi="微软雅黑" w:eastAsia="微软雅黑" w:cs="微软雅黑"/>
          <w:color w:val="auto"/>
          <w:spacing w:val="0"/>
          <w:position w:val="0"/>
          <w:sz w:val="28"/>
          <w:szCs w:val="28"/>
          <w:shd w:val="clear" w:fill="auto"/>
          <w:lang w:val="en-US" w:eastAsia="zh-CN"/>
        </w:rPr>
        <w:t>4.5.1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关联配套</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4.7.1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4.8.1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五、国内知名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本节主要调研国内较为知名的PaaS平台，包括龙头平台百度云、阿里云、腾讯云和华为云。</w:t>
      </w:r>
      <w:bookmarkStart w:id="0" w:name="_GoBack"/>
      <w:bookmarkEnd w:id="0"/>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主要从服务供应方和服务合作方的角度讨论可以和需要进行的活动，包括但不限于服务审计、监控服务、代码管理和配套支持。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5.1 百度应用引擎BAE</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百度应用引擎BAE (Baidu App Engine)专业版 提供基于云服务器和均衡负载的一站式应用部署服务，既能为客户提供独享且可靠的计算资源，又能提供用户级的资源隔离和更高的安全保障。BAE专业版与百度智能云其他服务如BCC（百度智能云服务器）、RDS（百度云关系型数据库服务）、SCS（简单缓存服务）、BOS（百度对象存储）和BMR（百度MapReduce）等能实现无缝连接，并提供高度可定制的环境，帮助企业级用户更高效地搭建专业型大型网站和各类web应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"https://cloud.baidu.com/doc/BAE-Pro/s/qjwvxxhu4"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5.1.1 产品架构</w:t>
      </w:r>
    </w:p>
    <w:p>
      <w:pPr>
        <w:ind w:firstLine="500" w:firstLineChars="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BAE专业版的架构非常简单，由应用、环境和实例组成（</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"https://cloud.baidu.com/doc/BAE-Pro/s/Djwvxxfxm"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百度智能云，2019</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如下图所示。图中，应用是BAE专业版的基本业务单元，每个应用包含一个代码库和若干环境；代码库指通过打包、SVN或Git上传的应用代码；环境由一个或者多个实例组成，一个应用下有多个环境允许用户（开发者）实现新版本预览和持续集成等典型的DevOps操作（</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"https://cloud.baidu.com/doc/BAE-Pro/s/fjwvxxhhn"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百度智能云，2021</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p>
    <w:p>
      <w:pPr>
        <w:ind w:firstLine="50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4381500" cy="3409950"/>
            <wp:effectExtent l="0" t="0" r="0" b="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27"/>
                    <a:stretch>
                      <a:fillRect/>
                    </a:stretch>
                  </pic:blipFill>
                  <pic:spPr>
                    <a:xfrm>
                      <a:off x="0" y="0"/>
                      <a:ext cx="4381500" cy="3409950"/>
                    </a:xfrm>
                    <a:prstGeom prst="rect">
                      <a:avLst/>
                    </a:prstGeom>
                    <a:noFill/>
                    <a:ln w="9525">
                      <a:noFill/>
                    </a:ln>
                  </pic:spPr>
                </pic:pic>
              </a:graphicData>
            </a:graphic>
          </wp:inline>
        </w:drawing>
      </w:r>
    </w:p>
    <w:p>
      <w:pPr>
        <w:pStyle w:val="2"/>
        <w:ind w:firstLine="500" w:firstLineChars="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BAE专业版架构图</w:t>
      </w:r>
    </w:p>
    <w:p>
      <w:pPr>
        <w:ind w:left="500" w:leftChars="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BAE专业版的每个环境拥有独立IP，不同的环境变量作为该环境的配置信息，从而实现不同环境共享代码但实现不同配置</w:t>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"https://cloud.baidu.com/doc/BAE-Pro/s/fjwvxxhhn"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百度智能云，2021</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ind w:left="500" w:leftChars="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BAE专业版的一种典型的部署架构图如下图所示。这一架构主要体现了基于BAE专业版的App与百度智能云的其他服务的结合（</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"https://cloud.baidu.com/doc/BAE-Pro/s/qjwvxxhu4"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这一架构中RDS（关系型数据库）基于MySQL或MongoDB，其中的数据通过内网由整个代码库共享，容量上限1GB，需要另行付费且不支持升级；SCS（简单缓存服务）和BOS（对象存储）同样通过内网连接且需要另行付费。</w:t>
      </w:r>
    </w:p>
    <w:p>
      <w:p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337810" cy="4606290"/>
            <wp:effectExtent l="0" t="0" r="15240" b="381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28"/>
                    <a:stretch>
                      <a:fillRect/>
                    </a:stretch>
                  </pic:blipFill>
                  <pic:spPr>
                    <a:xfrm>
                      <a:off x="0" y="0"/>
                      <a:ext cx="5337810" cy="4606290"/>
                    </a:xfrm>
                    <a:prstGeom prst="rect">
                      <a:avLst/>
                    </a:prstGeom>
                    <a:noFill/>
                    <a:ln w="9525">
                      <a:noFill/>
                    </a:ln>
                  </pic:spPr>
                </pic:pic>
              </a:graphicData>
            </a:graphic>
          </wp:inline>
        </w:drawing>
      </w:r>
    </w:p>
    <w:p>
      <w:pPr>
        <w:pStyle w:val="2"/>
        <w:jc w:val="both"/>
        <w:rPr>
          <w:rFonts w:hint="default"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BAE专业版架构</w:t>
      </w:r>
      <w:r>
        <w:rPr>
          <w:rFonts w:hint="eastAsia"/>
          <w:lang w:val="en-US" w:eastAsia="zh-CN"/>
        </w:rPr>
        <w:t>示意图</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BAE专业版的使用流程较为简便。使用BAE专业版时，首先需要指定应用参数，包括应用类型、开发语言、代码管理方式、需求域名、需求公网带宽和需求套餐（服务器配置等）。</w:t>
      </w:r>
    </w:p>
    <w:p>
      <w:pPr>
        <w:spacing w:before="0" w:after="0" w:line="240" w:lineRule="auto"/>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448300" cy="2536825"/>
            <wp:effectExtent l="0" t="0" r="0" b="1587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29"/>
                    <a:stretch>
                      <a:fillRect/>
                    </a:stretch>
                  </pic:blipFill>
                  <pic:spPr>
                    <a:xfrm>
                      <a:off x="0" y="0"/>
                      <a:ext cx="5448300" cy="2536825"/>
                    </a:xfrm>
                    <a:prstGeom prst="rect">
                      <a:avLst/>
                    </a:prstGeom>
                    <a:noFill/>
                    <a:ln w="9525">
                      <a:noFill/>
                    </a:ln>
                  </pic:spPr>
                </pic:pic>
              </a:graphicData>
            </a:graphic>
          </wp:inline>
        </w:drawing>
      </w:r>
    </w:p>
    <w:p>
      <w:pPr>
        <w:pStyle w:val="2"/>
        <w:spacing w:before="0" w:after="0" w:line="240" w:lineRule="auto"/>
        <w:ind w:right="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BAE专业版使用参数</w:t>
      </w:r>
    </w:p>
    <w:p>
      <w:pPr>
        <w:spacing w:before="0" w:after="0" w:line="240" w:lineRule="auto"/>
        <w:ind w:right="0" w:firstLine="500" w:firstLineChars="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用户的管理代码方式选定后不可更改。如果用户使用SVN或Git管理代码，选定后BAE专业版将生成应用专用的SVN或Git地址，用户需要将初始化代码克隆至本地后再上传自定义代码。发布后，用户可直接通过访问预先指定的域名查看应用（</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"https://cloud.baidu.com/doc/BAE-Pro/s/Njwvxxo00"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百度智能云，2019</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p>
    <w:p>
      <w:pPr>
        <w:spacing w:before="0" w:after="0" w:line="240" w:lineRule="auto"/>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997575" cy="1830070"/>
            <wp:effectExtent l="0" t="0" r="3175" b="1778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30"/>
                    <a:stretch>
                      <a:fillRect/>
                    </a:stretch>
                  </pic:blipFill>
                  <pic:spPr>
                    <a:xfrm>
                      <a:off x="0" y="0"/>
                      <a:ext cx="5997575" cy="1830070"/>
                    </a:xfrm>
                    <a:prstGeom prst="rect">
                      <a:avLst/>
                    </a:prstGeom>
                    <a:noFill/>
                    <a:ln w="9525">
                      <a:noFill/>
                    </a:ln>
                  </pic:spPr>
                </pic:pic>
              </a:graphicData>
            </a:graphic>
          </wp:inline>
        </w:drawing>
      </w:r>
    </w:p>
    <w:p>
      <w:pPr>
        <w:pStyle w:val="2"/>
        <w:spacing w:before="0" w:after="0" w:line="240" w:lineRule="auto"/>
        <w:ind w:right="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w:t>
      </w:r>
      <w:r>
        <w:rPr>
          <w:rFonts w:hint="eastAsia"/>
          <w:lang w:eastAsia="zh-CN"/>
        </w:rPr>
        <w:t>BAE使用流程示意图</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BAE专业版支持的开发语言有Node.js、PHP、Python和Java。如果用户希望选择其他语言实现一些自定义或增强功能，可以选择BAE专业版的自定义镜像功能。自定义镜像功能协助用户将集成的镜像代码部署到镜像仓库，然后用户可以选择根据镜像创建应用来实现代码中的功能。用户可以在BAE专业版的操作控制台上通过镜像列表查看镜像仓库中各镜像以及其版本信息（</w:t>
      </w:r>
      <w:r>
        <w:rPr>
          <w:rFonts w:hint="eastAsia" w:ascii="微软雅黑" w:hAnsi="微软雅黑" w:eastAsia="微软雅黑" w:cs="微软雅黑"/>
          <w:color w:val="auto"/>
          <w:spacing w:val="0"/>
          <w:position w:val="0"/>
          <w:sz w:val="22"/>
          <w:szCs w:val="22"/>
          <w:shd w:val="clear" w:fill="auto"/>
          <w:lang w:val="en-US" w:eastAsia="zh-CN"/>
        </w:rPr>
        <w:fldChar w:fldCharType="begin"/>
      </w:r>
      <w:r>
        <w:rPr>
          <w:rFonts w:hint="eastAsia" w:ascii="微软雅黑" w:hAnsi="微软雅黑" w:eastAsia="微软雅黑" w:cs="微软雅黑"/>
          <w:color w:val="auto"/>
          <w:spacing w:val="0"/>
          <w:position w:val="0"/>
          <w:sz w:val="22"/>
          <w:szCs w:val="22"/>
          <w:shd w:val="clear" w:fill="auto"/>
          <w:lang w:val="en-US" w:eastAsia="zh-CN"/>
        </w:rPr>
        <w:instrText xml:space="preserve"> HYPERLINK "https://cloud.baidu.com/doc/BAE-Pro/s/2jwvxxra6" </w:instrText>
      </w:r>
      <w:r>
        <w:rPr>
          <w:rFonts w:hint="eastAsia" w:ascii="微软雅黑" w:hAnsi="微软雅黑" w:eastAsia="微软雅黑" w:cs="微软雅黑"/>
          <w:color w:val="auto"/>
          <w:spacing w:val="0"/>
          <w:position w:val="0"/>
          <w:sz w:val="22"/>
          <w:szCs w:val="22"/>
          <w:shd w:val="clear" w:fill="auto"/>
          <w:lang w:val="en-US" w:eastAsia="zh-CN"/>
        </w:rPr>
        <w:fldChar w:fldCharType="separate"/>
      </w:r>
      <w:r>
        <w:rPr>
          <w:rStyle w:val="7"/>
          <w:rFonts w:hint="eastAsia" w:ascii="微软雅黑" w:hAnsi="微软雅黑" w:eastAsia="微软雅黑" w:cs="微软雅黑"/>
          <w:spacing w:val="0"/>
          <w:position w:val="0"/>
          <w:sz w:val="22"/>
          <w:szCs w:val="22"/>
          <w:shd w:val="clear" w:fill="auto"/>
          <w:lang w:val="en-US" w:eastAsia="zh-CN"/>
        </w:rPr>
        <w:t>百度智能云，2019</w:t>
      </w:r>
      <w:r>
        <w:rPr>
          <w:rFonts w:hint="eastAsia" w:ascii="微软雅黑" w:hAnsi="微软雅黑" w:eastAsia="微软雅黑" w:cs="微软雅黑"/>
          <w:color w:val="auto"/>
          <w:spacing w:val="0"/>
          <w:position w:val="0"/>
          <w:sz w:val="22"/>
          <w:szCs w:val="22"/>
          <w:shd w:val="clear" w:fill="auto"/>
          <w:lang w:val="en-US" w:eastAsia="zh-CN"/>
        </w:rPr>
        <w:fldChar w:fldCharType="end"/>
      </w:r>
      <w:r>
        <w:rPr>
          <w:rFonts w:hint="eastAsia" w:ascii="微软雅黑" w:hAnsi="微软雅黑" w:eastAsia="微软雅黑" w:cs="微软雅黑"/>
          <w:color w:val="auto"/>
          <w:spacing w:val="0"/>
          <w:position w:val="0"/>
          <w:sz w:val="22"/>
          <w:szCs w:val="22"/>
          <w:shd w:val="clear" w:fill="auto"/>
          <w:lang w:val="en-US" w:eastAsia="zh-CN"/>
        </w:rPr>
        <w:t>）。</w:t>
      </w:r>
    </w:p>
    <w:p>
      <w:pPr>
        <w:spacing w:before="0" w:after="0" w:line="240" w:lineRule="auto"/>
        <w:ind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321300" cy="1042670"/>
            <wp:effectExtent l="0" t="0" r="12700" b="508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31"/>
                    <a:stretch>
                      <a:fillRect/>
                    </a:stretch>
                  </pic:blipFill>
                  <pic:spPr>
                    <a:xfrm>
                      <a:off x="0" y="0"/>
                      <a:ext cx="5321300" cy="1042670"/>
                    </a:xfrm>
                    <a:prstGeom prst="rect">
                      <a:avLst/>
                    </a:prstGeom>
                    <a:noFill/>
                    <a:ln w="9525">
                      <a:noFill/>
                    </a:ln>
                  </pic:spPr>
                </pic:pic>
              </a:graphicData>
            </a:graphic>
          </wp:inline>
        </w:drawing>
      </w:r>
    </w:p>
    <w:p>
      <w:pPr>
        <w:pStyle w:val="2"/>
        <w:spacing w:before="0" w:after="0" w:line="240" w:lineRule="auto"/>
        <w:ind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BAE自定义镜像操作流程</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5.1.4 角色活动</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服务审计方面，BAE专业版的计费项包含BAE专业版服务器实例、均衡负载和均衡负载公网带宽三项，以使用时间（包月或按分钟）为主要计费单位，其中每个服务器实例会默认绑定一个均衡负载实例（</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"https://cloud.baidu.com/doc/BAE-Pro/s/zjwvxy5xu"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）；BAE专业版支持在本地生成日志但暂不支持在线的日志存储服务（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"https://cloud.baidu.com/doc/BAE-Pro/s/sjwvxxgas"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监控服务方面，BAE专业版支持自动诊断服务器实例的运行情况且支持自动替换故障实例；</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代码管理方面，BAE专业版支持多种代码管理方式（打包/SVN/Git），支持版本回滚、支持一键快速自动将代码部署到集群中的全部服务器实例、支持一键升级服务器配置或增加实例；</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配套支持方面，BAE专业版提供多种百度智能云服务对接、提供统一的日志查看面板与资源监控面板且接管全部服务器运维工作（</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"https://cloud.baidu.com/doc/BAE-Pro/s/Kjwvxxh2o"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5.1.5 应用场景</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主要产品优势有：1、通过内网与百度智能云的其他产品高速对接；2、提供基于虚拟私有云的网络隔离，访问更安全。提供最顶级的网络接入质量和安全防攻击能力，确保用户业务安全稳定运行；3、提供基于云服务器的独享资源和带宽；4、提供多种代码管理方式（打包/SVN/Git）、自定义环境变量和独立公网IP等。</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w:t>
      </w:r>
      <w:r>
        <w:rPr>
          <w:rFonts w:hint="default" w:ascii="微软雅黑" w:hAnsi="微软雅黑" w:eastAsia="微软雅黑" w:cs="微软雅黑"/>
          <w:color w:val="auto"/>
          <w:spacing w:val="0"/>
          <w:position w:val="0"/>
          <w:sz w:val="21"/>
          <w:szCs w:val="21"/>
          <w:shd w:val="clear" w:fill="auto"/>
          <w:lang w:val="en-US" w:eastAsia="zh-CN"/>
        </w:rPr>
        <w:t>适于部署App、公众号、小程序、</w:t>
      </w:r>
      <w:r>
        <w:rPr>
          <w:rFonts w:hint="eastAsia" w:ascii="微软雅黑" w:hAnsi="微软雅黑" w:eastAsia="微软雅黑" w:cs="微软雅黑"/>
          <w:color w:val="auto"/>
          <w:spacing w:val="0"/>
          <w:position w:val="0"/>
          <w:sz w:val="21"/>
          <w:szCs w:val="21"/>
          <w:shd w:val="clear" w:fill="auto"/>
          <w:lang w:val="en-US" w:eastAsia="zh-CN"/>
        </w:rPr>
        <w:t>网站</w:t>
      </w:r>
      <w:r>
        <w:rPr>
          <w:rFonts w:hint="default" w:ascii="微软雅黑" w:hAnsi="微软雅黑" w:eastAsia="微软雅黑" w:cs="微软雅黑"/>
          <w:color w:val="auto"/>
          <w:spacing w:val="0"/>
          <w:position w:val="0"/>
          <w:sz w:val="21"/>
          <w:szCs w:val="21"/>
          <w:shd w:val="clear" w:fill="auto"/>
          <w:lang w:val="en-US" w:eastAsia="zh-CN"/>
        </w:rPr>
        <w:t>及电商/O2O/企业门户/CRM/办公应用等各种</w:t>
      </w:r>
      <w:r>
        <w:rPr>
          <w:rFonts w:hint="eastAsia" w:ascii="微软雅黑" w:hAnsi="微软雅黑" w:eastAsia="微软雅黑" w:cs="微软雅黑"/>
          <w:color w:val="auto"/>
          <w:spacing w:val="0"/>
          <w:position w:val="0"/>
          <w:sz w:val="21"/>
          <w:szCs w:val="21"/>
          <w:shd w:val="clear" w:fill="auto"/>
          <w:lang w:val="en-US" w:eastAsia="zh-CN"/>
        </w:rPr>
        <w:t>轻小型</w:t>
      </w:r>
      <w:r>
        <w:rPr>
          <w:rFonts w:hint="default" w:ascii="微软雅黑" w:hAnsi="微软雅黑" w:eastAsia="微软雅黑" w:cs="微软雅黑"/>
          <w:color w:val="auto"/>
          <w:spacing w:val="0"/>
          <w:position w:val="0"/>
          <w:sz w:val="21"/>
          <w:szCs w:val="21"/>
          <w:shd w:val="clear" w:fill="auto"/>
          <w:lang w:val="en-US" w:eastAsia="zh-CN"/>
        </w:rPr>
        <w:t>应用</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5.2 阿里云企业级分布式应用服务（EDAS）</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阿里云的</w:t>
      </w:r>
      <w:r>
        <w:rPr>
          <w:rFonts w:hint="default" w:ascii="微软雅黑" w:hAnsi="微软雅黑" w:eastAsia="微软雅黑" w:cs="微软雅黑"/>
          <w:color w:val="auto"/>
          <w:spacing w:val="0"/>
          <w:position w:val="0"/>
          <w:sz w:val="21"/>
          <w:szCs w:val="22"/>
          <w:shd w:val="clear" w:fill="auto"/>
          <w:lang w:val="en-US" w:eastAsia="zh-CN"/>
        </w:rPr>
        <w:t>企业级分布式应用服务 EDAS（Enterprise Distributed Application Service）是</w:t>
      </w:r>
      <w:r>
        <w:rPr>
          <w:rFonts w:hint="eastAsia" w:ascii="微软雅黑" w:hAnsi="微软雅黑" w:eastAsia="微软雅黑" w:cs="微软雅黑"/>
          <w:color w:val="auto"/>
          <w:spacing w:val="0"/>
          <w:position w:val="0"/>
          <w:sz w:val="21"/>
          <w:szCs w:val="22"/>
          <w:shd w:val="clear" w:fill="auto"/>
          <w:lang w:val="en-US" w:eastAsia="zh-CN"/>
        </w:rPr>
        <w:t>阿里云主要的PaaS平台。EDAS以微服务为架构基础，针对应用进行全生命周期的监控与管理，支持虚拟机和容器应用部署。</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5.1.1 产品架构</w:t>
      </w:r>
    </w:p>
    <w:p>
      <w:pPr>
        <w:ind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阿里云EDAS采取以Kubernetes应用、微服务、持续交付和云服务为主要特点的云原生架构（</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"https://max.book118.com/html/2020/1219/7024124156003032.shtm"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阿里云，2020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），其架构本身与PaaS产品的经典架构没有显著不同。</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drawing>
          <wp:inline distT="0" distB="0" distL="114300" distR="114300">
            <wp:extent cx="5453380" cy="2984500"/>
            <wp:effectExtent l="0" t="0" r="13970" b="6350"/>
            <wp:docPr id="27" name="图片 27" descr="1629274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29274058(1)"/>
                    <pic:cNvPicPr>
                      <a:picLocks noChangeAspect="1"/>
                    </pic:cNvPicPr>
                  </pic:nvPicPr>
                  <pic:blipFill>
                    <a:blip r:embed="rId32"/>
                    <a:srcRect l="3336" t="4330" r="6351" b="5539"/>
                    <a:stretch>
                      <a:fillRect/>
                    </a:stretch>
                  </pic:blipFill>
                  <pic:spPr>
                    <a:xfrm>
                      <a:off x="0" y="0"/>
                      <a:ext cx="5453380" cy="2984500"/>
                    </a:xfrm>
                    <a:prstGeom prst="rect">
                      <a:avLst/>
                    </a:prstGeom>
                  </pic:spPr>
                </pic:pic>
              </a:graphicData>
            </a:graphic>
          </wp:inline>
        </w:drawing>
      </w:r>
    </w:p>
    <w:p>
      <w:pPr>
        <w:pStyle w:val="2"/>
        <w:jc w:val="center"/>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EDAS架构与传统架构对比图</w:t>
      </w:r>
    </w:p>
    <w:p>
      <w:pPr>
        <w:ind w:firstLine="50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EDAS在底层硬件部分无缝集成了ECS云服务器和容器服务Kubernetes版，用户在这一层面可以根据实际需求来选择ECS集群、K8s集群或混合云集群（</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"https://help.aliyun.com/document_detail/42934.html?spm=5176.215339.1147949.1.231962f6vhn1AO" </w:instrText>
      </w:r>
      <w:r>
        <w:rPr>
          <w:rFonts w:hint="eastAsia" w:ascii="微软雅黑" w:hAnsi="微软雅黑" w:eastAsia="微软雅黑" w:cs="微软雅黑"/>
          <w:lang w:val="en-US" w:eastAsia="zh-CN"/>
        </w:rPr>
        <w:fldChar w:fldCharType="separate"/>
      </w:r>
      <w:r>
        <w:rPr>
          <w:rStyle w:val="7"/>
          <w:rFonts w:hint="eastAsia" w:ascii="微软雅黑" w:hAnsi="微软雅黑" w:eastAsia="微软雅黑" w:cs="微软雅黑"/>
          <w:lang w:val="en-US" w:eastAsia="zh-CN"/>
        </w:rPr>
        <w:t>阿里云，2021</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使用EDAS前需要先开通EDAS。用户注册好实名认证的阿里云账号后，在EDAS的产品主页上可以选择付费方式、系列规格和订购时长后即可进入管理控制台开始部署应用（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"https://help.aliyun.com/document_detail/87739.html?spm=5176.215339.1147949.12.231962f6vhn1AO"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阿里云，2021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EDAS支持使用ECS环境和K8s环境两种部署环境来托管应用。两种部署环境都支持Spring Cloud、Dubbo和HSF微服务框架的Java应用的应用托管和微服务治理功能以及可观测性，但他们对于应用程序本身和用户技术栈的要求略有不同，并且不同部署环境下EDAS提供的应用管理能力也有所区别。一般情况下，对于有单机多实例部署、高密度部署、多语言开发、形态为容器镜像的应用，EDAS推荐使用K8s环境部署应用；ECS环境的优势则体现在托管非容器化部署的应用上（</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"https://help.aliyun.com/document_detail/189758.html?spm=a2c4g.11186623.6.575.7845d7b4nkhT4Q"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阿里云，2021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以在默认ECS环境中部署微服务应用为例。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EDAS支持托管Java应用，K8s环境还支持托管PHP、Node.js、C++和Go等多语言应用</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"https://help.aliyun.com/document_detail/42934.html?spm=5176.215339.1147949.1.231962f6vhn1AO" </w:instrText>
      </w:r>
      <w:r>
        <w:rPr>
          <w:rFonts w:hint="eastAsia" w:ascii="微软雅黑" w:hAnsi="微软雅黑" w:eastAsia="微软雅黑" w:cs="微软雅黑"/>
          <w:lang w:val="en-US" w:eastAsia="zh-CN"/>
        </w:rPr>
        <w:fldChar w:fldCharType="separate"/>
      </w:r>
      <w:r>
        <w:rPr>
          <w:rStyle w:val="7"/>
          <w:rFonts w:hint="eastAsia" w:ascii="微软雅黑" w:hAnsi="微软雅黑" w:eastAsia="微软雅黑" w:cs="微软雅黑"/>
          <w:lang w:val="en-US" w:eastAsia="zh-CN"/>
        </w:rPr>
        <w:t>阿里云，2021</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5.1.4 角色活动</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5.1.5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5.3 腾讯微服务平台（TSF）</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腾讯微服务平台（Tencent Service Framework，TSF）是一个围绕着应用和微服务的PaaS技术平台。平台旨在为客户提供应用全生命周期管理、数据化运营、立体化监控和服务治理等功能，帮助企业客户解决传统集中式架构转型的困难，打造大规模高可用的分布式系统架构，实现业务、产品的快速落地。TSF以腾讯云中间件团队多款分布式产品为核心基础组件，提供秒级推送的分布式配置服务、链路追踪等高可用稳定性组件。此外，TSF与腾讯云API网关和消息队列打通，让企业轻松构建大型分布式系统。</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5.3.1 产品架构</w:t>
      </w:r>
    </w:p>
    <w:p>
      <w:pPr>
        <w:pStyle w:val="3"/>
        <w:keepNext w:val="0"/>
        <w:keepLines w:val="0"/>
        <w:widowControl/>
        <w:suppressLineNumbers w:val="0"/>
        <w:shd w:val="clear" w:fill="FFFFFF"/>
        <w:spacing w:before="294" w:beforeAutospacing="0" w:after="294" w:afterAutospacing="0"/>
        <w:ind w:left="0" w:right="0" w:firstLine="500" w:firstLineChars="0"/>
        <w:rPr>
          <w:rFonts w:hint="eastAsia" w:ascii="微软雅黑" w:hAnsi="微软雅黑" w:eastAsia="微软雅黑" w:cs="微软雅黑"/>
          <w:i w:val="0"/>
          <w:caps w:val="0"/>
          <w:color w:val="121212"/>
          <w:spacing w:val="0"/>
          <w:sz w:val="21"/>
          <w:szCs w:val="21"/>
        </w:rPr>
      </w:pPr>
      <w:r>
        <w:rPr>
          <w:rFonts w:hint="eastAsia" w:ascii="微软雅黑" w:hAnsi="微软雅黑" w:eastAsia="微软雅黑" w:cs="微软雅黑"/>
          <w:i w:val="0"/>
          <w:caps w:val="0"/>
          <w:color w:val="121212"/>
          <w:spacing w:val="0"/>
          <w:sz w:val="21"/>
          <w:szCs w:val="21"/>
          <w:shd w:val="clear" w:fill="FFFFFF"/>
          <w:lang w:val="en-US" w:eastAsia="zh-CN"/>
        </w:rPr>
        <w:t>相比于大型系统架构为了应对高并发、大存储等因素而使用的复杂架构，TSF规模小且服务类目偏少，属于中小型的微服务架构。</w:t>
      </w:r>
      <w:r>
        <w:rPr>
          <w:rFonts w:hint="eastAsia" w:ascii="微软雅黑" w:hAnsi="微软雅黑" w:eastAsia="微软雅黑" w:cs="微软雅黑"/>
          <w:i w:val="0"/>
          <w:caps w:val="0"/>
          <w:color w:val="121212"/>
          <w:spacing w:val="0"/>
          <w:sz w:val="21"/>
          <w:szCs w:val="21"/>
          <w:shd w:val="clear" w:fill="FFFFFF"/>
        </w:rPr>
        <w:t>TSF架构设计</w:t>
      </w:r>
      <w:r>
        <w:rPr>
          <w:rFonts w:hint="eastAsia" w:ascii="微软雅黑" w:hAnsi="微软雅黑" w:eastAsia="微软雅黑" w:cs="微软雅黑"/>
          <w:i w:val="0"/>
          <w:caps w:val="0"/>
          <w:color w:val="121212"/>
          <w:spacing w:val="0"/>
          <w:sz w:val="21"/>
          <w:szCs w:val="21"/>
          <w:shd w:val="clear" w:fill="FFFFFF"/>
          <w:lang w:val="en-US" w:eastAsia="zh-CN"/>
        </w:rPr>
        <w:t>主要侧重于</w:t>
      </w:r>
      <w:r>
        <w:rPr>
          <w:rFonts w:hint="eastAsia" w:ascii="微软雅黑" w:hAnsi="微软雅黑" w:eastAsia="微软雅黑" w:cs="微软雅黑"/>
          <w:i w:val="0"/>
          <w:caps w:val="0"/>
          <w:color w:val="121212"/>
          <w:spacing w:val="0"/>
          <w:sz w:val="21"/>
          <w:szCs w:val="21"/>
          <w:shd w:val="clear" w:fill="FFFFFF"/>
        </w:rPr>
        <w:t>产品的稳定、内聚</w:t>
      </w:r>
      <w:r>
        <w:rPr>
          <w:rFonts w:hint="eastAsia" w:ascii="微软雅黑" w:hAnsi="微软雅黑" w:eastAsia="微软雅黑" w:cs="微软雅黑"/>
          <w:i w:val="0"/>
          <w:caps w:val="0"/>
          <w:color w:val="121212"/>
          <w:spacing w:val="0"/>
          <w:sz w:val="21"/>
          <w:szCs w:val="21"/>
          <w:shd w:val="clear" w:fill="FFFFFF"/>
          <w:lang w:val="en-US" w:eastAsia="zh-CN"/>
        </w:rPr>
        <w:t>和</w:t>
      </w:r>
      <w:r>
        <w:rPr>
          <w:rFonts w:hint="eastAsia" w:ascii="微软雅黑" w:hAnsi="微软雅黑" w:eastAsia="微软雅黑" w:cs="微软雅黑"/>
          <w:i w:val="0"/>
          <w:caps w:val="0"/>
          <w:color w:val="121212"/>
          <w:spacing w:val="0"/>
          <w:sz w:val="21"/>
          <w:szCs w:val="21"/>
          <w:shd w:val="clear" w:fill="FFFFFF"/>
        </w:rPr>
        <w:t>高可用等方面。</w:t>
      </w:r>
      <w:r>
        <w:rPr>
          <w:rFonts w:hint="eastAsia" w:ascii="微软雅黑" w:hAnsi="微软雅黑" w:eastAsia="微软雅黑" w:cs="微软雅黑"/>
          <w:i w:val="0"/>
          <w:caps w:val="0"/>
          <w:color w:val="121212"/>
          <w:spacing w:val="0"/>
          <w:sz w:val="21"/>
          <w:szCs w:val="21"/>
          <w:shd w:val="clear" w:fill="FFFFFF"/>
        </w:rPr>
        <w:br w:type="textWrapping"/>
      </w:r>
      <w:r>
        <w:rPr>
          <w:rFonts w:hint="eastAsia" w:ascii="微软雅黑" w:hAnsi="微软雅黑" w:eastAsia="微软雅黑" w:cs="微软雅黑"/>
          <w:i w:val="0"/>
          <w:caps w:val="0"/>
          <w:color w:val="121212"/>
          <w:spacing w:val="0"/>
          <w:sz w:val="21"/>
          <w:szCs w:val="21"/>
          <w:shd w:val="clear" w:fill="FFFFFF"/>
          <w:lang w:val="en-US" w:eastAsia="zh-CN"/>
        </w:rPr>
        <w:tab/>
      </w:r>
      <w:r>
        <w:rPr>
          <w:rFonts w:hint="eastAsia" w:ascii="微软雅黑" w:hAnsi="微软雅黑" w:eastAsia="微软雅黑" w:cs="微软雅黑"/>
          <w:i w:val="0"/>
          <w:caps w:val="0"/>
          <w:color w:val="121212"/>
          <w:spacing w:val="0"/>
          <w:sz w:val="21"/>
          <w:szCs w:val="21"/>
          <w:shd w:val="clear" w:fill="FFFFFF"/>
        </w:rPr>
        <w:t>从组件分布上看，</w:t>
      </w:r>
      <w:r>
        <w:rPr>
          <w:rFonts w:hint="eastAsia" w:ascii="微软雅黑" w:hAnsi="微软雅黑" w:eastAsia="微软雅黑" w:cs="微软雅黑"/>
          <w:i w:val="0"/>
          <w:caps w:val="0"/>
          <w:color w:val="auto"/>
          <w:spacing w:val="0"/>
          <w:sz w:val="21"/>
          <w:szCs w:val="21"/>
          <w:u w:val="none"/>
          <w:shd w:val="clear" w:fill="FFFFFF"/>
        </w:rPr>
        <w:t>TSF整体功能</w:t>
      </w:r>
      <w:r>
        <w:rPr>
          <w:rFonts w:hint="eastAsia" w:ascii="微软雅黑" w:hAnsi="微软雅黑" w:eastAsia="微软雅黑" w:cs="微软雅黑"/>
          <w:i w:val="0"/>
          <w:caps w:val="0"/>
          <w:color w:val="121212"/>
          <w:spacing w:val="0"/>
          <w:sz w:val="21"/>
          <w:szCs w:val="21"/>
          <w:shd w:val="clear" w:fill="FFFFFF"/>
        </w:rPr>
        <w:t>主要分布在管控平台、注册中心、分布式任务调度平台、分布式事务平台、Mesh平台等各个子平台中，每个子平台又包含若干个数量不等的服务。</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ascii="宋体" w:hAnsi="宋体" w:eastAsia="宋体" w:cs="宋体"/>
          <w:sz w:val="24"/>
          <w:szCs w:val="24"/>
        </w:rPr>
        <w:drawing>
          <wp:inline distT="0" distB="0" distL="114300" distR="114300">
            <wp:extent cx="6191250" cy="3582670"/>
            <wp:effectExtent l="0" t="0" r="0"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33"/>
                    <a:stretch>
                      <a:fillRect/>
                    </a:stretch>
                  </pic:blipFill>
                  <pic:spPr>
                    <a:xfrm>
                      <a:off x="0" y="0"/>
                      <a:ext cx="6191250" cy="3582670"/>
                    </a:xfrm>
                    <a:prstGeom prst="rect">
                      <a:avLst/>
                    </a:prstGeom>
                    <a:noFill/>
                    <a:ln w="9525">
                      <a:noFill/>
                    </a:ln>
                  </pic:spPr>
                </pic:pic>
              </a:graphicData>
            </a:graphic>
          </wp:inline>
        </w:drawing>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5.3.2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5.3.3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5.4 华为云应用管理与运维平台ServiceStage</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以微服务做架构基础，包括应用编排、软件仓库、运维、微服务等相关，有意思的是这个平台里几个功能在华为云上又有单独的产品分别对应，私以为反正目前都是免费，当然是全家桶好使儿。</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default"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 xml:space="preserve">4.1.3 开发支持 </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069"/>
        <w:gridCol w:w="1041"/>
        <w:gridCol w:w="1025"/>
        <w:gridCol w:w="1078"/>
        <w:gridCol w:w="1123"/>
        <w:gridCol w:w="1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PaaS产品</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主要特点</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面向客户</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部署方式</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开发支持</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关联配套</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新浪云(http://sae.sina.com.cn)</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主要适用于网站、博客、论坛等小型应用。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现阶段，SAE仅支持Web开发语言PHP和关系数据库MySQL</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百度应用引擎(http://developer.baidu.com/service)</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用户可基于BAE平台进行PHP、Java应用的开发、编译、调试、发布。</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同时BAE平台也提供了若干云服务，包括fetchURL、task queue、SQL。</w:t>
            </w: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目前，BAE尚处于公测阶段，许多性能和服务还亟待完善。</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阿里云（http://www.aliyun.com）</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帮助应用开发者简化网络应用程序构建和维护，并根据应用访问量和数据存储增长进行扩展。</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ACE支持PHP语言编写的应用程序；支持在线创建MYSQL远程数据库应用。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腾讯开放平台(http://open.qq.com/reg)</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厦门吉鼎J2Paas低代码平台(https://bbs.jikaiyun.com/index)</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r>
              <w:rPr>
                <w:rFonts w:hint="eastAsia" w:ascii="微软雅黑" w:hAnsi="微软雅黑" w:eastAsia="微软雅黑" w:cs="微软雅黑"/>
                <w:color w:val="auto"/>
                <w:spacing w:val="0"/>
                <w:position w:val="0"/>
                <w:sz w:val="11"/>
                <w:szCs w:val="11"/>
                <w:shd w:val="clear" w:fill="auto"/>
                <w:lang w:val="en-US" w:eastAsia="zh-CN"/>
              </w:rPr>
              <w:t>低代码PaaS云平台，既能为软件应用提供安全、稳定、高效的运行环境，同时还提供了功能全面的JJ Studio开发工具包，方便用户迅速开发出自己的SaaS化应用！</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bl>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是企业云计算公司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SaaS简介及国内外SaaS软件厂商</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软件即服务）继续在商业世界拥有强大的吸引力，这是有原因的。SaaS也被称为按需软件、托管软件或基于Web的软件，它避开了传统的软件需要数据团队安装、维护和管理的流程，而倾向于通过Internet交付基于云的应用程序。有了SaaS，软件厂商将全程负责维持软件的安全、可用性和高性能，非常适合那些打算削减IT工作量和部署成本的企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国内外SaaS厂商盘点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**1.微软公司：**微软是全球有名的OS与应用软件提供商，虽然介入这个领域比较迟，但是在云服务方面，其云计算Azure为众多的Windows平台开发者提供支持的同时开始涉足非 Windows平台，希望借此Amazon展开竞争，有传闻说Azure将很快支持Linux系统。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北京金山：**金山的WPS提供的是一站式云端办公解决方案，它不仅包含Office专业套件，还提供了专业的在线文档管理平台、企业内部即时通讯、企业邮箱等现代化办公所需的一整套基础云服务。有了WPS+云办公，无需IT基础架构投入，一键即可将办公室搬入云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厦门吉鼎：**吉鼎科技是国内低代码Paas云平台的领航者及Saas化软件应用服务商，一直专注软件技术的深度研发，在Saas化软件应用、APP开发、技能培训等方面形成专业的产品服务，业务全面涉及政务、商贸、餐饮、金融、教育、旅游、电商、医疗等各行各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**4.Vmvare：**Vmvare是全球最大的虚拟化软件提供商，而虚拟化技术是云计算发展最关键的技术之一，VMWare自己不提供云服务，但是其vCloud 专为企业和服务提供商设计一组通用云计算服务，它支持所有应用程序或操作系统，并能够选择应用程序的运行位置。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**5.Salesforce：**Salesforce是全球按需 CRM 解决方案的领导者，通过以2.12亿美元收购云计算创业公司Heroku后，Salesforce在云计算领域极具发展优势，势头一直都比较猛。</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**6.Citrix：**它是一家应用服务软件方案提供商，1年前以2亿多美元收购创业公司Cloud.com后，迅速进入云计算服务领域。其CloudStack平台已经成为vCloud平台的强大竞争对手。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7"/>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 xml:space="preserve">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right="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default" w:ascii="微软雅黑" w:hAnsi="微软雅黑" w:eastAsia="微软雅黑" w:cs="微软雅黑"/>
          <w:color w:val="auto"/>
          <w:spacing w:val="0"/>
          <w:position w:val="0"/>
          <w:sz w:val="21"/>
          <w:shd w:val="clear" w:fill="auto"/>
          <w:lang w:val="en-US" w:eastAsia="zh-CN"/>
        </w:rPr>
        <w:t>回答这个问题是因为近期在研究云计算相关的题目，个人感受国内很多企业对云计算的使用还处在买机器、买资源阶段，但是我认为云计算很大的一个课题是PaaS，PaaS这层才能真正最大的释放企业IT的生产力，PaaS它推进企业系统架构真正地往CloudNative去靠拢。阿里云的PaaS平台应该就是他们的 EDAS ，以微服务做架构基础，针对应用进行监控、管理等等，支持虚机和容器应用部署。从高级版试用（1个月1块钱）的感受来说，对于小型公司来讲已经绰绰有余了。控制台左边一列的菜单项有点多有点杂，这个可能是阿里的一贯菜单风格。</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default" w:ascii="微软雅黑" w:hAnsi="微软雅黑" w:eastAsia="微软雅黑" w:cs="微软雅黑"/>
          <w:color w:val="auto"/>
          <w:spacing w:val="0"/>
          <w:position w:val="0"/>
          <w:sz w:val="21"/>
          <w:shd w:val="clear" w:fill="auto"/>
          <w:lang w:val="en-US" w:eastAsia="zh-CN"/>
        </w:rPr>
        <w:t>腾讯云的PaaS平台应该就是他们的TSF，产品首页上的宣传词儿跟阿里云EDAS都差不多了多少，也是围绕应用和微服务。从以上几家云计算供应商对PaaS平台的投入来看，说明大家都是认可对PaaS在未来会发挥的价值的。至于谁最终能够脱颖而出，谁更强，很长一段时间都是技术竞争期、混沌期，当然最受益的还是我们这些用户，这些企业不断地给我们带来新的技术冲击，当然凡事都有两面，正所谓：营销在左，洗脑在右。一线之隔而已</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1DC9D"/>
    <w:multiLevelType w:val="singleLevel"/>
    <w:tmpl w:val="11A1DC9D"/>
    <w:lvl w:ilvl="0" w:tentative="0">
      <w:start w:val="1"/>
      <w:numFmt w:val="upperLetter"/>
      <w:suff w:val="space"/>
      <w:lvlText w:val="%1."/>
      <w:lvlJc w:val="left"/>
    </w:lvl>
  </w:abstractNum>
  <w:abstractNum w:abstractNumId="1">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6AC10FB1"/>
    <w:multiLevelType w:val="singleLevel"/>
    <w:tmpl w:val="6AC10FB1"/>
    <w:lvl w:ilvl="0" w:tentative="0">
      <w:start w:val="2"/>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3378"/>
    <w:rsid w:val="00EB674E"/>
    <w:rsid w:val="01C01365"/>
    <w:rsid w:val="01D51BC4"/>
    <w:rsid w:val="02270822"/>
    <w:rsid w:val="04DC4210"/>
    <w:rsid w:val="05D43D4D"/>
    <w:rsid w:val="07DE3612"/>
    <w:rsid w:val="0A6F33B6"/>
    <w:rsid w:val="0EA271B7"/>
    <w:rsid w:val="18783211"/>
    <w:rsid w:val="25886C20"/>
    <w:rsid w:val="26717ED3"/>
    <w:rsid w:val="28670959"/>
    <w:rsid w:val="2AA460E3"/>
    <w:rsid w:val="2C4E3D7B"/>
    <w:rsid w:val="2D417E69"/>
    <w:rsid w:val="2E9B51DF"/>
    <w:rsid w:val="312B0A47"/>
    <w:rsid w:val="3243293F"/>
    <w:rsid w:val="341369FD"/>
    <w:rsid w:val="347A1E62"/>
    <w:rsid w:val="36EA48DE"/>
    <w:rsid w:val="390600AF"/>
    <w:rsid w:val="3A514676"/>
    <w:rsid w:val="3B63281D"/>
    <w:rsid w:val="3FDC4F07"/>
    <w:rsid w:val="423E408B"/>
    <w:rsid w:val="42444C00"/>
    <w:rsid w:val="43D56EDB"/>
    <w:rsid w:val="444F094F"/>
    <w:rsid w:val="48FC527C"/>
    <w:rsid w:val="4C2348A5"/>
    <w:rsid w:val="4F697680"/>
    <w:rsid w:val="50D12A2F"/>
    <w:rsid w:val="51F67A55"/>
    <w:rsid w:val="58976C80"/>
    <w:rsid w:val="60B50CF8"/>
    <w:rsid w:val="61B33265"/>
    <w:rsid w:val="62186E9E"/>
    <w:rsid w:val="774B02C9"/>
    <w:rsid w:val="7A616E8D"/>
    <w:rsid w:val="7A942C1D"/>
    <w:rsid w:val="7AF1655F"/>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hyperlink" Target="https://cloud.rohitkelapure.com/2018/11/when-to-choose-pas-pks.html" TargetMode="External"/><Relationship Id="rId6" Type="http://schemas.openxmlformats.org/officeDocument/2006/relationships/image" Target="media/image2.png"/><Relationship Id="rId5" Type="http://schemas.openxmlformats.org/officeDocument/2006/relationships/hyperlink" Target="https://apprenda.com/platform/" TargetMode="External"/><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2.svg"/><Relationship Id="rId12" Type="http://schemas.openxmlformats.org/officeDocument/2006/relationships/image" Target="media/image6.png"/><Relationship Id="rId11" Type="http://schemas.openxmlformats.org/officeDocument/2006/relationships/image" Target="media/image1.sv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156</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2021-08-19T06:20:58Z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