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выполнении.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Сироджиддинов</w:t>
      </w:r>
      <w:r>
        <w:t xml:space="preserve"> </w:t>
      </w:r>
      <w:r>
        <w:t xml:space="preserve">Камолиддин,</w:t>
      </w:r>
      <w:r>
        <w:t xml:space="preserve"> </w:t>
      </w:r>
      <w:r>
        <w:t xml:space="preserve">НКНбд-01-21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Исследование и применение инструмента Hydra для подбора имени пользователя и пароля с использованием brute-force атаки на HTTP POST форму, а также анализ результатов выполнения.</w:t>
      </w:r>
    </w:p>
    <w:bookmarkStart w:id="35" w:name="исходные-данны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Исходные данные:</w:t>
      </w:r>
    </w:p>
    <w:p>
      <w:pPr>
        <w:pStyle w:val="FirstParagraph"/>
      </w:pPr>
      <w:r>
        <w:t xml:space="preserve">IP сервера:</w:t>
      </w:r>
      <w:r>
        <w:t xml:space="preserve"> </w:t>
      </w:r>
      <w:r>
        <w:rPr>
          <w:rStyle w:val="VerbatimChar"/>
        </w:rPr>
        <w:t xml:space="preserve">178.72.90.181</w:t>
      </w:r>
      <w:r>
        <w:t xml:space="preserve"> </w:t>
      </w:r>
      <w:r>
        <w:t xml:space="preserve">Сервис:</w:t>
      </w:r>
      <w:r>
        <w:t xml:space="preserve"> </w:t>
      </w:r>
      <w:r>
        <w:rPr>
          <w:rStyle w:val="VerbatimChar"/>
        </w:rPr>
        <w:t xml:space="preserve">HTTP</w:t>
      </w:r>
      <w:r>
        <w:t xml:space="preserve"> </w:t>
      </w:r>
      <w:r>
        <w:t xml:space="preserve">на стандартном</w:t>
      </w:r>
      <w:r>
        <w:t xml:space="preserve"> </w:t>
      </w:r>
      <w:r>
        <w:rPr>
          <w:rStyle w:val="VerbatimChar"/>
        </w:rPr>
        <w:t xml:space="preserve">80</w:t>
      </w:r>
      <w:r>
        <w:t xml:space="preserve"> </w:t>
      </w:r>
      <w:r>
        <w:t xml:space="preserve">порту</w:t>
      </w:r>
      <w:r>
        <w:t xml:space="preserve"> </w:t>
      </w:r>
      <w:r>
        <w:t xml:space="preserve">Форма авторизации:</w:t>
      </w:r>
      <w:r>
        <w:t xml:space="preserve"> </w:t>
      </w:r>
      <w:r>
        <w:t xml:space="preserve">Метод отправки данных -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по адресу:</w:t>
      </w:r>
      <w:r>
        <w:t xml:space="preserve"> </w:t>
      </w:r>
      <w:r>
        <w:rPr>
          <w:rStyle w:val="VerbatimChar"/>
        </w:rPr>
        <w:t xml:space="preserve">http://178.72.90.181/cgi-bin/luci</w:t>
      </w:r>
      <w:r>
        <w:t xml:space="preserve">,</w:t>
      </w:r>
      <w:r>
        <w:t xml:space="preserve"> </w:t>
      </w:r>
      <w:r>
        <w:t xml:space="preserve">Параметры формы:</w:t>
      </w:r>
      <w:r>
        <w:t xml:space="preserve"> </w:t>
      </w:r>
      <w:r>
        <w:rPr>
          <w:rStyle w:val="VerbatimChar"/>
        </w:rPr>
        <w:t xml:space="preserve">username=root&amp;password=test_password</w:t>
      </w:r>
      <w:r>
        <w:t xml:space="preserve"> </w:t>
      </w:r>
      <w:r>
        <w:t xml:space="preserve">Сообщение при неудачной аутентификации:</w:t>
      </w:r>
      <w:r>
        <w:t xml:space="preserve"> </w:t>
      </w:r>
      <w:r>
        <w:rPr>
          <w:rStyle w:val="VerbatimChar"/>
        </w:rPr>
        <w:t xml:space="preserve">"Invalid username and/or password! Please try again."</w:t>
      </w:r>
      <w:r>
        <w:t xml:space="preserve"> </w:t>
      </w:r>
      <w:r>
        <w:t xml:space="preserve">Используемая утилита:</w:t>
      </w:r>
      <w:r>
        <w:t xml:space="preserve"> </w:t>
      </w:r>
      <w:r>
        <w:rPr>
          <w:rStyle w:val="VerbatimChar"/>
        </w:rPr>
        <w:t xml:space="preserve">Hydra</w:t>
      </w:r>
      <w:r>
        <w:t xml:space="preserve"> </w:t>
      </w:r>
      <w:r>
        <w:t xml:space="preserve">## Подготовка к работе</w:t>
      </w:r>
    </w:p>
    <w:bookmarkStart w:id="23" w:name="обновление-системы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1. Обновление системы</w:t>
      </w:r>
    </w:p>
    <w:p>
      <w:pPr>
        <w:pStyle w:val="FirstParagraph"/>
      </w:pPr>
      <w:r>
        <w:t xml:space="preserve">Установка Hydra: Для начала работы с Hydra была произведена установка инструмента на операционной системе с использованием следующих команд:</w:t>
      </w:r>
      <w:r>
        <w:t xml:space="preserve"> </w:t>
      </w:r>
      <w:r>
        <w:drawing>
          <wp:inline>
            <wp:extent cx="5334000" cy="2307980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./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30" w:name="создание-словаря-паролей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2. Создание словаря паролей</w:t>
      </w:r>
    </w:p>
    <w:p>
      <w:pPr>
        <w:pStyle w:val="FirstParagraph"/>
      </w:pPr>
      <w:r>
        <w:t xml:space="preserve">В процессе атаки использовался заранее подготовленный файл со списком паролей. Для его создания был использован текстовый редактор:</w:t>
      </w:r>
      <w:r>
        <w:t xml:space="preserve"> </w:t>
      </w:r>
      <w:r>
        <w:drawing>
          <wp:inline>
            <wp:extent cx="5334000" cy="478800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.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Пример содержимого файла:</w:t>
      </w:r>
      <w:r>
        <w:t xml:space="preserve"> </w:t>
      </w:r>
      <w:r>
        <w:drawing>
          <wp:inline>
            <wp:extent cx="5334000" cy="330724"/>
            <wp:effectExtent b="0" l="0" r="0" t="0"/>
            <wp:docPr descr="3" title="" id="28" name="Picture"/>
            <a:graphic>
              <a:graphicData uri="http://schemas.openxmlformats.org/drawingml/2006/picture">
                <pic:pic>
                  <pic:nvPicPr>
                    <pic:cNvPr descr=".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11ab9dd013108e6ad0c0b74893138aa9fc6e31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3. Описание команды для выполнения brute-force атаки</w:t>
      </w:r>
    </w:p>
    <w:p>
      <w:pPr>
        <w:pStyle w:val="FirstParagraph"/>
      </w:pPr>
      <w:r>
        <w:t xml:space="preserve">Была составлена и использована следующая команда Hydra:</w:t>
      </w:r>
      <w:r>
        <w:t xml:space="preserve"> </w:t>
      </w:r>
      <w:r>
        <w:drawing>
          <wp:inline>
            <wp:extent cx="5334000" cy="657148"/>
            <wp:effectExtent b="0" l="0" r="0" t="0"/>
            <wp:docPr descr="4" title="" id="32" name="Picture"/>
            <a:graphic>
              <a:graphicData uri="http://schemas.openxmlformats.org/drawingml/2006/picture">
                <pic:pic>
                  <pic:nvPicPr>
                    <pic:cNvPr descr="./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7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39" w:name="результаты-работы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Результаты работы</w:t>
      </w:r>
    </w:p>
    <w:bookmarkStart w:id="36" w:name="пример-вывода-попыток-hydra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Пример вывода попыток Hydra: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attacking service http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 on port </w:t>
      </w:r>
      <w:r>
        <w:rPr>
          <w:rStyle w:val="DecValTok"/>
        </w:rPr>
        <w:t xml:space="preserve">80</w:t>
      </w:r>
      <w:r>
        <w:br/>
      </w:r>
      <w:r>
        <w:rPr>
          <w:rStyle w:val="OperatorTok"/>
        </w:rPr>
        <w:t xml:space="preserve">[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http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host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90</w:t>
      </w:r>
      <w:r>
        <w:rPr>
          <w:rStyle w:val="FloatTok"/>
        </w:rPr>
        <w:t xml:space="preserve">.181</w:t>
      </w:r>
      <w:r>
        <w:rPr>
          <w:rStyle w:val="NormalTok"/>
        </w:rPr>
        <w:t xml:space="preserve">   login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root   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admin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STATUS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attack finished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178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72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90</w:t>
      </w:r>
      <w:r>
        <w:rPr>
          <w:rStyle w:val="FloatTok"/>
        </w:rPr>
        <w:t xml:space="preserve">.181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valid password found</w:t>
      </w:r>
      <w:r>
        <w:rPr>
          <w:rStyle w:val="OperatorTok"/>
        </w:rPr>
        <w:t xml:space="preserve">)</w:t>
      </w:r>
    </w:p>
    <w:bookmarkEnd w:id="36"/>
    <w:bookmarkStart w:id="37" w:name="файл-результата-hydra_result.log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Файл результата (hydra_result.log):</w:t>
      </w:r>
    </w:p>
    <w:p>
      <w:pPr>
        <w:pStyle w:val="SourceCode"/>
      </w:pPr>
      <w:r>
        <w:rPr>
          <w:rStyle w:val="ExtensionTok"/>
        </w:rPr>
        <w:t xml:space="preserve">178.72.90.181:80</w:t>
      </w:r>
      <w:r>
        <w:rPr>
          <w:rStyle w:val="NormalTok"/>
        </w:rPr>
        <w:t xml:space="preserve"> http-post-form /cgi-bin/luci root:admin</w:t>
      </w:r>
    </w:p>
    <w:bookmarkEnd w:id="37"/>
    <w:bookmarkStart w:id="38" w:name="анализ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Анализ:</w:t>
      </w:r>
    </w:p>
    <w:p>
      <w:pPr>
        <w:pStyle w:val="FirstParagraph"/>
      </w:pPr>
      <w:r>
        <w:t xml:space="preserve">Пароль для пользователя root был успешно подобран. В результате успешной brute-force атаки удалось получить доступ к системе, используя комбинацию root:admin.</w:t>
      </w:r>
    </w:p>
    <w:bookmarkEnd w:id="38"/>
    <w:bookmarkEnd w:id="39"/>
    <w:bookmarkEnd w:id="40"/>
    <w:bookmarkStart w:id="41" w:name="заключ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работы было продемонстрировано использование инструмента Hydra для проведения атаки на HTTP POST форму методом brute-force. С помощью указанной команды удалось успешно подобрать пароль для пользователя.</w:t>
      </w:r>
    </w:p>
    <w:p>
      <w:pPr>
        <w:pStyle w:val="BodyText"/>
      </w:pPr>
      <w:r>
        <w:t xml:space="preserve">Полученный результат подтверждает эффективность метода brute-force при наличии недостаточно защищённого веб-сервиса с простыми паролями и отсутствием дополнительных защитных механизмов (например, блокировки после нескольких неудачных попыток входа).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выполнении. Индивидуальный проект. Этап 3</dc:title>
  <dc:creator>Сироджиддинов Камолиддин, НКНбд-01-21</dc:creator>
  <dc:language>ru-RU</dc:language>
  <cp:keywords/>
  <dcterms:created xsi:type="dcterms:W3CDTF">2024-09-28T18:39:15Z</dcterms:created>
  <dcterms:modified xsi:type="dcterms:W3CDTF">2024-09-28T18:39:15Z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temTitleDelim">
    <vt:lpwstr>.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ItemTemplate">
    <vt:lpwstr>lofItemTitleilistItemTitleDelimt </vt:lpwstr>
  </property>
  <property fmtid="{D5CDD505-2E9C-101B-9397-08002B2CF9AE}" pid="42" name="lofItemTitle">
    <vt:lpwstr/>
  </property>
  <property fmtid="{D5CDD505-2E9C-101B-9397-08002B2CF9AE}" pid="43" name="lofTitle">
    <vt:lpwstr>List of Figures</vt:lpwstr>
  </property>
  <property fmtid="{D5CDD505-2E9C-101B-9397-08002B2CF9AE}" pid="44" name="lolItemTemplate">
    <vt:lpwstr>lolItemTitleilistItemTitleDelimt </vt:lpwstr>
  </property>
  <property fmtid="{D5CDD505-2E9C-101B-9397-08002B2CF9AE}" pid="45" name="lolItemTitle">
    <vt:lpwstr/>
  </property>
  <property fmtid="{D5CDD505-2E9C-101B-9397-08002B2CF9AE}" pid="46" name="lolTitle">
    <vt:lpwstr>List of Listings</vt:lpwstr>
  </property>
  <property fmtid="{D5CDD505-2E9C-101B-9397-08002B2CF9AE}" pid="47" name="lot">
    <vt:lpwstr>True</vt:lpwstr>
  </property>
  <property fmtid="{D5CDD505-2E9C-101B-9397-08002B2CF9AE}" pid="48" name="lotItemTemplate">
    <vt:lpwstr>lotItemTitleilistItemTitleDelimt </vt:lpwstr>
  </property>
  <property fmtid="{D5CDD505-2E9C-101B-9397-08002B2CF9AE}" pid="49" name="lotItemTitle">
    <vt:lpwstr/>
  </property>
  <property fmtid="{D5CDD505-2E9C-101B-9397-08002B2CF9AE}" pid="50" name="lotTitle">
    <vt:lpwstr>List of Tables</vt:lpwstr>
  </property>
  <property fmtid="{D5CDD505-2E9C-101B-9397-08002B2CF9AE}" pid="51" name="lstLabels">
    <vt:lpwstr>arabic</vt:lpwstr>
  </property>
  <property fmtid="{D5CDD505-2E9C-101B-9397-08002B2CF9AE}" pid="52" name="lstPrefix">
    <vt:lpwstr/>
  </property>
  <property fmtid="{D5CDD505-2E9C-101B-9397-08002B2CF9AE}" pid="53" name="lstPrefixTemplate">
    <vt:lpwstr>p i</vt:lpwstr>
  </property>
  <property fmtid="{D5CDD505-2E9C-101B-9397-08002B2CF9AE}" pid="54" name="mainfont">
    <vt:lpwstr>PT Serif</vt:lpwstr>
  </property>
  <property fmtid="{D5CDD505-2E9C-101B-9397-08002B2CF9AE}" pid="55" name="mainfontoptions">
    <vt:lpwstr>Ligatures=TeX</vt:lpwstr>
  </property>
  <property fmtid="{D5CDD505-2E9C-101B-9397-08002B2CF9AE}" pid="56" name="monofont">
    <vt:lpwstr>PT Mono</vt:lpwstr>
  </property>
  <property fmtid="{D5CDD505-2E9C-101B-9397-08002B2CF9AE}" pid="57" name="monofontoptions">
    <vt:lpwstr>Scale=MatchLowercase,Scale=0.9</vt:lpwstr>
  </property>
  <property fmtid="{D5CDD505-2E9C-101B-9397-08002B2CF9AE}" pid="58" name="nameInLink">
    <vt:lpwstr>False</vt:lpwstr>
  </property>
  <property fmtid="{D5CDD505-2E9C-101B-9397-08002B2CF9AE}" pid="59" name="numberSections">
    <vt:lpwstr>False</vt:lpwstr>
  </property>
  <property fmtid="{D5CDD505-2E9C-101B-9397-08002B2CF9AE}" pid="60" name="pairDelim">
    <vt:lpwstr>, </vt:lpwstr>
  </property>
  <property fmtid="{D5CDD505-2E9C-101B-9397-08002B2CF9AE}" pid="61" name="papersize">
    <vt:lpwstr>a4</vt:lpwstr>
  </property>
  <property fmtid="{D5CDD505-2E9C-101B-9397-08002B2CF9AE}" pid="62" name="polyglossia-lang">
    <vt:lpwstr/>
  </property>
  <property fmtid="{D5CDD505-2E9C-101B-9397-08002B2CF9AE}" pid="63" name="polyglossia-otherlangs">
    <vt:lpwstr/>
  </property>
  <property fmtid="{D5CDD505-2E9C-101B-9397-08002B2CF9AE}" pid="64" name="rangeDelim">
    <vt:lpwstr>-</vt:lpwstr>
  </property>
  <property fmtid="{D5CDD505-2E9C-101B-9397-08002B2CF9AE}" pid="65" name="refDelim">
    <vt:lpwstr>, </vt:lpwstr>
  </property>
  <property fmtid="{D5CDD505-2E9C-101B-9397-08002B2CF9AE}" pid="66" name="refIndexTemplate">
    <vt:lpwstr>isuf</vt:lpwstr>
  </property>
  <property fmtid="{D5CDD505-2E9C-101B-9397-08002B2CF9AE}" pid="67" name="romanfont">
    <vt:lpwstr>PT Serif</vt:lpwstr>
  </property>
  <property fmtid="{D5CDD505-2E9C-101B-9397-08002B2CF9AE}" pid="68" name="romanfontoptions">
    <vt:lpwstr>Ligatures=TeX</vt:lpwstr>
  </property>
  <property fmtid="{D5CDD505-2E9C-101B-9397-08002B2CF9AE}" pid="69" name="sansfont">
    <vt:lpwstr>PT Sans</vt:lpwstr>
  </property>
  <property fmtid="{D5CDD505-2E9C-101B-9397-08002B2CF9AE}" pid="70" name="sansfontoptions">
    <vt:lpwstr>Ligatures=TeX,Scale=MatchLowercase</vt:lpwstr>
  </property>
  <property fmtid="{D5CDD505-2E9C-101B-9397-08002B2CF9AE}" pid="71" name="secHeaderDelim">
    <vt:lpwstr> </vt:lpwstr>
  </property>
  <property fmtid="{D5CDD505-2E9C-101B-9397-08002B2CF9AE}" pid="72" name="secHeaderTemplate">
    <vt:lpwstr>isecHeaderDelim[n]t</vt:lpwstr>
  </property>
  <property fmtid="{D5CDD505-2E9C-101B-9397-08002B2CF9AE}" pid="73" name="secLabels">
    <vt:lpwstr>arabic</vt:lpwstr>
  </property>
  <property fmtid="{D5CDD505-2E9C-101B-9397-08002B2CF9AE}" pid="74" name="secPrefix">
    <vt:lpwstr/>
  </property>
  <property fmtid="{D5CDD505-2E9C-101B-9397-08002B2CF9AE}" pid="75" name="secPrefixTemplate">
    <vt:lpwstr>p i</vt:lpwstr>
  </property>
  <property fmtid="{D5CDD505-2E9C-101B-9397-08002B2CF9AE}" pid="76" name="sectionsDepth">
    <vt:lpwstr>0</vt:lpwstr>
  </property>
  <property fmtid="{D5CDD505-2E9C-101B-9397-08002B2CF9AE}" pid="77" name="subfigGrid">
    <vt:lpwstr>False</vt:lpwstr>
  </property>
  <property fmtid="{D5CDD505-2E9C-101B-9397-08002B2CF9AE}" pid="78" name="subfigLabels">
    <vt:lpwstr>alpha a</vt:lpwstr>
  </property>
  <property fmtid="{D5CDD505-2E9C-101B-9397-08002B2CF9AE}" pid="79" name="subfigureChildTemplate">
    <vt:lpwstr>i</vt:lpwstr>
  </property>
  <property fmtid="{D5CDD505-2E9C-101B-9397-08002B2CF9AE}" pid="80" name="subfigureRefIndexTemplate">
    <vt:lpwstr>isuf (s)</vt:lpwstr>
  </property>
  <property fmtid="{D5CDD505-2E9C-101B-9397-08002B2CF9AE}" pid="81" name="subfigureTemplate">
    <vt:lpwstr>figureTitle ititleDelim t. ccs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Table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title">
    <vt:lpwstr>Содержание</vt:lpwstr>
  </property>
  <property fmtid="{D5CDD505-2E9C-101B-9397-08002B2CF9AE}" pid="91" name="toc_depth">
    <vt:lpwstr>2</vt:lpwstr>
  </property>
</Properties>
</file>