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20"/>
        </w:rPr>
        <w:t>TECHNICAL HANDOFF</w:t>
      </w:r>
    </w:p>
    <w:p>
      <w:pPr>
        <w:spacing w:after="100"/>
      </w:pPr>
      <w:r>
        <w:rPr>
          <w:rFonts w:ascii="Calibri" w:hAnsi="Calibri"/>
          <w:b/>
          <w:color w:val="17324D"/>
          <w:sz w:val="48"/>
        </w:rPr>
        <w:t>Secure Rep Portal Launch for the Sample Request Form</w:t>
      </w:r>
    </w:p>
    <w:p>
      <w:pPr>
        <w:spacing w:after="280"/>
      </w:pPr>
      <w:r>
        <w:rPr>
          <w:rFonts w:ascii="Calibri" w:hAnsi="Calibri"/>
          <w:color w:val="5B6573"/>
          <w:sz w:val="25"/>
        </w:rPr>
        <w:t>Short-lived signed tokens, SRF session enforcement, IIS authentication, and least-privilege folder permissions</w:t>
      </w:r>
    </w:p>
    <w:tbl>
      <w:tblPr>
        <w:tblW w:type="dxa" w:w="9360"/>
        <w:jc w:val="left"/>
        <w:tblLayout w:type="fixed"/>
        <w:tblLook w:firstColumn="1" w:firstRow="1" w:lastColumn="0" w:lastRow="0" w:noHBand="0" w:noVBand="1" w:val="04A0"/>
        <w:tblInd w:w="12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1700"/>
        <w:gridCol w:w="7660"/>
      </w:tblGrid>
      <w:tr>
        <w:tc>
          <w:tcPr>
            <w:tcW w:type="dxa" w:w="1700"/>
            <w:shd w:fill="E8EEF5"/>
            <w:vAlign w:val="center"/>
            <w:tcMar>
              <w:top w:w="80" w:type="dxa"/>
              <w:start w:w="120" w:type="dxa"/>
              <w:bottom w:w="80" w:type="dxa"/>
              <w:end w:w="120" w:type="dxa"/>
            </w:tcMar>
          </w:tcPr>
          <w:p>
            <w:pPr>
              <w:spacing w:after="0"/>
            </w:pPr>
            <w:r>
              <w:rPr>
                <w:rFonts w:ascii="Calibri" w:hAnsi="Calibri"/>
                <w:b/>
                <w:color w:val="17324D"/>
                <w:sz w:val="19"/>
              </w:rPr>
              <w:t>Audience</w:t>
            </w:r>
          </w:p>
        </w:tc>
        <w:tc>
          <w:tcPr>
            <w:tcW w:type="dxa" w:w="7660"/>
            <w:vAlign w:val="center"/>
            <w:tcMar>
              <w:top w:w="80" w:type="dxa"/>
              <w:start w:w="120" w:type="dxa"/>
              <w:bottom w:w="80" w:type="dxa"/>
              <w:end w:w="120" w:type="dxa"/>
            </w:tcMar>
          </w:tcPr>
          <w:p>
            <w:pPr>
              <w:spacing w:after="0"/>
            </w:pPr>
            <w:r>
              <w:rPr>
                <w:rFonts w:ascii="Calibri" w:hAnsi="Calibri"/>
                <w:color w:val="000000"/>
                <w:sz w:val="19"/>
              </w:rPr>
              <w:t>Developer/administrator responsible for ChapinLink and the SRF PHP application</w:t>
            </w:r>
          </w:p>
        </w:tc>
      </w:tr>
      <w:tr>
        <w:tc>
          <w:tcPr>
            <w:tcW w:type="dxa" w:w="1700"/>
            <w:shd w:fill="E8EEF5"/>
            <w:vAlign w:val="center"/>
            <w:tcMar>
              <w:top w:w="80" w:type="dxa"/>
              <w:start w:w="120" w:type="dxa"/>
              <w:bottom w:w="80" w:type="dxa"/>
              <w:end w:w="120" w:type="dxa"/>
            </w:tcMar>
          </w:tcPr>
          <w:p>
            <w:pPr>
              <w:spacing w:after="0"/>
            </w:pPr>
            <w:r>
              <w:rPr>
                <w:rFonts w:ascii="Calibri" w:hAnsi="Calibri"/>
                <w:b/>
                <w:color w:val="17324D"/>
                <w:sz w:val="19"/>
              </w:rPr>
              <w:t>Systems</w:t>
            </w:r>
          </w:p>
        </w:tc>
        <w:tc>
          <w:tcPr>
            <w:tcW w:type="dxa" w:w="7660"/>
            <w:vAlign w:val="center"/>
            <w:tcMar>
              <w:top w:w="80" w:type="dxa"/>
              <w:start w:w="120" w:type="dxa"/>
              <w:bottom w:w="80" w:type="dxa"/>
              <w:end w:w="120" w:type="dxa"/>
            </w:tcMar>
          </w:tcPr>
          <w:p>
            <w:pPr>
              <w:spacing w:after="0"/>
            </w:pPr>
            <w:r>
              <w:rPr>
                <w:rFonts w:ascii="Calibri" w:hAnsi="Calibri"/>
                <w:color w:val="000000"/>
                <w:sz w:val="19"/>
              </w:rPr>
              <w:t>Chapin Rep Portal, ChapinIntranet IIS site, PHP 8.3 SRF application</w:t>
            </w:r>
          </w:p>
        </w:tc>
      </w:tr>
      <w:tr>
        <w:tc>
          <w:tcPr>
            <w:tcW w:type="dxa" w:w="1700"/>
            <w:shd w:fill="E8EEF5"/>
            <w:vAlign w:val="center"/>
            <w:tcMar>
              <w:top w:w="80" w:type="dxa"/>
              <w:start w:w="120" w:type="dxa"/>
              <w:bottom w:w="80" w:type="dxa"/>
              <w:end w:w="120" w:type="dxa"/>
            </w:tcMar>
          </w:tcPr>
          <w:p>
            <w:pPr>
              <w:spacing w:after="0"/>
            </w:pPr>
            <w:r>
              <w:rPr>
                <w:rFonts w:ascii="Calibri" w:hAnsi="Calibri"/>
                <w:b/>
                <w:color w:val="17324D"/>
                <w:sz w:val="19"/>
              </w:rPr>
              <w:t>SRF URL</w:t>
            </w:r>
          </w:p>
        </w:tc>
        <w:tc>
          <w:tcPr>
            <w:tcW w:type="dxa" w:w="7660"/>
            <w:vAlign w:val="center"/>
            <w:tcMar>
              <w:top w:w="80" w:type="dxa"/>
              <w:start w:w="120" w:type="dxa"/>
              <w:bottom w:w="80" w:type="dxa"/>
              <w:end w:w="120" w:type="dxa"/>
            </w:tcMar>
          </w:tcPr>
          <w:p>
            <w:pPr>
              <w:spacing w:after="0"/>
            </w:pPr>
            <w:r>
              <w:rPr>
                <w:rFonts w:ascii="Calibri" w:hAnsi="Calibri"/>
                <w:color w:val="000000"/>
                <w:sz w:val="19"/>
              </w:rPr>
              <w:t>https://chapinlink.com/SalesNew/SRF/index.php</w:t>
            </w:r>
          </w:p>
        </w:tc>
      </w:tr>
      <w:tr>
        <w:tc>
          <w:tcPr>
            <w:tcW w:type="dxa" w:w="1700"/>
            <w:shd w:fill="E8EEF5"/>
            <w:vAlign w:val="center"/>
            <w:tcMar>
              <w:top w:w="80" w:type="dxa"/>
              <w:start w:w="120" w:type="dxa"/>
              <w:bottom w:w="80" w:type="dxa"/>
              <w:end w:w="120" w:type="dxa"/>
            </w:tcMar>
          </w:tcPr>
          <w:p>
            <w:pPr>
              <w:spacing w:after="0"/>
            </w:pPr>
            <w:r>
              <w:rPr>
                <w:rFonts w:ascii="Calibri" w:hAnsi="Calibri"/>
                <w:b/>
                <w:color w:val="17324D"/>
                <w:sz w:val="19"/>
              </w:rPr>
              <w:t>Physical path</w:t>
            </w:r>
          </w:p>
        </w:tc>
        <w:tc>
          <w:tcPr>
            <w:tcW w:type="dxa" w:w="7660"/>
            <w:vAlign w:val="center"/>
            <w:tcMar>
              <w:top w:w="80" w:type="dxa"/>
              <w:start w:w="120" w:type="dxa"/>
              <w:bottom w:w="80" w:type="dxa"/>
              <w:end w:w="120" w:type="dxa"/>
            </w:tcMar>
          </w:tcPr>
          <w:p>
            <w:pPr>
              <w:spacing w:after="0"/>
            </w:pPr>
            <w:r>
              <w:rPr>
                <w:rFonts w:ascii="Calibri" w:hAnsi="Calibri"/>
                <w:color w:val="000000"/>
                <w:sz w:val="19"/>
              </w:rPr>
              <w:t>D:\Inetpub\Intranet1\SalesNew\SRF (shared as \\ciiws01\Inetpub\Intranet1\SalesNew\SRF)</w:t>
            </w:r>
          </w:p>
        </w:tc>
      </w:tr>
      <w:tr>
        <w:tc>
          <w:tcPr>
            <w:tcW w:type="dxa" w:w="1700"/>
            <w:shd w:fill="E8EEF5"/>
            <w:vAlign w:val="center"/>
            <w:tcMar>
              <w:top w:w="80" w:type="dxa"/>
              <w:start w:w="120" w:type="dxa"/>
              <w:bottom w:w="80" w:type="dxa"/>
              <w:end w:w="120" w:type="dxa"/>
            </w:tcMar>
          </w:tcPr>
          <w:p>
            <w:pPr>
              <w:spacing w:after="0"/>
            </w:pPr>
            <w:r>
              <w:rPr>
                <w:rFonts w:ascii="Calibri" w:hAnsi="Calibri"/>
                <w:b/>
                <w:color w:val="17324D"/>
                <w:sz w:val="19"/>
              </w:rPr>
              <w:t>Prepared</w:t>
            </w:r>
          </w:p>
        </w:tc>
        <w:tc>
          <w:tcPr>
            <w:tcW w:type="dxa" w:w="7660"/>
            <w:vAlign w:val="center"/>
            <w:tcMar>
              <w:top w:w="80" w:type="dxa"/>
              <w:start w:w="120" w:type="dxa"/>
              <w:bottom w:w="80" w:type="dxa"/>
              <w:end w:w="120" w:type="dxa"/>
            </w:tcMar>
          </w:tcPr>
          <w:p>
            <w:pPr>
              <w:spacing w:after="0"/>
            </w:pPr>
            <w:r>
              <w:rPr>
                <w:rFonts w:ascii="Calibri" w:hAnsi="Calibri"/>
                <w:color w:val="000000"/>
                <w:sz w:val="19"/>
              </w:rPr>
              <w:t>August 17, 2026</w:t>
            </w:r>
          </w:p>
        </w:tc>
      </w:tr>
    </w:tbl>
    <w:p/>
    <w:tbl>
      <w:tblPr>
        <w:tblW w:type="dxa" w:w="9360"/>
        <w:jc w:val="left"/>
        <w:tblLayout w:type="fixed"/>
        <w:tblLook w:firstColumn="1" w:firstRow="1" w:lastColumn="0" w:lastRow="0" w:noHBand="0" w:noVBand="1" w:val="04A0"/>
        <w:tblInd w:w="120" w:type="dxa"/>
        <w:tblBorders>
          <w:top w:val="single" w:sz="0" w:space="0" w:color="E8F3EC"/>
          <w:left w:val="single" w:sz="0" w:space="0" w:color="E8F3EC"/>
          <w:bottom w:val="single" w:sz="0" w:space="0" w:color="E8F3EC"/>
          <w:right w:val="single" w:sz="0" w:space="0" w:color="E8F3EC"/>
          <w:insideH w:val="single" w:sz="0" w:space="0" w:color="E8F3EC"/>
          <w:insideV w:val="single" w:sz="0" w:space="0" w:color="E8F3EC"/>
        </w:tblBorders>
      </w:tblPr>
      <w:tblGrid>
        <w:gridCol w:w="9360"/>
      </w:tblGrid>
      <w:tr>
        <w:trPr>
          <w:cantSplit/>
        </w:trPr>
        <w:tc>
          <w:tcPr>
            <w:tcW w:type="dxa" w:w="9360"/>
            <w:tcMar>
              <w:top w:w="130" w:type="dxa"/>
              <w:start w:w="180" w:type="dxa"/>
              <w:bottom w:w="130" w:type="dxa"/>
              <w:end w:w="180" w:type="dxa"/>
            </w:tcMar>
            <w:shd w:fill="E8F3EC"/>
          </w:tcPr>
          <w:p>
            <w:pPr>
              <w:spacing w:after="0"/>
            </w:pPr>
            <w:r>
              <w:rPr>
                <w:rFonts w:ascii="Calibri" w:hAnsi="Calibri"/>
                <w:b/>
                <w:color w:val="17324D"/>
                <w:sz w:val="21"/>
              </w:rPr>
              <w:t xml:space="preserve">Purpose: </w:t>
            </w:r>
            <w:r>
              <w:rPr>
                <w:rFonts w:ascii="Calibri" w:hAnsi="Calibri"/>
                <w:color w:val="17324D"/>
                <w:sz w:val="21"/>
              </w:rPr>
              <w:t>Allow a visitor to launch SRF from Rep Portal without a ChapinLink credential prompt, while making a copied bare ChapinLink URL unusable. This is a link-sharing deterrent, not identity-based authorization, when the Rep Portal home page is itself public.</w:t>
            </w:r>
          </w:p>
        </w:tc>
      </w:tr>
    </w:tbl>
    <w:p>
      <w:pPr>
        <w:spacing w:after="40"/>
      </w:pPr>
    </w:p>
    <w:p>
      <w:pPr>
        <w:pStyle w:val="Heading1"/>
      </w:pPr>
      <w:r>
        <w:t>1. Executive summary</w:t>
      </w:r>
    </w:p>
    <w:p>
      <w:r>
        <w:rPr>
          <w:rFonts w:ascii="Calibri" w:hAnsi="Calibri"/>
          <w:color w:val="000000"/>
          <w:sz w:val="22"/>
        </w:rPr>
        <w:t>Do not place a reusable secret or permanent token directly in the home-page HTML. Instead, the home-page button should point to a Rep Portal launch endpoint. That endpoint generates a signed token only when clicked and immediately redirects the browser to a dedicated ChapinLink launch endpoint.</w:t>
      </w:r>
    </w:p>
    <w:p>
      <w:r>
        <w:rPr>
          <w:rFonts w:ascii="Calibri" w:hAnsi="Calibri"/>
          <w:color w:val="000000"/>
          <w:sz w:val="22"/>
        </w:rPr>
        <w:t>ChapinLink validates the signature and expiration, creates a temporary HttpOnly session cookie, and redirects to the clean SRF index URL. The index page and all public SRF API endpoints must require that session. A copied index.php URL then fails because it carries neither a valid launch ticket nor the established browser session.</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00"/>
        <w:gridCol w:w="7460"/>
      </w:tblGrid>
      <w:tr>
        <w:trPr>
          <w:tblHeader w:val="true"/>
          <w:cantSplit/>
        </w:trPr>
        <w:tc>
          <w:tcPr>
            <w:tcW w:type="dxa" w:w="1900"/>
            <w:tcMar>
              <w:top w:w="80" w:type="dxa"/>
              <w:start w:w="120" w:type="dxa"/>
              <w:bottom w:w="80" w:type="dxa"/>
              <w:end w:w="120" w:type="dxa"/>
            </w:tcMar>
            <w:shd w:fill="E8EEF5"/>
            <w:vAlign w:val="center"/>
          </w:tcPr>
          <w:p>
            <w:pPr>
              <w:spacing w:after="0"/>
            </w:pPr>
            <w:r>
              <w:rPr>
                <w:rFonts w:ascii="Calibri" w:hAnsi="Calibri"/>
                <w:b/>
                <w:color w:val="17324D"/>
                <w:sz w:val="19"/>
              </w:rPr>
              <w:t>Component</w:t>
            </w:r>
          </w:p>
        </w:tc>
        <w:tc>
          <w:tcPr>
            <w:tcW w:type="dxa" w:w="7460"/>
            <w:tcMar>
              <w:top w:w="80" w:type="dxa"/>
              <w:start w:w="120" w:type="dxa"/>
              <w:bottom w:w="80" w:type="dxa"/>
              <w:end w:w="120" w:type="dxa"/>
            </w:tcMar>
            <w:shd w:fill="E8EEF5"/>
            <w:vAlign w:val="center"/>
          </w:tcPr>
          <w:p>
            <w:pPr>
              <w:spacing w:after="0"/>
            </w:pPr>
            <w:r>
              <w:rPr>
                <w:rFonts w:ascii="Calibri" w:hAnsi="Calibri"/>
                <w:b/>
                <w:color w:val="17324D"/>
                <w:sz w:val="19"/>
              </w:rPr>
              <w:t>Responsibility</w:t>
            </w:r>
          </w:p>
        </w:tc>
      </w:tr>
      <w:tr>
        <w:trPr>
          <w:cantSplit/>
        </w:trPr>
        <w:tc>
          <w:tcPr>
            <w:tcW w:type="dxa" w:w="1900"/>
            <w:vAlign w:val="center"/>
            <w:tcMar>
              <w:top w:w="80" w:type="dxa"/>
              <w:start w:w="120" w:type="dxa"/>
              <w:bottom w:w="80" w:type="dxa"/>
              <w:end w:w="120" w:type="dxa"/>
            </w:tcMar>
          </w:tcPr>
          <w:p>
            <w:pPr>
              <w:spacing w:after="0"/>
            </w:pPr>
            <w:r>
              <w:rPr>
                <w:rFonts w:ascii="Calibri" w:hAnsi="Calibri"/>
                <w:color w:val="000000"/>
                <w:sz w:val="18"/>
              </w:rPr>
              <w:t>Rep Portal</w:t>
            </w:r>
          </w:p>
        </w:tc>
        <w:tc>
          <w:tcPr>
            <w:tcW w:type="dxa" w:w="7460"/>
            <w:vAlign w:val="center"/>
            <w:tcMar>
              <w:top w:w="80" w:type="dxa"/>
              <w:start w:w="120" w:type="dxa"/>
              <w:bottom w:w="80" w:type="dxa"/>
              <w:end w:w="120" w:type="dxa"/>
            </w:tcMar>
          </w:tcPr>
          <w:p>
            <w:pPr>
              <w:spacing w:after="0"/>
            </w:pPr>
            <w:r>
              <w:rPr>
                <w:rFonts w:ascii="Calibri" w:hAnsi="Calibri"/>
                <w:color w:val="000000"/>
                <w:sz w:val="18"/>
              </w:rPr>
              <w:t>Generate a short-lived HMAC-signed launch token and redirect to ChapinLink.</w:t>
            </w:r>
          </w:p>
        </w:tc>
      </w:tr>
      <w:tr>
        <w:trPr>
          <w:cantSplit/>
        </w:trPr>
        <w:tc>
          <w:tcPr>
            <w:tcW w:type="dxa" w:w="1900"/>
            <w:vAlign w:val="center"/>
            <w:tcMar>
              <w:top w:w="80" w:type="dxa"/>
              <w:start w:w="120" w:type="dxa"/>
              <w:bottom w:w="80" w:type="dxa"/>
              <w:end w:w="120" w:type="dxa"/>
            </w:tcMar>
          </w:tcPr>
          <w:p>
            <w:pPr>
              <w:spacing w:after="0"/>
            </w:pPr>
            <w:r>
              <w:rPr>
                <w:rFonts w:ascii="Calibri" w:hAnsi="Calibri"/>
                <w:color w:val="000000"/>
                <w:sz w:val="18"/>
              </w:rPr>
              <w:t>SRF launch.php</w:t>
            </w:r>
          </w:p>
        </w:tc>
        <w:tc>
          <w:tcPr>
            <w:tcW w:type="dxa" w:w="7460"/>
            <w:vAlign w:val="center"/>
            <w:tcMar>
              <w:top w:w="80" w:type="dxa"/>
              <w:start w:w="120" w:type="dxa"/>
              <w:bottom w:w="80" w:type="dxa"/>
              <w:end w:w="120" w:type="dxa"/>
            </w:tcMar>
          </w:tcPr>
          <w:p>
            <w:pPr>
              <w:spacing w:after="0"/>
            </w:pPr>
            <w:r>
              <w:rPr>
                <w:rFonts w:ascii="Calibri" w:hAnsi="Calibri"/>
                <w:color w:val="000000"/>
                <w:sz w:val="18"/>
              </w:rPr>
              <w:t>Validate token, reject expired/tampered/replayed values, establish an SRF session, then redirect.</w:t>
            </w:r>
          </w:p>
        </w:tc>
      </w:tr>
      <w:tr>
        <w:trPr>
          <w:cantSplit/>
        </w:trPr>
        <w:tc>
          <w:tcPr>
            <w:tcW w:type="dxa" w:w="1900"/>
            <w:vAlign w:val="center"/>
            <w:tcMar>
              <w:top w:w="80" w:type="dxa"/>
              <w:start w:w="120" w:type="dxa"/>
              <w:bottom w:w="80" w:type="dxa"/>
              <w:end w:w="120" w:type="dxa"/>
            </w:tcMar>
          </w:tcPr>
          <w:p>
            <w:pPr>
              <w:spacing w:after="0"/>
            </w:pPr>
            <w:r>
              <w:rPr>
                <w:rFonts w:ascii="Calibri" w:hAnsi="Calibri"/>
                <w:color w:val="000000"/>
                <w:sz w:val="18"/>
              </w:rPr>
              <w:t>SRF index/API</w:t>
            </w:r>
          </w:p>
        </w:tc>
        <w:tc>
          <w:tcPr>
            <w:tcW w:type="dxa" w:w="7460"/>
            <w:vAlign w:val="center"/>
            <w:tcMar>
              <w:top w:w="80" w:type="dxa"/>
              <w:start w:w="120" w:type="dxa"/>
              <w:bottom w:w="80" w:type="dxa"/>
              <w:end w:w="120" w:type="dxa"/>
            </w:tcMar>
          </w:tcPr>
          <w:p>
            <w:pPr>
              <w:spacing w:after="0"/>
            </w:pPr>
            <w:r>
              <w:rPr>
                <w:rFonts w:ascii="Calibri" w:hAnsi="Calibri"/>
                <w:color w:val="000000"/>
                <w:sz w:val="18"/>
              </w:rPr>
              <w:t>Require the SRF session before rendering the form, accepting submissions, looking up items, or exporting PDFs.</w:t>
            </w:r>
          </w:p>
        </w:tc>
      </w:tr>
      <w:tr>
        <w:trPr>
          <w:cantSplit/>
        </w:trPr>
        <w:tc>
          <w:tcPr>
            <w:tcW w:type="dxa" w:w="1900"/>
            <w:vAlign w:val="center"/>
            <w:tcMar>
              <w:top w:w="80" w:type="dxa"/>
              <w:start w:w="120" w:type="dxa"/>
              <w:bottom w:w="80" w:type="dxa"/>
              <w:end w:w="120" w:type="dxa"/>
            </w:tcMar>
          </w:tcPr>
          <w:p>
            <w:pPr>
              <w:spacing w:after="0"/>
            </w:pPr>
            <w:r>
              <w:rPr>
                <w:rFonts w:ascii="Calibri" w:hAnsi="Calibri"/>
                <w:color w:val="000000"/>
                <w:sz w:val="18"/>
              </w:rPr>
              <w:t>IIS</w:t>
            </w:r>
          </w:p>
        </w:tc>
        <w:tc>
          <w:tcPr>
            <w:tcW w:type="dxa" w:w="7460"/>
            <w:vAlign w:val="center"/>
            <w:tcMar>
              <w:top w:w="80" w:type="dxa"/>
              <w:start w:w="120" w:type="dxa"/>
              <w:bottom w:w="80" w:type="dxa"/>
              <w:end w:w="120" w:type="dxa"/>
            </w:tcMar>
          </w:tcPr>
          <w:p>
            <w:pPr>
              <w:spacing w:after="0"/>
            </w:pPr>
            <w:r>
              <w:rPr>
                <w:rFonts w:ascii="Calibri" w:hAnsi="Calibri"/>
                <w:color w:val="000000"/>
                <w:sz w:val="18"/>
              </w:rPr>
              <w:t>Allow anonymous access only to the SRF public application; keep /admin protected with Windows authentication.</w:t>
            </w:r>
          </w:p>
        </w:tc>
      </w:tr>
      <w:tr>
        <w:trPr>
          <w:cantSplit/>
        </w:trPr>
        <w:tc>
          <w:tcPr>
            <w:tcW w:type="dxa" w:w="1900"/>
            <w:vAlign w:val="center"/>
            <w:tcMar>
              <w:top w:w="80" w:type="dxa"/>
              <w:start w:w="120" w:type="dxa"/>
              <w:bottom w:w="80" w:type="dxa"/>
              <w:end w:w="120" w:type="dxa"/>
            </w:tcMar>
          </w:tcPr>
          <w:p>
            <w:pPr>
              <w:spacing w:after="0"/>
            </w:pPr>
            <w:r>
              <w:rPr>
                <w:rFonts w:ascii="Calibri" w:hAnsi="Calibri"/>
                <w:color w:val="000000"/>
                <w:sz w:val="18"/>
              </w:rPr>
              <w:t>NTFS</w:t>
            </w:r>
          </w:p>
        </w:tc>
        <w:tc>
          <w:tcPr>
            <w:tcW w:type="dxa" w:w="7460"/>
            <w:vAlign w:val="center"/>
            <w:tcMar>
              <w:top w:w="80" w:type="dxa"/>
              <w:start w:w="120" w:type="dxa"/>
              <w:bottom w:w="80" w:type="dxa"/>
              <w:end w:w="120" w:type="dxa"/>
            </w:tcMar>
          </w:tcPr>
          <w:p>
            <w:pPr>
              <w:spacing w:after="0"/>
            </w:pPr>
            <w:r>
              <w:rPr>
                <w:rFonts w:ascii="Calibri" w:hAnsi="Calibri"/>
                <w:color w:val="000000"/>
                <w:sz w:val="18"/>
              </w:rPr>
              <w:t>Read/execute on code; Modify only where runtime files must be written.</w:t>
            </w:r>
          </w:p>
        </w:tc>
      </w:tr>
    </w:tbl>
    <w:p>
      <w:pPr>
        <w:spacing w:after="20"/>
      </w:pPr>
    </w:p>
    <w:p>
      <w:pPr>
        <w:pStyle w:val="Heading1"/>
      </w:pPr>
      <w:r>
        <w:t>2. Request flow</w:t>
      </w:r>
    </w:p>
    <w:p>
      <w:pPr>
        <w:pStyle w:val="ListNumber"/>
        <w:numPr>
          <w:ilvl w:val="0"/>
          <w:numId w:val="10"/>
        </w:numPr>
      </w:pPr>
      <w:r>
        <w:rPr>
          <w:rFonts w:ascii="Calibri" w:hAnsi="Calibri"/>
          <w:color w:val="000000"/>
          <w:sz w:val="22"/>
        </w:rPr>
        <w:t>The visitor clicks Open Sample Request Form on the Rep Portal home page.</w:t>
      </w:r>
    </w:p>
    <w:p>
      <w:pPr>
        <w:pStyle w:val="ListNumber"/>
        <w:numPr>
          <w:ilvl w:val="0"/>
          <w:numId w:val="10"/>
        </w:numPr>
      </w:pPr>
      <w:r>
        <w:rPr>
          <w:rFonts w:ascii="Calibri" w:hAnsi="Calibri"/>
          <w:color w:val="000000"/>
          <w:sz w:val="22"/>
        </w:rPr>
        <w:t>The button opens /srf-launch on Rep Portal; the static page does not contain a reusable token.</w:t>
      </w:r>
    </w:p>
    <w:p>
      <w:pPr>
        <w:pStyle w:val="ListNumber"/>
        <w:numPr>
          <w:ilvl w:val="0"/>
          <w:numId w:val="10"/>
        </w:numPr>
      </w:pPr>
      <w:r>
        <w:rPr>
          <w:rFonts w:ascii="Calibri" w:hAnsi="Calibri"/>
          <w:color w:val="000000"/>
          <w:sz w:val="22"/>
        </w:rPr>
        <w:t>Rep Portal creates a random nonce, expiration timestamp, and HMAC-SHA256 signature.</w:t>
      </w:r>
    </w:p>
    <w:p>
      <w:pPr>
        <w:pStyle w:val="ListNumber"/>
        <w:numPr>
          <w:ilvl w:val="0"/>
          <w:numId w:val="10"/>
        </w:numPr>
      </w:pPr>
      <w:r>
        <w:rPr>
          <w:rFonts w:ascii="Calibri" w:hAnsi="Calibri"/>
          <w:color w:val="000000"/>
          <w:sz w:val="22"/>
        </w:rPr>
        <w:t>Rep Portal redirects to https://chapinlink.com/SalesNew/SRF/launch.php?token=... .</w:t>
      </w:r>
    </w:p>
    <w:p>
      <w:pPr>
        <w:pStyle w:val="ListNumber"/>
        <w:numPr>
          <w:ilvl w:val="0"/>
          <w:numId w:val="10"/>
        </w:numPr>
      </w:pPr>
      <w:r>
        <w:rPr>
          <w:rFonts w:ascii="Calibri" w:hAnsi="Calibri"/>
          <w:color w:val="000000"/>
          <w:sz w:val="22"/>
        </w:rPr>
        <w:t>launch.php validates the token in constant time and optionally consumes its nonce so it cannot be replayed.</w:t>
      </w:r>
    </w:p>
    <w:p>
      <w:pPr>
        <w:pStyle w:val="ListNumber"/>
        <w:numPr>
          <w:ilvl w:val="0"/>
          <w:numId w:val="10"/>
        </w:numPr>
      </w:pPr>
      <w:r>
        <w:rPr>
          <w:rFonts w:ascii="Calibri" w:hAnsi="Calibri"/>
          <w:color w:val="000000"/>
          <w:sz w:val="22"/>
        </w:rPr>
        <w:t>launch.php creates a short-lived srf_access session cookie and issues a 303 redirect to index.php.</w:t>
      </w:r>
    </w:p>
    <w:p>
      <w:pPr>
        <w:pStyle w:val="ListNumber"/>
        <w:numPr>
          <w:ilvl w:val="0"/>
          <w:numId w:val="10"/>
        </w:numPr>
      </w:pPr>
      <w:r>
        <w:rPr>
          <w:rFonts w:ascii="Calibri" w:hAnsi="Calibri"/>
          <w:color w:val="000000"/>
          <w:sz w:val="22"/>
        </w:rPr>
        <w:t>index.php and every public API route validate the session. A direct request without the session returns 403 or redirects back to Rep Portal.</w:t>
      </w:r>
    </w:p>
    <w:tbl>
      <w:tblPr>
        <w:tblW w:type="dxa" w:w="9360"/>
        <w:jc w:val="left"/>
        <w:tblLayout w:type="fixed"/>
        <w:tblLook w:firstColumn="1" w:firstRow="1" w:lastColumn="0" w:lastRow="0" w:noHBand="0" w:noVBand="1" w:val="04A0"/>
        <w:tblInd w:w="120" w:type="dxa"/>
        <w:tblBorders>
          <w:top w:val="single" w:sz="0" w:space="0" w:color="FFF4CE"/>
          <w:left w:val="single" w:sz="0" w:space="0" w:color="FFF4CE"/>
          <w:bottom w:val="single" w:sz="0" w:space="0" w:color="FFF4CE"/>
          <w:right w:val="single" w:sz="0" w:space="0" w:color="FFF4CE"/>
          <w:insideH w:val="single" w:sz="0" w:space="0" w:color="FFF4CE"/>
          <w:insideV w:val="single" w:sz="0" w:space="0" w:color="FFF4CE"/>
        </w:tblBorders>
      </w:tblPr>
      <w:tblGrid>
        <w:gridCol w:w="9360"/>
      </w:tblGrid>
      <w:tr>
        <w:trPr>
          <w:cantSplit/>
        </w:trPr>
        <w:tc>
          <w:tcPr>
            <w:tcW w:type="dxa" w:w="9360"/>
            <w:tcMar>
              <w:top w:w="130" w:type="dxa"/>
              <w:start w:w="180" w:type="dxa"/>
              <w:bottom w:w="130" w:type="dxa"/>
              <w:end w:w="180" w:type="dxa"/>
            </w:tcMar>
            <w:shd w:fill="FFF4CE"/>
          </w:tcPr>
          <w:p>
            <w:pPr>
              <w:spacing w:after="0"/>
            </w:pPr>
            <w:r>
              <w:rPr>
                <w:rFonts w:ascii="Calibri" w:hAnsi="Calibri"/>
                <w:b/>
                <w:color w:val="6B4E00"/>
                <w:sz w:val="21"/>
              </w:rPr>
              <w:t xml:space="preserve">Important limitation: </w:t>
            </w:r>
            <w:r>
              <w:rPr>
                <w:rFonts w:ascii="Calibri" w:hAnsi="Calibri"/>
                <w:color w:val="6B4E00"/>
                <w:sz w:val="21"/>
              </w:rPr>
              <w:t>If anyone can open the Rep Portal home page, anyone can request a fresh ticket. This design discourages copying and circulating the ChapinLink address, but it does not identify or authorize the visitor. Require Rep Portal authentication or recipient-specific invitation links if identity-level access control is required.</w:t>
            </w:r>
          </w:p>
        </w:tc>
      </w:tr>
    </w:tbl>
    <w:p>
      <w:pPr>
        <w:spacing w:after="40"/>
      </w:pPr>
    </w:p>
    <w:p>
      <w:pPr>
        <w:pStyle w:val="Heading1"/>
      </w:pPr>
      <w:r>
        <w:t>3. Token contract</w:t>
      </w:r>
    </w:p>
    <w:p>
      <w:r>
        <w:rPr>
          <w:rFonts w:ascii="Calibri" w:hAnsi="Calibri"/>
          <w:color w:val="000000"/>
          <w:sz w:val="22"/>
        </w:rPr>
        <w:t>Use one interoperable format on both platforms:</w:t>
      </w:r>
    </w:p>
    <w:p>
      <w:pPr>
        <w:pStyle w:val="CodeBlock"/>
        <w:keepLines/>
      </w:pPr>
      <w:r>
        <w:rPr>
          <w:rFonts w:ascii="Consolas" w:hAnsi="Consolas"/>
          <w:color w:val="202124"/>
          <w:sz w:val="17"/>
        </w:rPr>
        <w:t>v1.&lt;expires-unix-seconds&gt;.&lt;nonce-base64url&gt;.&lt;signature-base64url&gt;</w:t>
      </w:r>
    </w:p>
    <w:p>
      <w:r>
        <w:rPr>
          <w:rFonts w:ascii="Calibri" w:hAnsi="Calibri"/>
          <w:color w:val="000000"/>
          <w:sz w:val="22"/>
        </w:rPr>
        <w:t>Example only (not a real credential):</w:t>
      </w:r>
    </w:p>
    <w:p>
      <w:pPr>
        <w:pStyle w:val="CodeBlock"/>
        <w:keepLines/>
      </w:pPr>
      <w:r>
        <w:rPr>
          <w:rFonts w:ascii="Consolas" w:hAnsi="Consolas"/>
          <w:color w:val="202124"/>
          <w:sz w:val="17"/>
        </w:rPr>
        <w:t>v1.1786986000.Nv8p3K0dQm2xJ7cW9aL4Hg.</w:t>
        <w:br/>
        <w:t>D4l2bmqJAtxPU5Uz6Eu9THhQWJ1fvy8ywQQpMK2gBiA</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7660"/>
      </w:tblGrid>
      <w:tr>
        <w:trPr>
          <w:tblHeader w:val="true"/>
          <w:cantSplit/>
        </w:trPr>
        <w:tc>
          <w:tcPr>
            <w:tcW w:type="dxa" w:w="1700"/>
            <w:tcMar>
              <w:top w:w="80" w:type="dxa"/>
              <w:start w:w="120" w:type="dxa"/>
              <w:bottom w:w="80" w:type="dxa"/>
              <w:end w:w="120" w:type="dxa"/>
            </w:tcMar>
            <w:shd w:fill="E8EEF5"/>
            <w:vAlign w:val="center"/>
          </w:tcPr>
          <w:p>
            <w:pPr>
              <w:spacing w:after="0"/>
            </w:pPr>
            <w:r>
              <w:rPr>
                <w:rFonts w:ascii="Calibri" w:hAnsi="Calibri"/>
                <w:b/>
                <w:color w:val="17324D"/>
                <w:sz w:val="19"/>
              </w:rPr>
              <w:t>Field</w:t>
            </w:r>
          </w:p>
        </w:tc>
        <w:tc>
          <w:tcPr>
            <w:tcW w:type="dxa" w:w="7660"/>
            <w:tcMar>
              <w:top w:w="80" w:type="dxa"/>
              <w:start w:w="120" w:type="dxa"/>
              <w:bottom w:w="80" w:type="dxa"/>
              <w:end w:w="120" w:type="dxa"/>
            </w:tcMar>
            <w:shd w:fill="E8EEF5"/>
            <w:vAlign w:val="center"/>
          </w:tcPr>
          <w:p>
            <w:pPr>
              <w:spacing w:after="0"/>
            </w:pPr>
            <w:r>
              <w:rPr>
                <w:rFonts w:ascii="Calibri" w:hAnsi="Calibri"/>
                <w:b/>
                <w:color w:val="17324D"/>
                <w:sz w:val="19"/>
              </w:rPr>
              <w:t>Requirement</w:t>
            </w:r>
          </w:p>
        </w:tc>
      </w:tr>
      <w:tr>
        <w:trPr>
          <w:cantSplit/>
        </w:trPr>
        <w:tc>
          <w:tcPr>
            <w:tcW w:type="dxa" w:w="1700"/>
            <w:vAlign w:val="center"/>
            <w:tcMar>
              <w:top w:w="80" w:type="dxa"/>
              <w:start w:w="120" w:type="dxa"/>
              <w:bottom w:w="80" w:type="dxa"/>
              <w:end w:w="120" w:type="dxa"/>
            </w:tcMar>
          </w:tcPr>
          <w:p>
            <w:pPr>
              <w:spacing w:after="0"/>
            </w:pPr>
            <w:r>
              <w:rPr>
                <w:rFonts w:ascii="Calibri" w:hAnsi="Calibri"/>
                <w:color w:val="000000"/>
                <w:sz w:val="18"/>
              </w:rPr>
              <w:t>v1</w:t>
            </w:r>
          </w:p>
        </w:tc>
        <w:tc>
          <w:tcPr>
            <w:tcW w:type="dxa" w:w="7660"/>
            <w:vAlign w:val="center"/>
            <w:tcMar>
              <w:top w:w="80" w:type="dxa"/>
              <w:start w:w="120" w:type="dxa"/>
              <w:bottom w:w="80" w:type="dxa"/>
              <w:end w:w="120" w:type="dxa"/>
            </w:tcMar>
          </w:tcPr>
          <w:p>
            <w:pPr>
              <w:spacing w:after="0"/>
            </w:pPr>
            <w:r>
              <w:rPr>
                <w:rFonts w:ascii="Calibri" w:hAnsi="Calibri"/>
                <w:color w:val="000000"/>
                <w:sz w:val="18"/>
              </w:rPr>
              <w:t>Token format version. Reject unknown versions.</w:t>
            </w:r>
          </w:p>
        </w:tc>
      </w:tr>
      <w:tr>
        <w:trPr>
          <w:cantSplit/>
        </w:trPr>
        <w:tc>
          <w:tcPr>
            <w:tcW w:type="dxa" w:w="1700"/>
            <w:vAlign w:val="center"/>
            <w:tcMar>
              <w:top w:w="80" w:type="dxa"/>
              <w:start w:w="120" w:type="dxa"/>
              <w:bottom w:w="80" w:type="dxa"/>
              <w:end w:w="120" w:type="dxa"/>
            </w:tcMar>
          </w:tcPr>
          <w:p>
            <w:pPr>
              <w:spacing w:after="0"/>
            </w:pPr>
            <w:r>
              <w:rPr>
                <w:rFonts w:ascii="Calibri" w:hAnsi="Calibri"/>
                <w:color w:val="000000"/>
                <w:sz w:val="18"/>
              </w:rPr>
              <w:t>expires</w:t>
            </w:r>
          </w:p>
        </w:tc>
        <w:tc>
          <w:tcPr>
            <w:tcW w:type="dxa" w:w="7660"/>
            <w:vAlign w:val="center"/>
            <w:tcMar>
              <w:top w:w="80" w:type="dxa"/>
              <w:start w:w="120" w:type="dxa"/>
              <w:bottom w:w="80" w:type="dxa"/>
              <w:end w:w="120" w:type="dxa"/>
            </w:tcMar>
          </w:tcPr>
          <w:p>
            <w:pPr>
              <w:spacing w:after="0"/>
            </w:pPr>
            <w:r>
              <w:rPr>
                <w:rFonts w:ascii="Calibri" w:hAnsi="Calibri"/>
                <w:color w:val="000000"/>
                <w:sz w:val="18"/>
              </w:rPr>
              <w:t>UTC Unix timestamp. Recommended lifetime: 60-120 seconds.</w:t>
            </w:r>
          </w:p>
        </w:tc>
      </w:tr>
      <w:tr>
        <w:trPr>
          <w:cantSplit/>
        </w:trPr>
        <w:tc>
          <w:tcPr>
            <w:tcW w:type="dxa" w:w="1700"/>
            <w:vAlign w:val="center"/>
            <w:tcMar>
              <w:top w:w="80" w:type="dxa"/>
              <w:start w:w="120" w:type="dxa"/>
              <w:bottom w:w="80" w:type="dxa"/>
              <w:end w:w="120" w:type="dxa"/>
            </w:tcMar>
          </w:tcPr>
          <w:p>
            <w:pPr>
              <w:spacing w:after="0"/>
            </w:pPr>
            <w:r>
              <w:rPr>
                <w:rFonts w:ascii="Calibri" w:hAnsi="Calibri"/>
                <w:color w:val="000000"/>
                <w:sz w:val="18"/>
              </w:rPr>
              <w:t>nonce</w:t>
            </w:r>
          </w:p>
        </w:tc>
        <w:tc>
          <w:tcPr>
            <w:tcW w:type="dxa" w:w="7660"/>
            <w:vAlign w:val="center"/>
            <w:tcMar>
              <w:top w:w="80" w:type="dxa"/>
              <w:start w:w="120" w:type="dxa"/>
              <w:bottom w:w="80" w:type="dxa"/>
              <w:end w:w="120" w:type="dxa"/>
            </w:tcMar>
          </w:tcPr>
          <w:p>
            <w:pPr>
              <w:spacing w:after="0"/>
            </w:pPr>
            <w:r>
              <w:rPr>
                <w:rFonts w:ascii="Calibri" w:hAnsi="Calibri"/>
                <w:color w:val="000000"/>
                <w:sz w:val="18"/>
              </w:rPr>
              <w:t>At least 16 cryptographically random bytes, Base64Url encoded without padding.</w:t>
            </w:r>
          </w:p>
        </w:tc>
      </w:tr>
      <w:tr>
        <w:trPr>
          <w:cantSplit/>
        </w:trPr>
        <w:tc>
          <w:tcPr>
            <w:tcW w:type="dxa" w:w="1700"/>
            <w:vAlign w:val="center"/>
            <w:tcMar>
              <w:top w:w="80" w:type="dxa"/>
              <w:start w:w="120" w:type="dxa"/>
              <w:bottom w:w="80" w:type="dxa"/>
              <w:end w:w="120" w:type="dxa"/>
            </w:tcMar>
          </w:tcPr>
          <w:p>
            <w:pPr>
              <w:spacing w:after="0"/>
            </w:pPr>
            <w:r>
              <w:rPr>
                <w:rFonts w:ascii="Calibri" w:hAnsi="Calibri"/>
                <w:color w:val="000000"/>
                <w:sz w:val="18"/>
              </w:rPr>
              <w:t>signature</w:t>
            </w:r>
          </w:p>
        </w:tc>
        <w:tc>
          <w:tcPr>
            <w:tcW w:type="dxa" w:w="7660"/>
            <w:vAlign w:val="center"/>
            <w:tcMar>
              <w:top w:w="80" w:type="dxa"/>
              <w:start w:w="120" w:type="dxa"/>
              <w:bottom w:w="80" w:type="dxa"/>
              <w:end w:w="120" w:type="dxa"/>
            </w:tcMar>
          </w:tcPr>
          <w:p>
            <w:pPr>
              <w:spacing w:after="0"/>
            </w:pPr>
            <w:r>
              <w:rPr>
                <w:rFonts w:ascii="Calibri" w:hAnsi="Calibri"/>
                <w:color w:val="000000"/>
                <w:sz w:val="18"/>
              </w:rPr>
              <w:t>Base64Url(HMAC-SHA256(secret, ASCII 'v1.expires.nonce' payload)).</w:t>
            </w:r>
          </w:p>
        </w:tc>
      </w:tr>
    </w:tbl>
    <w:p>
      <w:pPr>
        <w:spacing w:after="20"/>
      </w:pPr>
    </w:p>
    <w:p>
      <w:pPr>
        <w:pStyle w:val="ListBullet"/>
      </w:pPr>
      <w:r>
        <w:rPr>
          <w:rFonts w:ascii="Calibri" w:hAnsi="Calibri"/>
          <w:color w:val="000000"/>
          <w:sz w:val="22"/>
        </w:rPr>
        <w:t>Generate the shared secret from at least 32 random bytes.</w:t>
      </w:r>
    </w:p>
    <w:p>
      <w:pPr>
        <w:pStyle w:val="ListBullet"/>
      </w:pPr>
      <w:r>
        <w:rPr>
          <w:rFonts w:ascii="Calibri" w:hAnsi="Calibri"/>
          <w:color w:val="000000"/>
          <w:sz w:val="22"/>
        </w:rPr>
        <w:t>Store the secret in protected server configuration or an environment variable named SRF_LAUNCH_SECRET.</w:t>
      </w:r>
    </w:p>
    <w:p>
      <w:pPr>
        <w:pStyle w:val="ListBullet"/>
      </w:pPr>
      <w:r>
        <w:rPr>
          <w:rFonts w:ascii="Calibri" w:hAnsi="Calibri"/>
          <w:color w:val="000000"/>
          <w:sz w:val="22"/>
        </w:rPr>
        <w:t>Never commit the secret to source control, place it in JavaScript, embed it in HTML, or include it in this document.</w:t>
      </w:r>
    </w:p>
    <w:p>
      <w:pPr>
        <w:pStyle w:val="ListBullet"/>
      </w:pPr>
      <w:r>
        <w:rPr>
          <w:rFonts w:ascii="Calibri" w:hAnsi="Calibri"/>
          <w:color w:val="000000"/>
          <w:sz w:val="22"/>
        </w:rPr>
        <w:t>Use the exact UTF-8 secret bytes and Base64Url rules on both systems.</w:t>
      </w:r>
    </w:p>
    <w:p>
      <w:pPr>
        <w:pStyle w:val="ListBullet"/>
      </w:pPr>
      <w:r>
        <w:rPr>
          <w:rFonts w:ascii="Calibri" w:hAnsi="Calibri"/>
          <w:color w:val="000000"/>
          <w:sz w:val="22"/>
        </w:rPr>
        <w:t>Compare signatures using a constant-time operation such as hash_equals in PHP.</w:t>
      </w:r>
    </w:p>
    <w:p>
      <w:pPr>
        <w:pStyle w:val="Heading1"/>
      </w:pPr>
      <w:r>
        <w:t>4. Rep Portal implementation</w:t>
      </w:r>
    </w:p>
    <w:p>
      <w:pPr>
        <w:pStyle w:val="Heading2"/>
      </w:pPr>
      <w:r>
        <w:t>4.1 Home-page link</w:t>
      </w:r>
    </w:p>
    <w:p>
      <w:r>
        <w:rPr>
          <w:rFonts w:ascii="Calibri" w:hAnsi="Calibri"/>
          <w:color w:val="000000"/>
          <w:sz w:val="22"/>
        </w:rPr>
        <w:t>Replace the direct ChapinLink URL with an internal launch route. The token is created on click, avoiding a token that expires while the page sits open.</w:t>
      </w:r>
    </w:p>
    <w:p>
      <w:pPr>
        <w:pStyle w:val="CodeBlock"/>
        <w:keepLines/>
      </w:pPr>
      <w:r>
        <w:rPr>
          <w:rFonts w:ascii="Consolas" w:hAnsi="Consolas"/>
          <w:color w:val="202124"/>
          <w:sz w:val="17"/>
        </w:rPr>
        <w:t>&lt;a class="btn btn-primary mt-3"</w:t>
        <w:br/>
        <w:t xml:space="preserve">   href="/srf-launch"</w:t>
        <w:br/>
        <w:t xml:space="preserve">   target="_blank"</w:t>
        <w:br/>
        <w:t xml:space="preserve">   rel="noopener noreferrer"&gt;</w:t>
        <w:br/>
        <w:t xml:space="preserve">    Open Sample Request Form</w:t>
        <w:br/>
        <w:t>&lt;/a&gt;</w:t>
      </w:r>
    </w:p>
    <w:p>
      <w:pPr>
        <w:pStyle w:val="Heading2"/>
      </w:pPr>
      <w:r>
        <w:t>4.2 C# token generation</w:t>
      </w:r>
    </w:p>
    <w:p>
      <w:pPr>
        <w:pStyle w:val="CodeBlock"/>
        <w:keepLines/>
      </w:pPr>
      <w:r>
        <w:rPr>
          <w:rFonts w:ascii="Consolas" w:hAnsi="Consolas"/>
          <w:color w:val="202124"/>
          <w:sz w:val="17"/>
        </w:rPr>
        <w:t>using System.Security.Cryptography;</w:t>
        <w:br/>
        <w:t>using System.Text;</w:t>
        <w:br/>
        <w:t>using Microsoft.AspNetCore.WebUtilities;</w:t>
        <w:br/>
        <w:br/>
        <w:t>var expires = DateTimeOffset.UtcNow</w:t>
        <w:br/>
        <w:t xml:space="preserve">    .AddMinutes(1)</w:t>
        <w:br/>
        <w:t xml:space="preserve">    .ToUnixTimeSeconds();</w:t>
        <w:br/>
        <w:br/>
        <w:t>var nonce = WebEncoders.Base64UrlEncode(</w:t>
        <w:br/>
        <w:t xml:space="preserve">    RandomNumberGenerator.GetBytes(16));</w:t>
        <w:br/>
        <w:br/>
        <w:t>var payload = $"v1.{expires}.{nonce}";</w:t>
        <w:br/>
        <w:t>using var hmac = new HMACSHA256(</w:t>
        <w:br/>
        <w:t xml:space="preserve">    Encoding.UTF8.GetBytes(sharedSecret));</w:t>
        <w:br/>
        <w:br/>
        <w:t>var signature = WebEncoders.Base64UrlEncode(</w:t>
        <w:br/>
        <w:t xml:space="preserve">    hmac.ComputeHash(Encoding.UTF8.GetBytes(payload)));</w:t>
        <w:br/>
        <w:br/>
        <w:t>var token = $"{payload}.{signature}";</w:t>
      </w:r>
    </w:p>
    <w:p>
      <w:pPr>
        <w:pStyle w:val="Heading2"/>
      </w:pPr>
      <w:r>
        <w:t>4.3 Launch endpoint behavior</w:t>
      </w:r>
    </w:p>
    <w:p>
      <w:pPr>
        <w:pStyle w:val="ListBullet"/>
      </w:pPr>
      <w:r>
        <w:rPr>
          <w:rFonts w:ascii="Calibri" w:hAnsi="Calibri"/>
          <w:color w:val="000000"/>
          <w:sz w:val="22"/>
        </w:rPr>
        <w:t>Route GET /srf-launch; generate the ticket server-side and redirect to the configured SRF launch URL.</w:t>
      </w:r>
    </w:p>
    <w:p>
      <w:pPr>
        <w:pStyle w:val="ListBullet"/>
      </w:pPr>
      <w:r>
        <w:rPr>
          <w:rFonts w:ascii="Calibri" w:hAnsi="Calibri"/>
          <w:color w:val="000000"/>
          <w:sz w:val="22"/>
        </w:rPr>
        <w:t>Set Cache-Control: no-store and Referrer-Policy: no-referrer.</w:t>
      </w:r>
    </w:p>
    <w:p>
      <w:pPr>
        <w:pStyle w:val="ListBullet"/>
      </w:pPr>
      <w:r>
        <w:rPr>
          <w:rFonts w:ascii="Calibri" w:hAnsi="Calibri"/>
          <w:color w:val="000000"/>
          <w:sz w:val="22"/>
        </w:rPr>
        <w:t>Do not write the token to application logs, analytics events, or exception messages.</w:t>
      </w:r>
    </w:p>
    <w:p>
      <w:pPr>
        <w:pStyle w:val="ListBullet"/>
      </w:pPr>
      <w:r>
        <w:rPr>
          <w:rFonts w:ascii="Calibri" w:hAnsi="Calibri"/>
          <w:color w:val="000000"/>
          <w:sz w:val="22"/>
        </w:rPr>
        <w:t>Return a controlled 503 response if SRF_LAUNCH_SECRET is missing or too short.</w:t>
      </w:r>
    </w:p>
    <w:p>
      <w:pPr>
        <w:pStyle w:val="CodeBlock"/>
        <w:keepLines/>
      </w:pPr>
      <w:r>
        <w:rPr>
          <w:rFonts w:ascii="Consolas" w:hAnsi="Consolas"/>
          <w:color w:val="202124"/>
          <w:sz w:val="17"/>
        </w:rPr>
        <w:t>var target =</w:t>
        <w:br/>
        <w:t xml:space="preserve">    "https://chapinlink.com/SalesNew/SRF/launch.php?token=" +</w:t>
        <w:br/>
        <w:t xml:space="preserve">    Uri.EscapeDataString(token);</w:t>
        <w:br/>
        <w:br/>
        <w:t>Response.Headers.CacheControl = "no-store";</w:t>
        <w:br/>
        <w:t>Response.Headers.ReferrerPolicy = "no-referrer";</w:t>
        <w:br/>
        <w:t>return Redirect(target);</w:t>
      </w:r>
    </w:p>
    <w:p>
      <w:pPr>
        <w:pStyle w:val="Heading1"/>
      </w:pPr>
      <w:r>
        <w:t>5. ChapinLink PHP implementation</w:t>
      </w:r>
    </w:p>
    <w:p>
      <w:pPr>
        <w:pStyle w:val="Heading2"/>
      </w:pPr>
      <w:r>
        <w:t>5.1 launch.php validation</w:t>
      </w:r>
    </w:p>
    <w:p>
      <w:r>
        <w:rPr>
          <w:rFonts w:ascii="Calibri" w:hAnsi="Calibri"/>
          <w:color w:val="000000"/>
          <w:sz w:val="22"/>
        </w:rPr>
        <w:t>Create launch.php in the SRF root. It should be the only endpoint that accepts a launch token. The following is illustrative and should be integrated with the application's existing bootstrap and error handling.</w:t>
      </w:r>
    </w:p>
    <w:p>
      <w:pPr>
        <w:pStyle w:val="CodeBlock"/>
        <w:keepLines/>
      </w:pPr>
      <w:r>
        <w:rPr>
          <w:rFonts w:ascii="Consolas" w:hAnsi="Consolas"/>
          <w:color w:val="202124"/>
          <w:sz w:val="17"/>
        </w:rPr>
        <w:t>&lt;?php</w:t>
        <w:br/>
        <w:t>require_once __DIR__ . '/lib/bootstrap.php';</w:t>
        <w:br/>
        <w:br/>
        <w:t>function b64url_encode(string $value): string {</w:t>
        <w:br/>
        <w:t xml:space="preserve">    return rtrim(strtr(base64_encode($value), '+/', '-_'), '=');</w:t>
        <w:br/>
        <w:t>}</w:t>
        <w:br/>
        <w:br/>
        <w:t>$token = (string) ($_GET['token'] ?? '');</w:t>
        <w:br/>
        <w:t>$parts = explode('.', $token);</w:t>
        <w:br/>
        <w:t>if (count($parts) !== 4 || $parts[0] !== 'v1') {</w:t>
        <w:br/>
        <w:t xml:space="preserve">    http_response_code(403); exit('Invalid launch ticket.');</w:t>
        <w:br/>
        <w:t>}</w:t>
        <w:br/>
        <w:br/>
        <w:t>[$version, $expiresText, $nonce, $provided] = $parts;</w:t>
        <w:br/>
        <w:t>if (!ctype_digit($expiresText) || (int) $expiresText &lt; time()) {</w:t>
        <w:br/>
        <w:t xml:space="preserve">    http_response_code(403); exit('Expired launch ticket.');</w:t>
        <w:br/>
        <w:t>}</w:t>
        <w:br/>
        <w:br/>
        <w:t>// Reject timestamps too far in the future as well.</w:t>
        <w:br/>
        <w:t>if ((int) $expiresText &gt; time() + 120) {</w:t>
        <w:br/>
        <w:t xml:space="preserve">    http_response_code(403); exit('Invalid launch ticket.');</w:t>
        <w:br/>
        <w:t>}</w:t>
        <w:br/>
        <w:br/>
        <w:t>$secret = getenv('SRF_LAUNCH_SECRET') ?: '';</w:t>
        <w:br/>
        <w:t>if (strlen($secret) &lt; 32) {</w:t>
        <w:br/>
        <w:t xml:space="preserve">    http_response_code(503); exit('Launch service unavailable.');</w:t>
        <w:br/>
        <w:t>}</w:t>
        <w:br/>
        <w:br/>
        <w:t>$payload = "$version.$expiresText.$nonce";</w:t>
        <w:br/>
        <w:t>$expected = b64url_encode(</w:t>
        <w:br/>
        <w:t xml:space="preserve">    hash_hmac('sha256', $payload, $secret, true));</w:t>
        <w:br/>
        <w:br/>
        <w:t>if (!hash_equals($expected, $provided)) {</w:t>
        <w:br/>
        <w:t xml:space="preserve">    http_response_code(403); exit('Invalid launch ticket.');</w:t>
        <w:br/>
        <w:t>}</w:t>
      </w:r>
    </w:p>
    <w:p>
      <w:pPr>
        <w:pStyle w:val="Heading2"/>
      </w:pPr>
      <w:r>
        <w:t>5.2 Establish the SRF session</w:t>
      </w:r>
    </w:p>
    <w:p>
      <w:pPr>
        <w:pStyle w:val="CodeBlock"/>
        <w:keepLines/>
      </w:pPr>
      <w:r>
        <w:rPr>
          <w:rFonts w:ascii="Consolas" w:hAnsi="Consolas"/>
          <w:color w:val="202124"/>
          <w:sz w:val="17"/>
        </w:rPr>
        <w:t>session_name('srf_access');</w:t>
        <w:br/>
        <w:t>session_set_cookie_params([</w:t>
        <w:br/>
        <w:t xml:space="preserve">    'lifetime' =&gt; 0,</w:t>
        <w:br/>
        <w:t xml:space="preserve">    'path' =&gt; '/SalesNew/SRF/',</w:t>
        <w:br/>
        <w:t xml:space="preserve">    'secure' =&gt; true,</w:t>
        <w:br/>
        <w:t xml:space="preserve">    'httponly' =&gt; true,</w:t>
        <w:br/>
        <w:t xml:space="preserve">    'samesite' =&gt; 'Lax',</w:t>
        <w:br/>
        <w:t>]);</w:t>
        <w:br/>
        <w:t>session_start();</w:t>
        <w:br/>
        <w:t>session_regenerate_id(true);</w:t>
        <w:br/>
        <w:t>$_SESSION['srf_authorized'] = true;</w:t>
        <w:br/>
        <w:t>$_SESSION['srf_expires_at'] = time() + 3600;</w:t>
        <w:br/>
        <w:br/>
        <w:t>header('Cache-Control: no-store');</w:t>
        <w:br/>
        <w:t>header('Referrer-Policy: no-referrer');</w:t>
        <w:br/>
        <w:t>header('Location: index.php', true, 303);</w:t>
        <w:br/>
        <w:t>exit;</w:t>
      </w:r>
    </w:p>
    <w:p>
      <w:pPr>
        <w:pStyle w:val="Heading2"/>
      </w:pPr>
      <w:r>
        <w:t>5.3 Protect index.php and public APIs</w:t>
      </w:r>
    </w:p>
    <w:p>
      <w:r>
        <w:rPr>
          <w:rFonts w:ascii="Calibri" w:hAnsi="Calibri"/>
          <w:color w:val="000000"/>
          <w:sz w:val="22"/>
        </w:rPr>
        <w:t>Create one reusable guard and call it at the start of index.php and each public API endpoint, including item lookup, request submission, and PDF export. Static CSS/images may remain public.</w:t>
      </w:r>
    </w:p>
    <w:p>
      <w:pPr>
        <w:pStyle w:val="CodeBlock"/>
        <w:keepLines/>
      </w:pPr>
      <w:r>
        <w:rPr>
          <w:rFonts w:ascii="Consolas" w:hAnsi="Consolas"/>
          <w:color w:val="202124"/>
          <w:sz w:val="17"/>
        </w:rPr>
        <w:t>function require_srf_access(): void {</w:t>
        <w:br/>
        <w:t xml:space="preserve">    session_name('srf_access');</w:t>
        <w:br/>
        <w:t xml:space="preserve">    session_start();</w:t>
        <w:br/>
        <w:br/>
        <w:t xml:space="preserve">    $valid = !empty($_SESSION['srf_authorized'])</w:t>
        <w:br/>
        <w:t xml:space="preserve">        &amp;&amp; (int) ($_SESSION['srf_expires_at'] ?? 0) &gt;= time();</w:t>
        <w:br/>
        <w:br/>
        <w:t xml:space="preserve">    if (!$valid) {</w:t>
        <w:br/>
        <w:t xml:space="preserve">        http_response_code(403);</w:t>
        <w:br/>
        <w:t xml:space="preserve">        exit('Open the Sample Request Form from Rep Portal.');</w:t>
        <w:br/>
        <w:t xml:space="preserve">    }</w:t>
        <w:br/>
        <w:t>}</w:t>
      </w:r>
    </w:p>
    <w:p>
      <w:pPr>
        <w:pStyle w:val="Heading2"/>
      </w:pPr>
      <w:r>
        <w:t>5.4 Replay protection</w:t>
      </w:r>
    </w:p>
    <w:p>
      <w:r>
        <w:rPr>
          <w:rFonts w:ascii="Calibri" w:hAnsi="Calibri"/>
          <w:color w:val="000000"/>
          <w:sz w:val="22"/>
        </w:rPr>
        <w:t>A short expiration limits replay but does not make the token single-use. For stronger link-sharing resistance, store a hash of each consumed nonce in a database table with its expiration and reject a second use. Insert it atomically using a unique index. Purge expired nonce rows on a schedule.</w:t>
      </w:r>
    </w:p>
    <w:tbl>
      <w:tblPr>
        <w:tblW w:type="dxa" w:w="9360"/>
        <w:jc w:val="left"/>
        <w:tblLayout w:type="fixed"/>
        <w:tblLook w:firstColumn="1" w:firstRow="1" w:lastColumn="0" w:lastRow="0" w:noHBand="0" w:noVBand="1" w:val="04A0"/>
        <w:tblInd w:w="120" w:type="dxa"/>
        <w:tblBorders>
          <w:top w:val="single" w:sz="0" w:space="0" w:color="FDECEC"/>
          <w:left w:val="single" w:sz="0" w:space="0" w:color="FDECEC"/>
          <w:bottom w:val="single" w:sz="0" w:space="0" w:color="FDECEC"/>
          <w:right w:val="single" w:sz="0" w:space="0" w:color="FDECEC"/>
          <w:insideH w:val="single" w:sz="0" w:space="0" w:color="FDECEC"/>
          <w:insideV w:val="single" w:sz="0" w:space="0" w:color="FDECEC"/>
        </w:tblBorders>
      </w:tblPr>
      <w:tblGrid>
        <w:gridCol w:w="9360"/>
      </w:tblGrid>
      <w:tr>
        <w:trPr>
          <w:cantSplit/>
        </w:trPr>
        <w:tc>
          <w:tcPr>
            <w:tcW w:type="dxa" w:w="9360"/>
            <w:tcMar>
              <w:top w:w="130" w:type="dxa"/>
              <w:start w:w="180" w:type="dxa"/>
              <w:bottom w:w="130" w:type="dxa"/>
              <w:end w:w="180" w:type="dxa"/>
            </w:tcMar>
            <w:shd w:fill="FDECEC"/>
          </w:tcPr>
          <w:p>
            <w:pPr>
              <w:spacing w:after="0"/>
            </w:pPr>
            <w:r>
              <w:rPr>
                <w:rFonts w:ascii="Calibri" w:hAnsi="Calibri"/>
                <w:b/>
                <w:color w:val="8A1C1C"/>
                <w:sz w:val="21"/>
              </w:rPr>
              <w:t xml:space="preserve">Avoid: </w:t>
            </w:r>
            <w:r>
              <w:rPr>
                <w:rFonts w:ascii="Calibri" w:hAnsi="Calibri"/>
                <w:color w:val="8A1C1C"/>
                <w:sz w:val="21"/>
              </w:rPr>
              <w:t>Do not rely on a static query-string key, hidden HTML input, Referer header, JavaScript-only check, or obscured URL. Each can be copied or spoofed and none establishes a trusted session.</w:t>
            </w:r>
          </w:p>
        </w:tc>
      </w:tr>
    </w:tbl>
    <w:p>
      <w:pPr>
        <w:spacing w:after="40"/>
      </w:pPr>
    </w:p>
    <w:p>
      <w:pPr>
        <w:pStyle w:val="Heading1"/>
      </w:pPr>
      <w:r>
        <w:t>6. IIS authentication configuration</w:t>
      </w:r>
    </w:p>
    <w:p>
      <w:r>
        <w:rPr>
          <w:rFonts w:ascii="Calibri" w:hAnsi="Calibri"/>
          <w:color w:val="000000"/>
          <w:sz w:val="22"/>
        </w:rPr>
        <w:t>The ChapinIntranet site currently requires Windows authentication at the site level. Authentication sections are locked at server configuration, so a folder web.config override may produce IIS error 500.19. Apply the exception at server level with IIS Manager or AppCmd while elevated on ciiws01.</w:t>
      </w:r>
    </w:p>
    <w:p>
      <w:pPr>
        <w:pStyle w:val="Heading2"/>
      </w:pPr>
      <w:r>
        <w:t>6.1 Required scope</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000"/>
        <w:gridCol w:w="1300"/>
        <w:gridCol w:w="1300"/>
        <w:gridCol w:w="3760"/>
      </w:tblGrid>
      <w:tr>
        <w:trPr>
          <w:tblHeader w:val="true"/>
          <w:cantSplit/>
        </w:trPr>
        <w:tc>
          <w:tcPr>
            <w:tcW w:type="dxa" w:w="3000"/>
            <w:tcMar>
              <w:top w:w="80" w:type="dxa"/>
              <w:start w:w="120" w:type="dxa"/>
              <w:bottom w:w="80" w:type="dxa"/>
              <w:end w:w="120" w:type="dxa"/>
            </w:tcMar>
            <w:shd w:fill="E8EEF5"/>
            <w:vAlign w:val="center"/>
          </w:tcPr>
          <w:p>
            <w:pPr>
              <w:spacing w:after="0"/>
            </w:pPr>
            <w:r>
              <w:rPr>
                <w:rFonts w:ascii="Calibri" w:hAnsi="Calibri"/>
                <w:b/>
                <w:color w:val="17324D"/>
                <w:sz w:val="19"/>
              </w:rPr>
              <w:t>IIS path</w:t>
            </w:r>
          </w:p>
        </w:tc>
        <w:tc>
          <w:tcPr>
            <w:tcW w:type="dxa" w:w="1300"/>
            <w:tcMar>
              <w:top w:w="80" w:type="dxa"/>
              <w:start w:w="120" w:type="dxa"/>
              <w:bottom w:w="80" w:type="dxa"/>
              <w:end w:w="120" w:type="dxa"/>
            </w:tcMar>
            <w:shd w:fill="E8EEF5"/>
            <w:vAlign w:val="center"/>
          </w:tcPr>
          <w:p>
            <w:pPr>
              <w:spacing w:after="0"/>
            </w:pPr>
            <w:r>
              <w:rPr>
                <w:rFonts w:ascii="Calibri" w:hAnsi="Calibri"/>
                <w:b/>
                <w:color w:val="17324D"/>
                <w:sz w:val="19"/>
              </w:rPr>
              <w:t>Anonymous</w:t>
            </w:r>
          </w:p>
        </w:tc>
        <w:tc>
          <w:tcPr>
            <w:tcW w:type="dxa" w:w="1300"/>
            <w:tcMar>
              <w:top w:w="80" w:type="dxa"/>
              <w:start w:w="120" w:type="dxa"/>
              <w:bottom w:w="80" w:type="dxa"/>
              <w:end w:w="120" w:type="dxa"/>
            </w:tcMar>
            <w:shd w:fill="E8EEF5"/>
            <w:vAlign w:val="center"/>
          </w:tcPr>
          <w:p>
            <w:pPr>
              <w:spacing w:after="0"/>
            </w:pPr>
            <w:r>
              <w:rPr>
                <w:rFonts w:ascii="Calibri" w:hAnsi="Calibri"/>
                <w:b/>
                <w:color w:val="17324D"/>
                <w:sz w:val="19"/>
              </w:rPr>
              <w:t>Windows</w:t>
            </w:r>
          </w:p>
        </w:tc>
        <w:tc>
          <w:tcPr>
            <w:tcW w:type="dxa" w:w="3760"/>
            <w:tcMar>
              <w:top w:w="80" w:type="dxa"/>
              <w:start w:w="120" w:type="dxa"/>
              <w:bottom w:w="80" w:type="dxa"/>
              <w:end w:w="120" w:type="dxa"/>
            </w:tcMar>
            <w:shd w:fill="E8EEF5"/>
            <w:vAlign w:val="center"/>
          </w:tcPr>
          <w:p>
            <w:pPr>
              <w:spacing w:after="0"/>
            </w:pPr>
            <w:r>
              <w:rPr>
                <w:rFonts w:ascii="Calibri" w:hAnsi="Calibri"/>
                <w:b/>
                <w:color w:val="17324D"/>
                <w:sz w:val="19"/>
              </w:rPr>
              <w:t>Reason</w:t>
            </w:r>
          </w:p>
        </w:tc>
      </w:tr>
      <w:tr>
        <w:trPr>
          <w:cantSplit/>
        </w:trPr>
        <w:tc>
          <w:tcPr>
            <w:tcW w:type="dxa" w:w="3000"/>
            <w:vAlign w:val="center"/>
            <w:tcMar>
              <w:top w:w="80" w:type="dxa"/>
              <w:start w:w="120" w:type="dxa"/>
              <w:bottom w:w="80" w:type="dxa"/>
              <w:end w:w="120" w:type="dxa"/>
            </w:tcMar>
          </w:tcPr>
          <w:p>
            <w:pPr>
              <w:spacing w:after="0"/>
            </w:pPr>
            <w:r>
              <w:rPr>
                <w:rFonts w:ascii="Calibri" w:hAnsi="Calibri"/>
                <w:color w:val="000000"/>
                <w:sz w:val="18"/>
              </w:rPr>
              <w:t>ChapinIntranet/SalesNew/SRF</w:t>
            </w:r>
          </w:p>
        </w:tc>
        <w:tc>
          <w:tcPr>
            <w:tcW w:type="dxa" w:w="1300"/>
            <w:vAlign w:val="center"/>
            <w:tcMar>
              <w:top w:w="80" w:type="dxa"/>
              <w:start w:w="120" w:type="dxa"/>
              <w:bottom w:w="80" w:type="dxa"/>
              <w:end w:w="120" w:type="dxa"/>
            </w:tcMar>
          </w:tcPr>
          <w:p>
            <w:pPr>
              <w:spacing w:after="0"/>
            </w:pPr>
            <w:r>
              <w:rPr>
                <w:rFonts w:ascii="Calibri" w:hAnsi="Calibri"/>
                <w:color w:val="000000"/>
                <w:sz w:val="18"/>
              </w:rPr>
              <w:t>Enabled</w:t>
            </w:r>
          </w:p>
        </w:tc>
        <w:tc>
          <w:tcPr>
            <w:tcW w:type="dxa" w:w="1300"/>
            <w:vAlign w:val="center"/>
            <w:tcMar>
              <w:top w:w="80" w:type="dxa"/>
              <w:start w:w="120" w:type="dxa"/>
              <w:bottom w:w="80" w:type="dxa"/>
              <w:end w:w="120" w:type="dxa"/>
            </w:tcMar>
          </w:tcPr>
          <w:p>
            <w:pPr>
              <w:spacing w:after="0"/>
            </w:pPr>
            <w:r>
              <w:rPr>
                <w:rFonts w:ascii="Calibri" w:hAnsi="Calibri"/>
                <w:color w:val="000000"/>
                <w:sz w:val="18"/>
              </w:rPr>
              <w:t>Disabled</w:t>
            </w:r>
          </w:p>
        </w:tc>
        <w:tc>
          <w:tcPr>
            <w:tcW w:type="dxa" w:w="3760"/>
            <w:vAlign w:val="center"/>
            <w:tcMar>
              <w:top w:w="80" w:type="dxa"/>
              <w:start w:w="120" w:type="dxa"/>
              <w:bottom w:w="80" w:type="dxa"/>
              <w:end w:w="120" w:type="dxa"/>
            </w:tcMar>
          </w:tcPr>
          <w:p>
            <w:pPr>
              <w:spacing w:after="0"/>
            </w:pPr>
            <w:r>
              <w:rPr>
                <w:rFonts w:ascii="Calibri" w:hAnsi="Calibri"/>
                <w:color w:val="000000"/>
                <w:sz w:val="18"/>
              </w:rPr>
              <w:t>Public launch, form, assets, and API calls.</w:t>
            </w:r>
          </w:p>
        </w:tc>
      </w:tr>
      <w:tr>
        <w:trPr>
          <w:cantSplit/>
        </w:trPr>
        <w:tc>
          <w:tcPr>
            <w:tcW w:type="dxa" w:w="3000"/>
            <w:vAlign w:val="center"/>
            <w:tcMar>
              <w:top w:w="80" w:type="dxa"/>
              <w:start w:w="120" w:type="dxa"/>
              <w:bottom w:w="80" w:type="dxa"/>
              <w:end w:w="120" w:type="dxa"/>
            </w:tcMar>
          </w:tcPr>
          <w:p>
            <w:pPr>
              <w:spacing w:after="0"/>
            </w:pPr>
            <w:r>
              <w:rPr>
                <w:rFonts w:ascii="Calibri" w:hAnsi="Calibri"/>
                <w:color w:val="000000"/>
                <w:sz w:val="18"/>
              </w:rPr>
              <w:t>ChapinIntranet/SalesNew/SRF/admin</w:t>
            </w:r>
          </w:p>
        </w:tc>
        <w:tc>
          <w:tcPr>
            <w:tcW w:type="dxa" w:w="1300"/>
            <w:vAlign w:val="center"/>
            <w:tcMar>
              <w:top w:w="80" w:type="dxa"/>
              <w:start w:w="120" w:type="dxa"/>
              <w:bottom w:w="80" w:type="dxa"/>
              <w:end w:w="120" w:type="dxa"/>
            </w:tcMar>
          </w:tcPr>
          <w:p>
            <w:pPr>
              <w:spacing w:after="0"/>
            </w:pPr>
            <w:r>
              <w:rPr>
                <w:rFonts w:ascii="Calibri" w:hAnsi="Calibri"/>
                <w:color w:val="000000"/>
                <w:sz w:val="18"/>
              </w:rPr>
              <w:t>Disabled</w:t>
            </w:r>
          </w:p>
        </w:tc>
        <w:tc>
          <w:tcPr>
            <w:tcW w:type="dxa" w:w="1300"/>
            <w:vAlign w:val="center"/>
            <w:tcMar>
              <w:top w:w="80" w:type="dxa"/>
              <w:start w:w="120" w:type="dxa"/>
              <w:bottom w:w="80" w:type="dxa"/>
              <w:end w:w="120" w:type="dxa"/>
            </w:tcMar>
          </w:tcPr>
          <w:p>
            <w:pPr>
              <w:spacing w:after="0"/>
            </w:pPr>
            <w:r>
              <w:rPr>
                <w:rFonts w:ascii="Calibri" w:hAnsi="Calibri"/>
                <w:color w:val="000000"/>
                <w:sz w:val="18"/>
              </w:rPr>
              <w:t>Enabled</w:t>
            </w:r>
          </w:p>
        </w:tc>
        <w:tc>
          <w:tcPr>
            <w:tcW w:type="dxa" w:w="3760"/>
            <w:vAlign w:val="center"/>
            <w:tcMar>
              <w:top w:w="80" w:type="dxa"/>
              <w:start w:w="120" w:type="dxa"/>
              <w:bottom w:w="80" w:type="dxa"/>
              <w:end w:w="120" w:type="dxa"/>
            </w:tcMar>
          </w:tcPr>
          <w:p>
            <w:pPr>
              <w:spacing w:after="0"/>
            </w:pPr>
            <w:r>
              <w:rPr>
                <w:rFonts w:ascii="Calibri" w:hAnsi="Calibri"/>
                <w:color w:val="000000"/>
                <w:sz w:val="18"/>
              </w:rPr>
              <w:t>Preserve Windows-authenticated administrative access.</w:t>
            </w:r>
          </w:p>
        </w:tc>
      </w:tr>
      <w:tr>
        <w:trPr>
          <w:cantSplit/>
        </w:trPr>
        <w:tc>
          <w:tcPr>
            <w:tcW w:type="dxa" w:w="3000"/>
            <w:vAlign w:val="center"/>
            <w:tcMar>
              <w:top w:w="80" w:type="dxa"/>
              <w:start w:w="120" w:type="dxa"/>
              <w:bottom w:w="80" w:type="dxa"/>
              <w:end w:w="120" w:type="dxa"/>
            </w:tcMar>
          </w:tcPr>
          <w:p>
            <w:pPr>
              <w:spacing w:after="0"/>
            </w:pPr>
            <w:r>
              <w:rPr>
                <w:rFonts w:ascii="Calibri" w:hAnsi="Calibri"/>
                <w:color w:val="000000"/>
                <w:sz w:val="18"/>
              </w:rPr>
              <w:t>Rest of ChapinIntranet</w:t>
            </w:r>
          </w:p>
        </w:tc>
        <w:tc>
          <w:tcPr>
            <w:tcW w:type="dxa" w:w="1300"/>
            <w:vAlign w:val="center"/>
            <w:tcMar>
              <w:top w:w="80" w:type="dxa"/>
              <w:start w:w="120" w:type="dxa"/>
              <w:bottom w:w="80" w:type="dxa"/>
              <w:end w:w="120" w:type="dxa"/>
            </w:tcMar>
          </w:tcPr>
          <w:p>
            <w:pPr>
              <w:spacing w:after="0"/>
            </w:pPr>
            <w:r>
              <w:rPr>
                <w:rFonts w:ascii="Calibri" w:hAnsi="Calibri"/>
                <w:color w:val="000000"/>
                <w:sz w:val="18"/>
              </w:rPr>
              <w:t>Unchanged</w:t>
            </w:r>
          </w:p>
        </w:tc>
        <w:tc>
          <w:tcPr>
            <w:tcW w:type="dxa" w:w="1300"/>
            <w:vAlign w:val="center"/>
            <w:tcMar>
              <w:top w:w="80" w:type="dxa"/>
              <w:start w:w="120" w:type="dxa"/>
              <w:bottom w:w="80" w:type="dxa"/>
              <w:end w:w="120" w:type="dxa"/>
            </w:tcMar>
          </w:tcPr>
          <w:p>
            <w:pPr>
              <w:spacing w:after="0"/>
            </w:pPr>
            <w:r>
              <w:rPr>
                <w:rFonts w:ascii="Calibri" w:hAnsi="Calibri"/>
                <w:color w:val="000000"/>
                <w:sz w:val="18"/>
              </w:rPr>
              <w:t>Unchanged</w:t>
            </w:r>
          </w:p>
        </w:tc>
        <w:tc>
          <w:tcPr>
            <w:tcW w:type="dxa" w:w="3760"/>
            <w:vAlign w:val="center"/>
            <w:tcMar>
              <w:top w:w="80" w:type="dxa"/>
              <w:start w:w="120" w:type="dxa"/>
              <w:bottom w:w="80" w:type="dxa"/>
              <w:end w:w="120" w:type="dxa"/>
            </w:tcMar>
          </w:tcPr>
          <w:p>
            <w:pPr>
              <w:spacing w:after="0"/>
            </w:pPr>
            <w:r>
              <w:rPr>
                <w:rFonts w:ascii="Calibri" w:hAnsi="Calibri"/>
                <w:color w:val="000000"/>
                <w:sz w:val="18"/>
              </w:rPr>
              <w:t>Do not broaden the anonymous-access exception.</w:t>
            </w:r>
          </w:p>
        </w:tc>
      </w:tr>
    </w:tbl>
    <w:p>
      <w:pPr>
        <w:spacing w:after="20"/>
      </w:pPr>
    </w:p>
    <w:p>
      <w:pPr>
        <w:pStyle w:val="Heading2"/>
      </w:pPr>
      <w:r>
        <w:t>6.2 AppCmd example</w:t>
      </w:r>
    </w:p>
    <w:p>
      <w:r>
        <w:rPr>
          <w:rFonts w:ascii="Calibri" w:hAnsi="Calibri"/>
          <w:color w:val="000000"/>
          <w:sz w:val="22"/>
        </w:rPr>
        <w:t>Back up IIS configuration first. Run these commands from an elevated command prompt on ciiws01 and verify the resolved IIS paths before executing them.</w:t>
      </w:r>
    </w:p>
    <w:p>
      <w:pPr>
        <w:pStyle w:val="CodeBlock"/>
        <w:keepLines/>
      </w:pPr>
      <w:r>
        <w:rPr>
          <w:rFonts w:ascii="Consolas" w:hAnsi="Consolas"/>
          <w:color w:val="202124"/>
          <w:sz w:val="17"/>
        </w:rPr>
        <w:t>%windir%\system32\inetsrv\appcmd.exe add backup Before-SRF-Anonymous</w:t>
        <w:br/>
        <w:br/>
        <w:t>%windir%\system32\inetsrv\appcmd.exe set config   "ChapinIntranet/SalesNew/SRF"   -section:system.webServer/security/authentication/anonymousAuthentication   /enabled:"True" /commit:apphost</w:t>
        <w:br/>
        <w:br/>
        <w:t>%windir%\system32\inetsrv\appcmd.exe set config   "ChapinIntranet/SalesNew/SRF"   -section:system.webServer/security/authentication/windowsAuthentication   /enabled:"False" /commit:apphost</w:t>
        <w:br/>
        <w:br/>
        <w:t>%windir%\system32\inetsrv\appcmd.exe set config   "ChapinIntranet/SalesNew/SRF/admin"   -section:system.webServer/security/authentication/anonymousAuthentication   /enabled:"False" /commit:apphost</w:t>
        <w:br/>
        <w:br/>
        <w:t>%windir%\system32\inetsrv\appcmd.exe set config   "ChapinIntranet/SalesNew/SRF/admin"   -section:system.webServer/security/authentication/windowsAuthentication   /enabled:"True" /commit:apphost</w:t>
      </w:r>
    </w:p>
    <w:tbl>
      <w:tblPr>
        <w:tblW w:type="dxa" w:w="9360"/>
        <w:jc w:val="left"/>
        <w:tblLayout w:type="fixed"/>
        <w:tblLook w:firstColumn="1" w:firstRow="1" w:lastColumn="0" w:lastRow="0" w:noHBand="0" w:noVBand="1" w:val="04A0"/>
        <w:tblInd w:w="120" w:type="dxa"/>
        <w:tblBorders>
          <w:top w:val="single" w:sz="0" w:space="0" w:color="FFF4CE"/>
          <w:left w:val="single" w:sz="0" w:space="0" w:color="FFF4CE"/>
          <w:bottom w:val="single" w:sz="0" w:space="0" w:color="FFF4CE"/>
          <w:right w:val="single" w:sz="0" w:space="0" w:color="FFF4CE"/>
          <w:insideH w:val="single" w:sz="0" w:space="0" w:color="FFF4CE"/>
          <w:insideV w:val="single" w:sz="0" w:space="0" w:color="FFF4CE"/>
        </w:tblBorders>
      </w:tblPr>
      <w:tblGrid>
        <w:gridCol w:w="9360"/>
      </w:tblGrid>
      <w:tr>
        <w:trPr>
          <w:cantSplit/>
        </w:trPr>
        <w:tc>
          <w:tcPr>
            <w:tcW w:type="dxa" w:w="9360"/>
            <w:tcMar>
              <w:top w:w="130" w:type="dxa"/>
              <w:start w:w="180" w:type="dxa"/>
              <w:bottom w:w="130" w:type="dxa"/>
              <w:end w:w="180" w:type="dxa"/>
            </w:tcMar>
            <w:shd w:fill="FFF4CE"/>
          </w:tcPr>
          <w:p>
            <w:pPr>
              <w:spacing w:after="0"/>
            </w:pPr>
            <w:r>
              <w:rPr>
                <w:rFonts w:ascii="Calibri" w:hAnsi="Calibri"/>
                <w:b/>
                <w:color w:val="6B4E00"/>
                <w:sz w:val="21"/>
              </w:rPr>
              <w:t xml:space="preserve">Ordering: </w:t>
            </w:r>
            <w:r>
              <w:rPr>
                <w:rFonts w:ascii="Calibri" w:hAnsi="Calibri"/>
                <w:color w:val="6B4E00"/>
                <w:sz w:val="21"/>
              </w:rPr>
              <w:t>Deploy token validation and session guards before enabling IIS anonymous access. Otherwise index.php and the submission APIs become publicly reachable without the launch check.</w:t>
            </w:r>
          </w:p>
        </w:tc>
      </w:tr>
    </w:tbl>
    <w:p>
      <w:pPr>
        <w:spacing w:after="40"/>
      </w:pPr>
    </w:p>
    <w:p>
      <w:pPr>
        <w:pStyle w:val="Heading1"/>
        <w:pageBreakBefore/>
      </w:pPr>
      <w:r>
        <w:t>7. NTFS permissions for the SRF folder</w:t>
      </w:r>
    </w:p>
    <w:p>
      <w:r>
        <w:rPr>
          <w:rFonts w:ascii="Calibri" w:hAnsi="Calibri"/>
          <w:color w:val="000000"/>
          <w:sz w:val="22"/>
        </w:rPr>
        <w:t>Use least privilege. Application code must not be writable by anonymous users. Only runtime storage should permit modification. Before changing ACLs, record the owner and existing explicit entries, save an ACL backup, and identify the deployment account or group that must retain Modify access.</w:t>
      </w:r>
    </w:p>
    <w:p>
      <w:pPr>
        <w:pStyle w:val="Heading2"/>
      </w:pPr>
      <w:r>
        <w:t>7.1 Recommended access matrix</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00"/>
        <w:gridCol w:w="2200"/>
        <w:gridCol w:w="1500"/>
        <w:gridCol w:w="3560"/>
      </w:tblGrid>
      <w:tr>
        <w:trPr>
          <w:tblHeader w:val="true"/>
          <w:cantSplit/>
        </w:trPr>
        <w:tc>
          <w:tcPr>
            <w:tcW w:type="dxa" w:w="2100"/>
            <w:tcMar>
              <w:top w:w="80" w:type="dxa"/>
              <w:start w:w="120" w:type="dxa"/>
              <w:bottom w:w="80" w:type="dxa"/>
              <w:end w:w="120" w:type="dxa"/>
            </w:tcMar>
            <w:shd w:fill="E8EEF5"/>
            <w:vAlign w:val="center"/>
          </w:tcPr>
          <w:p>
            <w:pPr>
              <w:spacing w:after="0"/>
            </w:pPr>
            <w:r>
              <w:rPr>
                <w:rFonts w:ascii="Calibri" w:hAnsi="Calibri"/>
                <w:b/>
                <w:color w:val="17324D"/>
                <w:sz w:val="19"/>
              </w:rPr>
              <w:t>Path</w:t>
            </w:r>
          </w:p>
        </w:tc>
        <w:tc>
          <w:tcPr>
            <w:tcW w:type="dxa" w:w="2200"/>
            <w:tcMar>
              <w:top w:w="80" w:type="dxa"/>
              <w:start w:w="120" w:type="dxa"/>
              <w:bottom w:w="80" w:type="dxa"/>
              <w:end w:w="120" w:type="dxa"/>
            </w:tcMar>
            <w:shd w:fill="E8EEF5"/>
            <w:vAlign w:val="center"/>
          </w:tcPr>
          <w:p>
            <w:pPr>
              <w:spacing w:after="0"/>
            </w:pPr>
            <w:r>
              <w:rPr>
                <w:rFonts w:ascii="Calibri" w:hAnsi="Calibri"/>
                <w:b/>
                <w:color w:val="17324D"/>
                <w:sz w:val="19"/>
              </w:rPr>
              <w:t>Principal</w:t>
            </w:r>
          </w:p>
        </w:tc>
        <w:tc>
          <w:tcPr>
            <w:tcW w:type="dxa" w:w="1500"/>
            <w:tcMar>
              <w:top w:w="80" w:type="dxa"/>
              <w:start w:w="120" w:type="dxa"/>
              <w:bottom w:w="80" w:type="dxa"/>
              <w:end w:w="120" w:type="dxa"/>
            </w:tcMar>
            <w:shd w:fill="E8EEF5"/>
            <w:vAlign w:val="center"/>
          </w:tcPr>
          <w:p>
            <w:pPr>
              <w:spacing w:after="0"/>
            </w:pPr>
            <w:r>
              <w:rPr>
                <w:rFonts w:ascii="Calibri" w:hAnsi="Calibri"/>
                <w:b/>
                <w:color w:val="17324D"/>
                <w:sz w:val="19"/>
              </w:rPr>
              <w:t>Permission</w:t>
            </w:r>
          </w:p>
        </w:tc>
        <w:tc>
          <w:tcPr>
            <w:tcW w:type="dxa" w:w="3560"/>
            <w:tcMar>
              <w:top w:w="80" w:type="dxa"/>
              <w:start w:w="120" w:type="dxa"/>
              <w:bottom w:w="80" w:type="dxa"/>
              <w:end w:w="120" w:type="dxa"/>
            </w:tcMar>
            <w:shd w:fill="E8EEF5"/>
            <w:vAlign w:val="center"/>
          </w:tcPr>
          <w:p>
            <w:pPr>
              <w:spacing w:after="0"/>
            </w:pPr>
            <w:r>
              <w:rPr>
                <w:rFonts w:ascii="Calibri" w:hAnsi="Calibri"/>
                <w:b/>
                <w:color w:val="17324D"/>
                <w:sz w:val="19"/>
              </w:rPr>
              <w:t>Notes</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000000"/>
                <w:sz w:val="18"/>
              </w:rPr>
              <w:t>SRF root and code</w:t>
            </w:r>
          </w:p>
        </w:tc>
        <w:tc>
          <w:tcPr>
            <w:tcW w:type="dxa" w:w="2200"/>
            <w:vAlign w:val="center"/>
            <w:tcMar>
              <w:top w:w="80" w:type="dxa"/>
              <w:start w:w="120" w:type="dxa"/>
              <w:bottom w:w="80" w:type="dxa"/>
              <w:end w:w="120" w:type="dxa"/>
            </w:tcMar>
          </w:tcPr>
          <w:p>
            <w:pPr>
              <w:spacing w:after="0"/>
            </w:pPr>
            <w:r>
              <w:rPr>
                <w:rFonts w:ascii="Calibri" w:hAnsi="Calibri"/>
                <w:color w:val="000000"/>
                <w:sz w:val="18"/>
              </w:rPr>
              <w:t>SYSTEM; Administrators</w:t>
            </w:r>
          </w:p>
        </w:tc>
        <w:tc>
          <w:tcPr>
            <w:tcW w:type="dxa" w:w="1500"/>
            <w:vAlign w:val="center"/>
            <w:tcMar>
              <w:top w:w="80" w:type="dxa"/>
              <w:start w:w="120" w:type="dxa"/>
              <w:bottom w:w="80" w:type="dxa"/>
              <w:end w:w="120" w:type="dxa"/>
            </w:tcMar>
          </w:tcPr>
          <w:p>
            <w:pPr>
              <w:spacing w:after="0"/>
            </w:pPr>
            <w:r>
              <w:rPr>
                <w:rFonts w:ascii="Calibri" w:hAnsi="Calibri"/>
                <w:color w:val="000000"/>
                <w:sz w:val="18"/>
              </w:rPr>
              <w:t>Full Control</w:t>
            </w:r>
          </w:p>
        </w:tc>
        <w:tc>
          <w:tcPr>
            <w:tcW w:type="dxa" w:w="3560"/>
            <w:vAlign w:val="center"/>
            <w:tcMar>
              <w:top w:w="80" w:type="dxa"/>
              <w:start w:w="120" w:type="dxa"/>
              <w:bottom w:w="80" w:type="dxa"/>
              <w:end w:w="120" w:type="dxa"/>
            </w:tcMar>
          </w:tcPr>
          <w:p>
            <w:pPr>
              <w:spacing w:after="0"/>
            </w:pPr>
            <w:r>
              <w:rPr>
                <w:rFonts w:ascii="Calibri" w:hAnsi="Calibri"/>
                <w:color w:val="000000"/>
                <w:sz w:val="18"/>
              </w:rPr>
              <w:t>Operating system and server administration.</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000000"/>
                <w:sz w:val="18"/>
              </w:rPr>
              <w:t>SRF root and code</w:t>
            </w:r>
          </w:p>
        </w:tc>
        <w:tc>
          <w:tcPr>
            <w:tcW w:type="dxa" w:w="2200"/>
            <w:vAlign w:val="center"/>
            <w:tcMar>
              <w:top w:w="80" w:type="dxa"/>
              <w:start w:w="120" w:type="dxa"/>
              <w:bottom w:w="80" w:type="dxa"/>
              <w:end w:w="120" w:type="dxa"/>
            </w:tcMar>
          </w:tcPr>
          <w:p>
            <w:pPr>
              <w:spacing w:after="0"/>
            </w:pPr>
            <w:r>
              <w:rPr>
                <w:rFonts w:ascii="Calibri" w:hAnsi="Calibri"/>
                <w:color w:val="000000"/>
                <w:sz w:val="18"/>
              </w:rPr>
              <w:t>CHAPIN\servadmin</w:t>
            </w:r>
          </w:p>
        </w:tc>
        <w:tc>
          <w:tcPr>
            <w:tcW w:type="dxa" w:w="1500"/>
            <w:vAlign w:val="center"/>
            <w:tcMar>
              <w:top w:w="80" w:type="dxa"/>
              <w:start w:w="120" w:type="dxa"/>
              <w:bottom w:w="80" w:type="dxa"/>
              <w:end w:w="120" w:type="dxa"/>
            </w:tcMar>
          </w:tcPr>
          <w:p>
            <w:pPr>
              <w:spacing w:after="0"/>
            </w:pPr>
            <w:r>
              <w:rPr>
                <w:rFonts w:ascii="Calibri" w:hAnsi="Calibri"/>
                <w:color w:val="000000"/>
                <w:sz w:val="18"/>
              </w:rPr>
              <w:t>Read &amp; Execute</w:t>
            </w:r>
          </w:p>
        </w:tc>
        <w:tc>
          <w:tcPr>
            <w:tcW w:type="dxa" w:w="3560"/>
            <w:vAlign w:val="center"/>
            <w:tcMar>
              <w:top w:w="80" w:type="dxa"/>
              <w:start w:w="120" w:type="dxa"/>
              <w:bottom w:w="80" w:type="dxa"/>
              <w:end w:w="120" w:type="dxa"/>
            </w:tcMar>
          </w:tcPr>
          <w:p>
            <w:pPr>
              <w:spacing w:after="0"/>
            </w:pPr>
            <w:r>
              <w:rPr>
                <w:rFonts w:ascii="Calibri" w:hAnsi="Calibri"/>
                <w:color w:val="000000"/>
                <w:sz w:val="18"/>
              </w:rPr>
              <w:t>Current ChapinIntranet application-pool process identity.</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000000"/>
                <w:sz w:val="18"/>
              </w:rPr>
              <w:t>SRF root and code</w:t>
            </w:r>
          </w:p>
        </w:tc>
        <w:tc>
          <w:tcPr>
            <w:tcW w:type="dxa" w:w="2200"/>
            <w:vAlign w:val="center"/>
            <w:tcMar>
              <w:top w:w="80" w:type="dxa"/>
              <w:start w:w="120" w:type="dxa"/>
              <w:bottom w:w="80" w:type="dxa"/>
              <w:end w:w="120" w:type="dxa"/>
            </w:tcMar>
          </w:tcPr>
          <w:p>
            <w:pPr>
              <w:spacing w:after="0"/>
            </w:pPr>
            <w:r>
              <w:rPr>
                <w:rFonts w:ascii="Calibri" w:hAnsi="Calibri"/>
                <w:color w:val="000000"/>
                <w:sz w:val="18"/>
              </w:rPr>
              <w:t>IUSR</w:t>
            </w:r>
          </w:p>
        </w:tc>
        <w:tc>
          <w:tcPr>
            <w:tcW w:type="dxa" w:w="1500"/>
            <w:vAlign w:val="center"/>
            <w:tcMar>
              <w:top w:w="80" w:type="dxa"/>
              <w:start w:w="120" w:type="dxa"/>
              <w:bottom w:w="80" w:type="dxa"/>
              <w:end w:w="120" w:type="dxa"/>
            </w:tcMar>
          </w:tcPr>
          <w:p>
            <w:pPr>
              <w:spacing w:after="0"/>
            </w:pPr>
            <w:r>
              <w:rPr>
                <w:rFonts w:ascii="Calibri" w:hAnsi="Calibri"/>
                <w:color w:val="000000"/>
                <w:sz w:val="18"/>
              </w:rPr>
              <w:t>Read &amp; Execute</w:t>
            </w:r>
          </w:p>
        </w:tc>
        <w:tc>
          <w:tcPr>
            <w:tcW w:type="dxa" w:w="3560"/>
            <w:vAlign w:val="center"/>
            <w:tcMar>
              <w:top w:w="80" w:type="dxa"/>
              <w:start w:w="120" w:type="dxa"/>
              <w:bottom w:w="80" w:type="dxa"/>
              <w:end w:w="120" w:type="dxa"/>
            </w:tcMar>
          </w:tcPr>
          <w:p>
            <w:pPr>
              <w:spacing w:after="0"/>
            </w:pPr>
            <w:r>
              <w:rPr>
                <w:rFonts w:ascii="Calibri" w:hAnsi="Calibri"/>
                <w:color w:val="000000"/>
                <w:sz w:val="18"/>
              </w:rPr>
              <w:t>IIS anonymous identity; no write permission on PHP or assets.</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000000"/>
                <w:sz w:val="18"/>
              </w:rPr>
              <w:t>SRF root and code</w:t>
            </w:r>
          </w:p>
        </w:tc>
        <w:tc>
          <w:tcPr>
            <w:tcW w:type="dxa" w:w="2200"/>
            <w:vAlign w:val="center"/>
            <w:tcMar>
              <w:top w:w="80" w:type="dxa"/>
              <w:start w:w="120" w:type="dxa"/>
              <w:bottom w:w="80" w:type="dxa"/>
              <w:end w:w="120" w:type="dxa"/>
            </w:tcMar>
          </w:tcPr>
          <w:p>
            <w:pPr>
              <w:spacing w:after="0"/>
            </w:pPr>
            <w:r>
              <w:rPr>
                <w:rFonts w:ascii="Calibri" w:hAnsi="Calibri"/>
                <w:color w:val="000000"/>
                <w:sz w:val="18"/>
              </w:rPr>
              <w:t>Deployment group</w:t>
            </w:r>
          </w:p>
        </w:tc>
        <w:tc>
          <w:tcPr>
            <w:tcW w:type="dxa" w:w="1500"/>
            <w:vAlign w:val="center"/>
            <w:tcMar>
              <w:top w:w="80" w:type="dxa"/>
              <w:start w:w="120" w:type="dxa"/>
              <w:bottom w:w="80" w:type="dxa"/>
              <w:end w:w="120" w:type="dxa"/>
            </w:tcMar>
          </w:tcPr>
          <w:p>
            <w:pPr>
              <w:spacing w:after="0"/>
            </w:pPr>
            <w:r>
              <w:rPr>
                <w:rFonts w:ascii="Calibri" w:hAnsi="Calibri"/>
                <w:color w:val="000000"/>
                <w:sz w:val="18"/>
              </w:rPr>
              <w:t>Modify</w:t>
            </w:r>
          </w:p>
        </w:tc>
        <w:tc>
          <w:tcPr>
            <w:tcW w:type="dxa" w:w="3560"/>
            <w:vAlign w:val="center"/>
            <w:tcMar>
              <w:top w:w="80" w:type="dxa"/>
              <w:start w:w="120" w:type="dxa"/>
              <w:bottom w:w="80" w:type="dxa"/>
              <w:end w:w="120" w:type="dxa"/>
            </w:tcMar>
          </w:tcPr>
          <w:p>
            <w:pPr>
              <w:spacing w:after="0"/>
            </w:pPr>
            <w:r>
              <w:rPr>
                <w:rFonts w:ascii="Calibri" w:hAnsi="Calibri"/>
                <w:color w:val="000000"/>
                <w:sz w:val="18"/>
              </w:rPr>
              <w:t>Use a named, controlled developer/deployment group if needed.</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000000"/>
                <w:sz w:val="18"/>
              </w:rPr>
              <w:t>SRF/storage</w:t>
            </w:r>
          </w:p>
        </w:tc>
        <w:tc>
          <w:tcPr>
            <w:tcW w:type="dxa" w:w="2200"/>
            <w:vAlign w:val="center"/>
            <w:tcMar>
              <w:top w:w="80" w:type="dxa"/>
              <w:start w:w="120" w:type="dxa"/>
              <w:bottom w:w="80" w:type="dxa"/>
              <w:end w:w="120" w:type="dxa"/>
            </w:tcMar>
          </w:tcPr>
          <w:p>
            <w:pPr>
              <w:spacing w:after="0"/>
            </w:pPr>
            <w:r>
              <w:rPr>
                <w:rFonts w:ascii="Calibri" w:hAnsi="Calibri"/>
                <w:color w:val="000000"/>
                <w:sz w:val="18"/>
              </w:rPr>
              <w:t>CHAPIN\servadmin</w:t>
            </w:r>
          </w:p>
        </w:tc>
        <w:tc>
          <w:tcPr>
            <w:tcW w:type="dxa" w:w="1500"/>
            <w:vAlign w:val="center"/>
            <w:tcMar>
              <w:top w:w="80" w:type="dxa"/>
              <w:start w:w="120" w:type="dxa"/>
              <w:bottom w:w="80" w:type="dxa"/>
              <w:end w:w="120" w:type="dxa"/>
            </w:tcMar>
          </w:tcPr>
          <w:p>
            <w:pPr>
              <w:spacing w:after="0"/>
            </w:pPr>
            <w:r>
              <w:rPr>
                <w:rFonts w:ascii="Calibri" w:hAnsi="Calibri"/>
                <w:color w:val="000000"/>
                <w:sz w:val="18"/>
              </w:rPr>
              <w:t>Modify</w:t>
            </w:r>
          </w:p>
        </w:tc>
        <w:tc>
          <w:tcPr>
            <w:tcW w:type="dxa" w:w="3560"/>
            <w:vAlign w:val="center"/>
            <w:tcMar>
              <w:top w:w="80" w:type="dxa"/>
              <w:start w:w="120" w:type="dxa"/>
              <w:bottom w:w="80" w:type="dxa"/>
              <w:end w:w="120" w:type="dxa"/>
            </w:tcMar>
          </w:tcPr>
          <w:p>
            <w:pPr>
              <w:spacing w:after="0"/>
            </w:pPr>
            <w:r>
              <w:rPr>
                <w:rFonts w:ascii="Calibri" w:hAnsi="Calibri"/>
                <w:color w:val="000000"/>
                <w:sz w:val="18"/>
              </w:rPr>
              <w:t>PDF, attachment, session, or nonce runtime writes.</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000000"/>
                <w:sz w:val="18"/>
              </w:rPr>
              <w:t>SRF/storage</w:t>
            </w:r>
          </w:p>
        </w:tc>
        <w:tc>
          <w:tcPr>
            <w:tcW w:type="dxa" w:w="2200"/>
            <w:vAlign w:val="center"/>
            <w:tcMar>
              <w:top w:w="80" w:type="dxa"/>
              <w:start w:w="120" w:type="dxa"/>
              <w:bottom w:w="80" w:type="dxa"/>
              <w:end w:w="120" w:type="dxa"/>
            </w:tcMar>
          </w:tcPr>
          <w:p>
            <w:pPr>
              <w:spacing w:after="0"/>
            </w:pPr>
            <w:r>
              <w:rPr>
                <w:rFonts w:ascii="Calibri" w:hAnsi="Calibri"/>
                <w:color w:val="000000"/>
                <w:sz w:val="18"/>
              </w:rPr>
              <w:t>IUSR</w:t>
            </w:r>
          </w:p>
        </w:tc>
        <w:tc>
          <w:tcPr>
            <w:tcW w:type="dxa" w:w="1500"/>
            <w:vAlign w:val="center"/>
            <w:tcMar>
              <w:top w:w="80" w:type="dxa"/>
              <w:start w:w="120" w:type="dxa"/>
              <w:bottom w:w="80" w:type="dxa"/>
              <w:end w:w="120" w:type="dxa"/>
            </w:tcMar>
          </w:tcPr>
          <w:p>
            <w:pPr>
              <w:spacing w:after="0"/>
            </w:pPr>
            <w:r>
              <w:rPr>
                <w:rFonts w:ascii="Calibri" w:hAnsi="Calibri"/>
                <w:color w:val="000000"/>
                <w:sz w:val="18"/>
              </w:rPr>
              <w:t>Modify only if required</w:t>
            </w:r>
          </w:p>
        </w:tc>
        <w:tc>
          <w:tcPr>
            <w:tcW w:type="dxa" w:w="3560"/>
            <w:vAlign w:val="center"/>
            <w:tcMar>
              <w:top w:w="80" w:type="dxa"/>
              <w:start w:w="120" w:type="dxa"/>
              <w:bottom w:w="80" w:type="dxa"/>
              <w:end w:w="120" w:type="dxa"/>
            </w:tcMar>
          </w:tcPr>
          <w:p>
            <w:pPr>
              <w:spacing w:after="0"/>
            </w:pPr>
            <w:r>
              <w:rPr>
                <w:rFonts w:ascii="Calibri" w:hAnsi="Calibri"/>
                <w:color w:val="000000"/>
                <w:sz w:val="18"/>
              </w:rPr>
              <w:t>Test first; grant only when PHP/IIS writes under this token.</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000000"/>
                <w:sz w:val="18"/>
              </w:rPr>
              <w:t>SRF/admin</w:t>
            </w:r>
          </w:p>
        </w:tc>
        <w:tc>
          <w:tcPr>
            <w:tcW w:type="dxa" w:w="2200"/>
            <w:vAlign w:val="center"/>
            <w:tcMar>
              <w:top w:w="80" w:type="dxa"/>
              <w:start w:w="120" w:type="dxa"/>
              <w:bottom w:w="80" w:type="dxa"/>
              <w:end w:w="120" w:type="dxa"/>
            </w:tcMar>
          </w:tcPr>
          <w:p>
            <w:pPr>
              <w:spacing w:after="0"/>
            </w:pPr>
            <w:r>
              <w:rPr>
                <w:rFonts w:ascii="Calibri" w:hAnsi="Calibri"/>
                <w:color w:val="000000"/>
                <w:sz w:val="18"/>
              </w:rPr>
              <w:t>IUSR</w:t>
            </w:r>
          </w:p>
        </w:tc>
        <w:tc>
          <w:tcPr>
            <w:tcW w:type="dxa" w:w="1500"/>
            <w:vAlign w:val="center"/>
            <w:tcMar>
              <w:top w:w="80" w:type="dxa"/>
              <w:start w:w="120" w:type="dxa"/>
              <w:bottom w:w="80" w:type="dxa"/>
              <w:end w:w="120" w:type="dxa"/>
            </w:tcMar>
          </w:tcPr>
          <w:p>
            <w:pPr>
              <w:spacing w:after="0"/>
            </w:pPr>
            <w:r>
              <w:rPr>
                <w:rFonts w:ascii="Calibri" w:hAnsi="Calibri"/>
                <w:color w:val="000000"/>
                <w:sz w:val="18"/>
              </w:rPr>
              <w:t>Read &amp; Execute only</w:t>
            </w:r>
          </w:p>
        </w:tc>
        <w:tc>
          <w:tcPr>
            <w:tcW w:type="dxa" w:w="3560"/>
            <w:vAlign w:val="center"/>
            <w:tcMar>
              <w:top w:w="80" w:type="dxa"/>
              <w:start w:w="120" w:type="dxa"/>
              <w:bottom w:w="80" w:type="dxa"/>
              <w:end w:w="120" w:type="dxa"/>
            </w:tcMar>
          </w:tcPr>
          <w:p>
            <w:pPr>
              <w:spacing w:after="0"/>
            </w:pPr>
            <w:r>
              <w:rPr>
                <w:rFonts w:ascii="Calibri" w:hAnsi="Calibri"/>
                <w:color w:val="000000"/>
                <w:sz w:val="18"/>
              </w:rPr>
              <w:t>IIS Windows authentication remains the access boundary.</w:t>
            </w:r>
          </w:p>
        </w:tc>
      </w:tr>
    </w:tbl>
    <w:p>
      <w:pPr>
        <w:spacing w:after="20"/>
      </w:pPr>
    </w:p>
    <w:p>
      <w:pPr>
        <w:pStyle w:val="ListBullet"/>
      </w:pPr>
      <w:r>
        <w:rPr>
          <w:rFonts w:ascii="Calibri" w:hAnsi="Calibri"/>
          <w:color w:val="000000"/>
          <w:sz w:val="22"/>
        </w:rPr>
        <w:t>Remove broad Everyone or Users write/Modify/Full Control entries from the SRF tree.</w:t>
      </w:r>
    </w:p>
    <w:p>
      <w:pPr>
        <w:pStyle w:val="ListBullet"/>
      </w:pPr>
      <w:r>
        <w:rPr>
          <w:rFonts w:ascii="Calibri" w:hAnsi="Calibri"/>
          <w:color w:val="000000"/>
          <w:sz w:val="22"/>
        </w:rPr>
        <w:t>Do not grant IUSR Modify on index.php, config.php, launch.php, lib, api, assets, or admin.</w:t>
      </w:r>
    </w:p>
    <w:p>
      <w:pPr>
        <w:pStyle w:val="ListBullet"/>
      </w:pPr>
      <w:r>
        <w:rPr>
          <w:rFonts w:ascii="Calibri" w:hAnsi="Calibri"/>
          <w:color w:val="000000"/>
          <w:sz w:val="22"/>
        </w:rPr>
        <w:t>Keep secrets outside the web root whenever possible. At minimum, block direct HTTP access to configuration files.</w:t>
      </w:r>
    </w:p>
    <w:p>
      <w:pPr>
        <w:pStyle w:val="ListBullet"/>
      </w:pPr>
      <w:r>
        <w:rPr>
          <w:rFonts w:ascii="Calibri" w:hAnsi="Calibri"/>
          <w:color w:val="000000"/>
          <w:sz w:val="22"/>
        </w:rPr>
        <w:t>Move storage outside the web root or configure IIS Request Filtering to prevent direct downloads from /storage.</w:t>
      </w:r>
    </w:p>
    <w:p>
      <w:pPr>
        <w:pStyle w:val="ListBullet"/>
      </w:pPr>
      <w:r>
        <w:rPr>
          <w:rFonts w:ascii="Calibri" w:hAnsi="Calibri"/>
          <w:color w:val="000000"/>
          <w:sz w:val="22"/>
        </w:rPr>
        <w:t>Use inherited permissions deliberately; do not add Deny entries unless their group-membership effects are fully understood.</w:t>
      </w:r>
    </w:p>
    <w:p>
      <w:pPr>
        <w:pStyle w:val="Heading2"/>
      </w:pPr>
      <w:r>
        <w:t>7.2 Safe ACL procedure</w:t>
      </w:r>
    </w:p>
    <w:p>
      <w:pPr>
        <w:pStyle w:val="ListNumber"/>
        <w:numPr>
          <w:ilvl w:val="0"/>
          <w:numId w:val="11"/>
        </w:numPr>
      </w:pPr>
      <w:r>
        <w:rPr>
          <w:rFonts w:ascii="Calibri" w:hAnsi="Calibri"/>
          <w:color w:val="000000"/>
          <w:sz w:val="22"/>
        </w:rPr>
        <w:t>Confirm that D:\Inetpub\Intranet1\SalesNew\SRF is the exact IIS physical path.</w:t>
      </w:r>
    </w:p>
    <w:p>
      <w:pPr>
        <w:pStyle w:val="ListNumber"/>
        <w:numPr>
          <w:ilvl w:val="0"/>
          <w:numId w:val="11"/>
        </w:numPr>
      </w:pPr>
      <w:r>
        <w:rPr>
          <w:rFonts w:ascii="Calibri" w:hAnsi="Calibri"/>
          <w:color w:val="000000"/>
          <w:sz w:val="22"/>
        </w:rPr>
        <w:t>Back up ACLs: icacls \"D:\Inetpub\Intranet1\SalesNew\SRF\" /save C:\Temp\srf-acl.txt /t /c</w:t>
      </w:r>
    </w:p>
    <w:p>
      <w:pPr>
        <w:pStyle w:val="ListNumber"/>
        <w:numPr>
          <w:ilvl w:val="0"/>
          <w:numId w:val="11"/>
        </w:numPr>
      </w:pPr>
      <w:r>
        <w:rPr>
          <w:rFonts w:ascii="Calibri" w:hAnsi="Calibri"/>
          <w:color w:val="000000"/>
          <w:sz w:val="22"/>
        </w:rPr>
        <w:t>Record the folder owner and deployment principal before removing inherited broad entries.</w:t>
      </w:r>
    </w:p>
    <w:p>
      <w:pPr>
        <w:pStyle w:val="ListNumber"/>
        <w:numPr>
          <w:ilvl w:val="0"/>
          <w:numId w:val="11"/>
        </w:numPr>
      </w:pPr>
      <w:r>
        <w:rPr>
          <w:rFonts w:ascii="Calibri" w:hAnsi="Calibri"/>
          <w:color w:val="000000"/>
          <w:sz w:val="22"/>
        </w:rPr>
        <w:t>Apply Read &amp; Execute to the application code for the app-pool and anonymous identities.</w:t>
      </w:r>
    </w:p>
    <w:p>
      <w:pPr>
        <w:pStyle w:val="ListNumber"/>
        <w:numPr>
          <w:ilvl w:val="0"/>
          <w:numId w:val="11"/>
        </w:numPr>
      </w:pPr>
      <w:r>
        <w:rPr>
          <w:rFonts w:ascii="Calibri" w:hAnsi="Calibri"/>
          <w:color w:val="000000"/>
          <w:sz w:val="22"/>
        </w:rPr>
        <w:t>Apply Modify only to storage for the runtime identity that actually performs writes.</w:t>
      </w:r>
    </w:p>
    <w:p>
      <w:pPr>
        <w:pStyle w:val="ListNumber"/>
        <w:numPr>
          <w:ilvl w:val="0"/>
          <w:numId w:val="11"/>
        </w:numPr>
      </w:pPr>
      <w:r>
        <w:rPr>
          <w:rFonts w:ascii="Calibri" w:hAnsi="Calibri"/>
          <w:color w:val="000000"/>
          <w:sz w:val="22"/>
        </w:rPr>
        <w:t>Test the form, item lookup, submission, attachment upload, PDF generation, and admin downloads.</w:t>
      </w:r>
    </w:p>
    <w:p>
      <w:pPr>
        <w:pStyle w:val="ListNumber"/>
        <w:numPr>
          <w:ilvl w:val="0"/>
          <w:numId w:val="11"/>
        </w:numPr>
      </w:pPr>
      <w:r>
        <w:rPr>
          <w:rFonts w:ascii="Calibri" w:hAnsi="Calibri"/>
          <w:color w:val="000000"/>
          <w:sz w:val="22"/>
        </w:rPr>
        <w:t>If necessary, restore the saved ACLs before attempting a revised permission set.</w:t>
      </w:r>
    </w:p>
    <w:tbl>
      <w:tblPr>
        <w:tblW w:type="dxa" w:w="9360"/>
        <w:jc w:val="left"/>
        <w:tblLayout w:type="fixed"/>
        <w:tblLook w:firstColumn="1" w:firstRow="1" w:lastColumn="0" w:lastRow="0" w:noHBand="0" w:noVBand="1" w:val="04A0"/>
        <w:tblInd w:w="120" w:type="dxa"/>
        <w:tblBorders>
          <w:top w:val="single" w:sz="0" w:space="0" w:color="FDECEC"/>
          <w:left w:val="single" w:sz="0" w:space="0" w:color="FDECEC"/>
          <w:bottom w:val="single" w:sz="0" w:space="0" w:color="FDECEC"/>
          <w:right w:val="single" w:sz="0" w:space="0" w:color="FDECEC"/>
          <w:insideH w:val="single" w:sz="0" w:space="0" w:color="FDECEC"/>
          <w:insideV w:val="single" w:sz="0" w:space="0" w:color="FDECEC"/>
        </w:tblBorders>
      </w:tblPr>
      <w:tblGrid>
        <w:gridCol w:w="9360"/>
      </w:tblGrid>
      <w:tr>
        <w:trPr>
          <w:cantSplit/>
        </w:trPr>
        <w:tc>
          <w:tcPr>
            <w:tcW w:type="dxa" w:w="9360"/>
            <w:tcMar>
              <w:top w:w="130" w:type="dxa"/>
              <w:start w:w="180" w:type="dxa"/>
              <w:bottom w:w="130" w:type="dxa"/>
              <w:end w:w="180" w:type="dxa"/>
            </w:tcMar>
            <w:shd w:fill="FDECEC"/>
          </w:tcPr>
          <w:p>
            <w:pPr>
              <w:spacing w:after="0"/>
            </w:pPr>
            <w:r>
              <w:rPr>
                <w:rFonts w:ascii="Calibri" w:hAnsi="Calibri"/>
                <w:b/>
                <w:color w:val="8A1C1C"/>
                <w:sz w:val="21"/>
              </w:rPr>
              <w:t xml:space="preserve">Current-state warning: </w:t>
            </w:r>
            <w:r>
              <w:rPr>
                <w:rFonts w:ascii="Calibri" w:hAnsi="Calibri"/>
                <w:color w:val="8A1C1C"/>
                <w:sz w:val="21"/>
              </w:rPr>
              <w:t>The SRF tree should be reviewed for broad inherited write permissions before anonymous access is enabled. Anonymous publication and broadly writable application code is a high-risk combination.</w:t>
            </w:r>
          </w:p>
        </w:tc>
      </w:tr>
    </w:tbl>
    <w:p>
      <w:pPr>
        <w:spacing w:after="40"/>
      </w:pPr>
    </w:p>
    <w:p>
      <w:pPr>
        <w:pStyle w:val="Heading1"/>
      </w:pPr>
      <w:r>
        <w:t>8. Additional hardening</w:t>
      </w:r>
    </w:p>
    <w:p>
      <w:pPr>
        <w:pStyle w:val="ListBullet"/>
      </w:pPr>
      <w:r>
        <w:rPr>
          <w:rFonts w:ascii="Calibri" w:hAnsi="Calibri"/>
          <w:color w:val="000000"/>
          <w:sz w:val="22"/>
        </w:rPr>
        <w:t>Keep SRF and its APIs HTTPS-only; retain the site's SSL requirement.</w:t>
      </w:r>
    </w:p>
    <w:p>
      <w:pPr>
        <w:pStyle w:val="ListBullet"/>
      </w:pPr>
      <w:r>
        <w:rPr>
          <w:rFonts w:ascii="Calibri" w:hAnsi="Calibri"/>
          <w:color w:val="000000"/>
          <w:sz w:val="22"/>
        </w:rPr>
        <w:t>Add server-side rate limiting to launch attempts and request submissions.</w:t>
      </w:r>
    </w:p>
    <w:p>
      <w:pPr>
        <w:pStyle w:val="ListBullet"/>
      </w:pPr>
      <w:r>
        <w:rPr>
          <w:rFonts w:ascii="Calibri" w:hAnsi="Calibri"/>
          <w:color w:val="000000"/>
          <w:sz w:val="22"/>
        </w:rPr>
        <w:t>Add CAPTCHA or another abuse control if the form will be reachable from the public internet.</w:t>
      </w:r>
    </w:p>
    <w:p>
      <w:pPr>
        <w:pStyle w:val="ListBullet"/>
      </w:pPr>
      <w:r>
        <w:rPr>
          <w:rFonts w:ascii="Calibri" w:hAnsi="Calibri"/>
          <w:color w:val="000000"/>
          <w:sz w:val="22"/>
        </w:rPr>
        <w:t>Validate upload extension, MIME type, content signature, and size; store uploads outside the web root.</w:t>
      </w:r>
    </w:p>
    <w:p>
      <w:pPr>
        <w:pStyle w:val="ListBullet"/>
      </w:pPr>
      <w:r>
        <w:rPr>
          <w:rFonts w:ascii="Calibri" w:hAnsi="Calibri"/>
          <w:color w:val="000000"/>
          <w:sz w:val="22"/>
        </w:rPr>
        <w:t>Use parameterized SQL queries and a least-privilege database account rather than a database administrator account.</w:t>
      </w:r>
    </w:p>
    <w:p>
      <w:pPr>
        <w:pStyle w:val="ListBullet"/>
      </w:pPr>
      <w:r>
        <w:rPr>
          <w:rFonts w:ascii="Calibri" w:hAnsi="Calibri"/>
          <w:color w:val="000000"/>
          <w:sz w:val="22"/>
        </w:rPr>
        <w:t>Store database, mail, admin, and token secrets in protected environment/server configuration, not PHP source files.</w:t>
      </w:r>
    </w:p>
    <w:p>
      <w:pPr>
        <w:pStyle w:val="ListBullet"/>
      </w:pPr>
      <w:r>
        <w:rPr>
          <w:rFonts w:ascii="Calibri" w:hAnsi="Calibri"/>
          <w:color w:val="000000"/>
          <w:sz w:val="22"/>
        </w:rPr>
        <w:t>Add CSRF protection to state-changing endpoints even though the SRF session cookie uses SameSite=Lax.</w:t>
      </w:r>
    </w:p>
    <w:p>
      <w:pPr>
        <w:pStyle w:val="ListBullet"/>
      </w:pPr>
      <w:r>
        <w:rPr>
          <w:rFonts w:ascii="Calibri" w:hAnsi="Calibri"/>
          <w:color w:val="000000"/>
          <w:sz w:val="22"/>
        </w:rPr>
        <w:t>Do not log full token query strings. Configure IIS/logging redaction where practical.</w:t>
      </w:r>
    </w:p>
    <w:p>
      <w:pPr>
        <w:pStyle w:val="ListBullet"/>
      </w:pPr>
      <w:r>
        <w:rPr>
          <w:rFonts w:ascii="Calibri" w:hAnsi="Calibri"/>
          <w:color w:val="000000"/>
          <w:sz w:val="22"/>
        </w:rPr>
        <w:t>Keep the PHP admin login protected by Windows authentication as defense in depth.</w:t>
      </w:r>
    </w:p>
    <w:p>
      <w:pPr>
        <w:pStyle w:val="Heading1"/>
      </w:pPr>
      <w:r>
        <w:t>9. Deployment sequence</w:t>
      </w:r>
    </w:p>
    <w:p>
      <w:pPr>
        <w:pStyle w:val="ListNumber"/>
        <w:numPr>
          <w:ilvl w:val="0"/>
          <w:numId w:val="12"/>
        </w:numPr>
      </w:pPr>
      <w:r>
        <w:rPr>
          <w:rFonts w:ascii="Calibri" w:hAnsi="Calibri"/>
          <w:color w:val="000000"/>
          <w:sz w:val="22"/>
        </w:rPr>
        <w:t>Generate and securely provision the same SRF_LAUNCH_SECRET to Rep Portal and the ChapinLink PHP runtime.</w:t>
      </w:r>
    </w:p>
    <w:p>
      <w:pPr>
        <w:pStyle w:val="ListNumber"/>
        <w:numPr>
          <w:ilvl w:val="0"/>
          <w:numId w:val="12"/>
        </w:numPr>
      </w:pPr>
      <w:r>
        <w:rPr>
          <w:rFonts w:ascii="Calibri" w:hAnsi="Calibri"/>
          <w:color w:val="000000"/>
          <w:sz w:val="22"/>
        </w:rPr>
        <w:t>Add the Rep Portal /srf-launch endpoint and change the home-page button to that internal route.</w:t>
      </w:r>
    </w:p>
    <w:p>
      <w:pPr>
        <w:pStyle w:val="ListNumber"/>
        <w:numPr>
          <w:ilvl w:val="0"/>
          <w:numId w:val="12"/>
        </w:numPr>
      </w:pPr>
      <w:r>
        <w:rPr>
          <w:rFonts w:ascii="Calibri" w:hAnsi="Calibri"/>
          <w:color w:val="000000"/>
          <w:sz w:val="22"/>
        </w:rPr>
        <w:t>Add launch.php, the SRF session guard, and replay protection on ChapinLink.</w:t>
      </w:r>
    </w:p>
    <w:p>
      <w:pPr>
        <w:pStyle w:val="ListNumber"/>
        <w:numPr>
          <w:ilvl w:val="0"/>
          <w:numId w:val="12"/>
        </w:numPr>
      </w:pPr>
      <w:r>
        <w:rPr>
          <w:rFonts w:ascii="Calibri" w:hAnsi="Calibri"/>
          <w:color w:val="000000"/>
          <w:sz w:val="22"/>
        </w:rPr>
        <w:t>Apply the session guard to index.php and every public SRF API endpoint.</w:t>
      </w:r>
    </w:p>
    <w:p>
      <w:pPr>
        <w:pStyle w:val="ListNumber"/>
        <w:numPr>
          <w:ilvl w:val="0"/>
          <w:numId w:val="12"/>
        </w:numPr>
      </w:pPr>
      <w:r>
        <w:rPr>
          <w:rFonts w:ascii="Calibri" w:hAnsi="Calibri"/>
          <w:color w:val="000000"/>
          <w:sz w:val="22"/>
        </w:rPr>
        <w:t>Back up IIS configuration and NTFS ACLs.</w:t>
      </w:r>
    </w:p>
    <w:p>
      <w:pPr>
        <w:pStyle w:val="ListNumber"/>
        <w:numPr>
          <w:ilvl w:val="0"/>
          <w:numId w:val="12"/>
        </w:numPr>
      </w:pPr>
      <w:r>
        <w:rPr>
          <w:rFonts w:ascii="Calibri" w:hAnsi="Calibri"/>
          <w:color w:val="000000"/>
          <w:sz w:val="22"/>
        </w:rPr>
        <w:t>Correct SRF NTFS permissions and protect storage/configuration paths.</w:t>
      </w:r>
    </w:p>
    <w:p>
      <w:pPr>
        <w:pStyle w:val="ListNumber"/>
        <w:numPr>
          <w:ilvl w:val="0"/>
          <w:numId w:val="12"/>
        </w:numPr>
      </w:pPr>
      <w:r>
        <w:rPr>
          <w:rFonts w:ascii="Calibri" w:hAnsi="Calibri"/>
          <w:color w:val="000000"/>
          <w:sz w:val="22"/>
        </w:rPr>
        <w:t>Apply the folder-scoped IIS authentication exception while retaining Windows authentication on /admin.</w:t>
      </w:r>
    </w:p>
    <w:p>
      <w:pPr>
        <w:pStyle w:val="ListNumber"/>
        <w:numPr>
          <w:ilvl w:val="0"/>
          <w:numId w:val="12"/>
        </w:numPr>
      </w:pPr>
      <w:r>
        <w:rPr>
          <w:rFonts w:ascii="Calibri" w:hAnsi="Calibri"/>
          <w:color w:val="000000"/>
          <w:sz w:val="22"/>
        </w:rPr>
        <w:t>Run the acceptance tests below from authenticated and unauthenticated browser contexts.</w:t>
      </w:r>
    </w:p>
    <w:p>
      <w:pPr>
        <w:pStyle w:val="ListNumber"/>
        <w:numPr>
          <w:ilvl w:val="0"/>
          <w:numId w:val="12"/>
        </w:numPr>
      </w:pPr>
      <w:r>
        <w:rPr>
          <w:rFonts w:ascii="Calibri" w:hAnsi="Calibri"/>
          <w:color w:val="000000"/>
          <w:sz w:val="22"/>
        </w:rPr>
        <w:t>Monitor IIS, PHP, submission, mail, and database logs after release without recording launch tokens.</w:t>
      </w:r>
    </w:p>
    <w:p>
      <w:pPr>
        <w:pStyle w:val="Heading1"/>
      </w:pPr>
      <w:r>
        <w:t>10. Acceptance tests</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900"/>
        <w:gridCol w:w="5460"/>
      </w:tblGrid>
      <w:tr>
        <w:trPr>
          <w:tblHeader w:val="true"/>
          <w:cantSplit/>
        </w:trPr>
        <w:tc>
          <w:tcPr>
            <w:tcW w:type="dxa" w:w="3900"/>
            <w:tcMar>
              <w:top w:w="80" w:type="dxa"/>
              <w:start w:w="120" w:type="dxa"/>
              <w:bottom w:w="80" w:type="dxa"/>
              <w:end w:w="120" w:type="dxa"/>
            </w:tcMar>
            <w:shd w:fill="E8EEF5"/>
            <w:vAlign w:val="center"/>
          </w:tcPr>
          <w:p>
            <w:pPr>
              <w:spacing w:after="0"/>
            </w:pPr>
            <w:r>
              <w:rPr>
                <w:rFonts w:ascii="Calibri" w:hAnsi="Calibri"/>
                <w:b/>
                <w:color w:val="17324D"/>
                <w:sz w:val="19"/>
              </w:rPr>
              <w:t>Test</w:t>
            </w:r>
          </w:p>
        </w:tc>
        <w:tc>
          <w:tcPr>
            <w:tcW w:type="dxa" w:w="5460"/>
            <w:tcMar>
              <w:top w:w="80" w:type="dxa"/>
              <w:start w:w="120" w:type="dxa"/>
              <w:bottom w:w="80" w:type="dxa"/>
              <w:end w:w="120" w:type="dxa"/>
            </w:tcMar>
            <w:shd w:fill="E8EEF5"/>
            <w:vAlign w:val="center"/>
          </w:tcPr>
          <w:p>
            <w:pPr>
              <w:spacing w:after="0"/>
            </w:pPr>
            <w:r>
              <w:rPr>
                <w:rFonts w:ascii="Calibri" w:hAnsi="Calibri"/>
                <w:b/>
                <w:color w:val="17324D"/>
                <w:sz w:val="19"/>
              </w:rPr>
              <w:t>Expected result</w:t>
            </w:r>
          </w:p>
        </w:tc>
      </w:tr>
      <w:tr>
        <w:trPr>
          <w:cantSplit/>
        </w:trPr>
        <w:tc>
          <w:tcPr>
            <w:tcW w:type="dxa" w:w="3900"/>
            <w:vAlign w:val="center"/>
            <w:tcMar>
              <w:top w:w="80" w:type="dxa"/>
              <w:start w:w="120" w:type="dxa"/>
              <w:bottom w:w="80" w:type="dxa"/>
              <w:end w:w="120" w:type="dxa"/>
            </w:tcMar>
          </w:tcPr>
          <w:p>
            <w:pPr>
              <w:spacing w:after="0"/>
            </w:pPr>
            <w:r>
              <w:rPr>
                <w:rFonts w:ascii="Calibri" w:hAnsi="Calibri"/>
                <w:color w:val="000000"/>
                <w:sz w:val="18"/>
              </w:rPr>
              <w:t>Open bare SRF index URL in a private browser</w:t>
            </w:r>
          </w:p>
        </w:tc>
        <w:tc>
          <w:tcPr>
            <w:tcW w:type="dxa" w:w="5460"/>
            <w:vAlign w:val="center"/>
            <w:tcMar>
              <w:top w:w="80" w:type="dxa"/>
              <w:start w:w="120" w:type="dxa"/>
              <w:bottom w:w="80" w:type="dxa"/>
              <w:end w:w="120" w:type="dxa"/>
            </w:tcMar>
          </w:tcPr>
          <w:p>
            <w:pPr>
              <w:spacing w:after="0"/>
            </w:pPr>
            <w:r>
              <w:rPr>
                <w:rFonts w:ascii="Calibri" w:hAnsi="Calibri"/>
                <w:color w:val="000000"/>
                <w:sz w:val="18"/>
              </w:rPr>
              <w:t>Denied or redirected to Rep Portal; no form displayed.</w:t>
            </w:r>
          </w:p>
        </w:tc>
      </w:tr>
      <w:tr>
        <w:trPr>
          <w:cantSplit/>
        </w:trPr>
        <w:tc>
          <w:tcPr>
            <w:tcW w:type="dxa" w:w="3900"/>
            <w:vAlign w:val="center"/>
            <w:tcMar>
              <w:top w:w="80" w:type="dxa"/>
              <w:start w:w="120" w:type="dxa"/>
              <w:bottom w:w="80" w:type="dxa"/>
              <w:end w:w="120" w:type="dxa"/>
            </w:tcMar>
          </w:tcPr>
          <w:p>
            <w:pPr>
              <w:spacing w:after="0"/>
            </w:pPr>
            <w:r>
              <w:rPr>
                <w:rFonts w:ascii="Calibri" w:hAnsi="Calibri"/>
                <w:color w:val="000000"/>
                <w:sz w:val="18"/>
              </w:rPr>
              <w:t>Click Rep Portal SRF button</w:t>
            </w:r>
          </w:p>
        </w:tc>
        <w:tc>
          <w:tcPr>
            <w:tcW w:type="dxa" w:w="5460"/>
            <w:vAlign w:val="center"/>
            <w:tcMar>
              <w:top w:w="80" w:type="dxa"/>
              <w:start w:w="120" w:type="dxa"/>
              <w:bottom w:w="80" w:type="dxa"/>
              <w:end w:w="120" w:type="dxa"/>
            </w:tcMar>
          </w:tcPr>
          <w:p>
            <w:pPr>
              <w:spacing w:after="0"/>
            </w:pPr>
            <w:r>
              <w:rPr>
                <w:rFonts w:ascii="Calibri" w:hAnsi="Calibri"/>
                <w:color w:val="000000"/>
                <w:sz w:val="18"/>
              </w:rPr>
              <w:t>No ChapinLink credential prompt; form opens after a clean redirect.</w:t>
            </w:r>
          </w:p>
        </w:tc>
      </w:tr>
      <w:tr>
        <w:trPr>
          <w:cantSplit/>
        </w:trPr>
        <w:tc>
          <w:tcPr>
            <w:tcW w:type="dxa" w:w="3900"/>
            <w:vAlign w:val="center"/>
            <w:tcMar>
              <w:top w:w="80" w:type="dxa"/>
              <w:start w:w="120" w:type="dxa"/>
              <w:bottom w:w="80" w:type="dxa"/>
              <w:end w:w="120" w:type="dxa"/>
            </w:tcMar>
          </w:tcPr>
          <w:p>
            <w:pPr>
              <w:spacing w:after="0"/>
            </w:pPr>
            <w:r>
              <w:rPr>
                <w:rFonts w:ascii="Calibri" w:hAnsi="Calibri"/>
                <w:color w:val="000000"/>
                <w:sz w:val="18"/>
              </w:rPr>
              <w:t>Reuse the redeemed token URL</w:t>
            </w:r>
          </w:p>
        </w:tc>
        <w:tc>
          <w:tcPr>
            <w:tcW w:type="dxa" w:w="5460"/>
            <w:vAlign w:val="center"/>
            <w:tcMar>
              <w:top w:w="80" w:type="dxa"/>
              <w:start w:w="120" w:type="dxa"/>
              <w:bottom w:w="80" w:type="dxa"/>
              <w:end w:w="120" w:type="dxa"/>
            </w:tcMar>
          </w:tcPr>
          <w:p>
            <w:pPr>
              <w:spacing w:after="0"/>
            </w:pPr>
            <w:r>
              <w:rPr>
                <w:rFonts w:ascii="Calibri" w:hAnsi="Calibri"/>
                <w:color w:val="000000"/>
                <w:sz w:val="18"/>
              </w:rPr>
              <w:t>Rejected when nonce replay protection is enabled.</w:t>
            </w:r>
          </w:p>
        </w:tc>
      </w:tr>
      <w:tr>
        <w:trPr>
          <w:cantSplit/>
        </w:trPr>
        <w:tc>
          <w:tcPr>
            <w:tcW w:type="dxa" w:w="3900"/>
            <w:vAlign w:val="center"/>
            <w:tcMar>
              <w:top w:w="80" w:type="dxa"/>
              <w:start w:w="120" w:type="dxa"/>
              <w:bottom w:w="80" w:type="dxa"/>
              <w:end w:w="120" w:type="dxa"/>
            </w:tcMar>
          </w:tcPr>
          <w:p>
            <w:pPr>
              <w:spacing w:after="0"/>
            </w:pPr>
            <w:r>
              <w:rPr>
                <w:rFonts w:ascii="Calibri" w:hAnsi="Calibri"/>
                <w:color w:val="000000"/>
                <w:sz w:val="18"/>
              </w:rPr>
              <w:t>Modify one token character</w:t>
            </w:r>
          </w:p>
        </w:tc>
        <w:tc>
          <w:tcPr>
            <w:tcW w:type="dxa" w:w="5460"/>
            <w:vAlign w:val="center"/>
            <w:tcMar>
              <w:top w:w="80" w:type="dxa"/>
              <w:start w:w="120" w:type="dxa"/>
              <w:bottom w:w="80" w:type="dxa"/>
              <w:end w:w="120" w:type="dxa"/>
            </w:tcMar>
          </w:tcPr>
          <w:p>
            <w:pPr>
              <w:spacing w:after="0"/>
            </w:pPr>
            <w:r>
              <w:rPr>
                <w:rFonts w:ascii="Calibri" w:hAnsi="Calibri"/>
                <w:color w:val="000000"/>
                <w:sz w:val="18"/>
              </w:rPr>
              <w:t>403 Invalid launch ticket.</w:t>
            </w:r>
          </w:p>
        </w:tc>
      </w:tr>
      <w:tr>
        <w:trPr>
          <w:cantSplit/>
        </w:trPr>
        <w:tc>
          <w:tcPr>
            <w:tcW w:type="dxa" w:w="3900"/>
            <w:vAlign w:val="center"/>
            <w:tcMar>
              <w:top w:w="80" w:type="dxa"/>
              <w:start w:w="120" w:type="dxa"/>
              <w:bottom w:w="80" w:type="dxa"/>
              <w:end w:w="120" w:type="dxa"/>
            </w:tcMar>
          </w:tcPr>
          <w:p>
            <w:pPr>
              <w:spacing w:after="0"/>
            </w:pPr>
            <w:r>
              <w:rPr>
                <w:rFonts w:ascii="Calibri" w:hAnsi="Calibri"/>
                <w:color w:val="000000"/>
                <w:sz w:val="18"/>
              </w:rPr>
              <w:t>Use an expired token</w:t>
            </w:r>
          </w:p>
        </w:tc>
        <w:tc>
          <w:tcPr>
            <w:tcW w:type="dxa" w:w="5460"/>
            <w:vAlign w:val="center"/>
            <w:tcMar>
              <w:top w:w="80" w:type="dxa"/>
              <w:start w:w="120" w:type="dxa"/>
              <w:bottom w:w="80" w:type="dxa"/>
              <w:end w:w="120" w:type="dxa"/>
            </w:tcMar>
          </w:tcPr>
          <w:p>
            <w:pPr>
              <w:spacing w:after="0"/>
            </w:pPr>
            <w:r>
              <w:rPr>
                <w:rFonts w:ascii="Calibri" w:hAnsi="Calibri"/>
                <w:color w:val="000000"/>
                <w:sz w:val="18"/>
              </w:rPr>
              <w:t>403 Expired launch ticket.</w:t>
            </w:r>
          </w:p>
        </w:tc>
      </w:tr>
      <w:tr>
        <w:trPr>
          <w:cantSplit/>
        </w:trPr>
        <w:tc>
          <w:tcPr>
            <w:tcW w:type="dxa" w:w="3900"/>
            <w:vAlign w:val="center"/>
            <w:tcMar>
              <w:top w:w="80" w:type="dxa"/>
              <w:start w:w="120" w:type="dxa"/>
              <w:bottom w:w="80" w:type="dxa"/>
              <w:end w:w="120" w:type="dxa"/>
            </w:tcMar>
          </w:tcPr>
          <w:p>
            <w:pPr>
              <w:spacing w:after="0"/>
            </w:pPr>
            <w:r>
              <w:rPr>
                <w:rFonts w:ascii="Calibri" w:hAnsi="Calibri"/>
                <w:color w:val="000000"/>
                <w:sz w:val="18"/>
              </w:rPr>
              <w:t>Wait beyond SRF session lifetime</w:t>
            </w:r>
          </w:p>
        </w:tc>
        <w:tc>
          <w:tcPr>
            <w:tcW w:type="dxa" w:w="5460"/>
            <w:vAlign w:val="center"/>
            <w:tcMar>
              <w:top w:w="80" w:type="dxa"/>
              <w:start w:w="120" w:type="dxa"/>
              <w:bottom w:w="80" w:type="dxa"/>
              <w:end w:w="120" w:type="dxa"/>
            </w:tcMar>
          </w:tcPr>
          <w:p>
            <w:pPr>
              <w:spacing w:after="0"/>
            </w:pPr>
            <w:r>
              <w:rPr>
                <w:rFonts w:ascii="Calibri" w:hAnsi="Calibri"/>
                <w:color w:val="000000"/>
                <w:sz w:val="18"/>
              </w:rPr>
              <w:t>Index/API deny access until launched again.</w:t>
            </w:r>
          </w:p>
        </w:tc>
      </w:tr>
      <w:tr>
        <w:trPr>
          <w:cantSplit/>
        </w:trPr>
        <w:tc>
          <w:tcPr>
            <w:tcW w:type="dxa" w:w="3900"/>
            <w:vAlign w:val="center"/>
            <w:tcMar>
              <w:top w:w="80" w:type="dxa"/>
              <w:start w:w="120" w:type="dxa"/>
              <w:bottom w:w="80" w:type="dxa"/>
              <w:end w:w="120" w:type="dxa"/>
            </w:tcMar>
          </w:tcPr>
          <w:p>
            <w:pPr>
              <w:spacing w:after="0"/>
            </w:pPr>
            <w:r>
              <w:rPr>
                <w:rFonts w:ascii="Calibri" w:hAnsi="Calibri"/>
                <w:color w:val="000000"/>
                <w:sz w:val="18"/>
              </w:rPr>
              <w:t>Submit a valid request</w:t>
            </w:r>
          </w:p>
        </w:tc>
        <w:tc>
          <w:tcPr>
            <w:tcW w:type="dxa" w:w="5460"/>
            <w:vAlign w:val="center"/>
            <w:tcMar>
              <w:top w:w="80" w:type="dxa"/>
              <w:start w:w="120" w:type="dxa"/>
              <w:bottom w:w="80" w:type="dxa"/>
              <w:end w:w="120" w:type="dxa"/>
            </w:tcMar>
          </w:tcPr>
          <w:p>
            <w:pPr>
              <w:spacing w:after="0"/>
            </w:pPr>
            <w:r>
              <w:rPr>
                <w:rFonts w:ascii="Calibri" w:hAnsi="Calibri"/>
                <w:color w:val="000000"/>
                <w:sz w:val="18"/>
              </w:rPr>
              <w:t>Database write, attachment handling, PDF, and email complete successfully.</w:t>
            </w:r>
          </w:p>
        </w:tc>
      </w:tr>
      <w:tr>
        <w:trPr>
          <w:cantSplit/>
        </w:trPr>
        <w:tc>
          <w:tcPr>
            <w:tcW w:type="dxa" w:w="3900"/>
            <w:vAlign w:val="center"/>
            <w:tcMar>
              <w:top w:w="80" w:type="dxa"/>
              <w:start w:w="120" w:type="dxa"/>
              <w:bottom w:w="80" w:type="dxa"/>
              <w:end w:w="120" w:type="dxa"/>
            </w:tcMar>
          </w:tcPr>
          <w:p>
            <w:pPr>
              <w:spacing w:after="0"/>
            </w:pPr>
            <w:r>
              <w:rPr>
                <w:rFonts w:ascii="Calibri" w:hAnsi="Calibri"/>
                <w:color w:val="000000"/>
                <w:sz w:val="18"/>
              </w:rPr>
              <w:t>Browse directly to /storage</w:t>
            </w:r>
          </w:p>
        </w:tc>
        <w:tc>
          <w:tcPr>
            <w:tcW w:type="dxa" w:w="5460"/>
            <w:vAlign w:val="center"/>
            <w:tcMar>
              <w:top w:w="80" w:type="dxa"/>
              <w:start w:w="120" w:type="dxa"/>
              <w:bottom w:w="80" w:type="dxa"/>
              <w:end w:w="120" w:type="dxa"/>
            </w:tcMar>
          </w:tcPr>
          <w:p>
            <w:pPr>
              <w:spacing w:after="0"/>
            </w:pPr>
            <w:r>
              <w:rPr>
                <w:rFonts w:ascii="Calibri" w:hAnsi="Calibri"/>
                <w:color w:val="000000"/>
                <w:sz w:val="18"/>
              </w:rPr>
              <w:t>Denied; files are not served as static content.</w:t>
            </w:r>
          </w:p>
        </w:tc>
      </w:tr>
      <w:tr>
        <w:trPr>
          <w:cantSplit/>
        </w:trPr>
        <w:tc>
          <w:tcPr>
            <w:tcW w:type="dxa" w:w="3900"/>
            <w:vAlign w:val="center"/>
            <w:tcMar>
              <w:top w:w="80" w:type="dxa"/>
              <w:start w:w="120" w:type="dxa"/>
              <w:bottom w:w="80" w:type="dxa"/>
              <w:end w:w="120" w:type="dxa"/>
            </w:tcMar>
          </w:tcPr>
          <w:p>
            <w:pPr>
              <w:spacing w:after="0"/>
            </w:pPr>
            <w:r>
              <w:rPr>
                <w:rFonts w:ascii="Calibri" w:hAnsi="Calibri"/>
                <w:color w:val="000000"/>
                <w:sz w:val="18"/>
              </w:rPr>
              <w:t>Browse to /admin without Windows credentials</w:t>
            </w:r>
          </w:p>
        </w:tc>
        <w:tc>
          <w:tcPr>
            <w:tcW w:type="dxa" w:w="5460"/>
            <w:vAlign w:val="center"/>
            <w:tcMar>
              <w:top w:w="80" w:type="dxa"/>
              <w:start w:w="120" w:type="dxa"/>
              <w:bottom w:w="80" w:type="dxa"/>
              <w:end w:w="120" w:type="dxa"/>
            </w:tcMar>
          </w:tcPr>
          <w:p>
            <w:pPr>
              <w:spacing w:after="0"/>
            </w:pPr>
            <w:r>
              <w:rPr>
                <w:rFonts w:ascii="Calibri" w:hAnsi="Calibri"/>
                <w:color w:val="000000"/>
                <w:sz w:val="18"/>
              </w:rPr>
              <w:t>401 Windows authentication challenge.</w:t>
            </w:r>
          </w:p>
        </w:tc>
      </w:tr>
      <w:tr>
        <w:trPr>
          <w:cantSplit/>
        </w:trPr>
        <w:tc>
          <w:tcPr>
            <w:tcW w:type="dxa" w:w="3900"/>
            <w:vAlign w:val="center"/>
            <w:tcMar>
              <w:top w:w="80" w:type="dxa"/>
              <w:start w:w="120" w:type="dxa"/>
              <w:bottom w:w="80" w:type="dxa"/>
              <w:end w:w="120" w:type="dxa"/>
            </w:tcMar>
          </w:tcPr>
          <w:p>
            <w:pPr>
              <w:spacing w:after="0"/>
            </w:pPr>
            <w:r>
              <w:rPr>
                <w:rFonts w:ascii="Calibri" w:hAnsi="Calibri"/>
                <w:color w:val="000000"/>
                <w:sz w:val="18"/>
              </w:rPr>
              <w:t>Admin signs in through approved path</w:t>
            </w:r>
          </w:p>
        </w:tc>
        <w:tc>
          <w:tcPr>
            <w:tcW w:type="dxa" w:w="5460"/>
            <w:vAlign w:val="center"/>
            <w:tcMar>
              <w:top w:w="80" w:type="dxa"/>
              <w:start w:w="120" w:type="dxa"/>
              <w:bottom w:w="80" w:type="dxa"/>
              <w:end w:w="120" w:type="dxa"/>
            </w:tcMar>
          </w:tcPr>
          <w:p>
            <w:pPr>
              <w:spacing w:after="0"/>
            </w:pPr>
            <w:r>
              <w:rPr>
                <w:rFonts w:ascii="Calibri" w:hAnsi="Calibri"/>
                <w:color w:val="000000"/>
                <w:sz w:val="18"/>
              </w:rPr>
              <w:t>Existing administrative workflow remains functional.</w:t>
            </w:r>
          </w:p>
        </w:tc>
      </w:tr>
      <w:tr>
        <w:trPr>
          <w:cantSplit/>
        </w:trPr>
        <w:tc>
          <w:tcPr>
            <w:tcW w:type="dxa" w:w="3900"/>
            <w:vAlign w:val="center"/>
            <w:tcMar>
              <w:top w:w="80" w:type="dxa"/>
              <w:start w:w="120" w:type="dxa"/>
              <w:bottom w:w="80" w:type="dxa"/>
              <w:end w:w="120" w:type="dxa"/>
            </w:tcMar>
          </w:tcPr>
          <w:p>
            <w:pPr>
              <w:spacing w:after="0"/>
            </w:pPr>
            <w:r>
              <w:rPr>
                <w:rFonts w:ascii="Calibri" w:hAnsi="Calibri"/>
                <w:color w:val="000000"/>
                <w:sz w:val="18"/>
              </w:rPr>
              <w:t>Check SRF code ACLs</w:t>
            </w:r>
          </w:p>
        </w:tc>
        <w:tc>
          <w:tcPr>
            <w:tcW w:type="dxa" w:w="5460"/>
            <w:vAlign w:val="center"/>
            <w:tcMar>
              <w:top w:w="80" w:type="dxa"/>
              <w:start w:w="120" w:type="dxa"/>
              <w:bottom w:w="80" w:type="dxa"/>
              <w:end w:w="120" w:type="dxa"/>
            </w:tcMar>
          </w:tcPr>
          <w:p>
            <w:pPr>
              <w:spacing w:after="0"/>
            </w:pPr>
            <w:r>
              <w:rPr>
                <w:rFonts w:ascii="Calibri" w:hAnsi="Calibri"/>
                <w:color w:val="000000"/>
                <w:sz w:val="18"/>
              </w:rPr>
              <w:t>IUSR cannot create, alter, rename, or delete application code.</w:t>
            </w:r>
          </w:p>
        </w:tc>
      </w:tr>
    </w:tbl>
    <w:p>
      <w:pPr>
        <w:spacing w:after="20"/>
      </w:pPr>
    </w:p>
    <w:p>
      <w:pPr>
        <w:pStyle w:val="Heading1"/>
      </w:pPr>
      <w:r>
        <w:t>11. Rollback</w:t>
      </w:r>
    </w:p>
    <w:p>
      <w:pPr>
        <w:pStyle w:val="ListBullet"/>
      </w:pPr>
      <w:r>
        <w:rPr>
          <w:rFonts w:ascii="Calibri" w:hAnsi="Calibri"/>
          <w:color w:val="000000"/>
          <w:sz w:val="22"/>
        </w:rPr>
        <w:t>Restore the AppCmd IIS backup created before the authentication change.</w:t>
      </w:r>
    </w:p>
    <w:p>
      <w:pPr>
        <w:pStyle w:val="ListBullet"/>
      </w:pPr>
      <w:r>
        <w:rPr>
          <w:rFonts w:ascii="Calibri" w:hAnsi="Calibri"/>
          <w:color w:val="000000"/>
          <w:sz w:val="22"/>
        </w:rPr>
        <w:t>Restore the saved NTFS ACL file if permission changes prevent normal operation.</w:t>
      </w:r>
    </w:p>
    <w:p>
      <w:pPr>
        <w:pStyle w:val="ListBullet"/>
      </w:pPr>
      <w:r>
        <w:rPr>
          <w:rFonts w:ascii="Calibri" w:hAnsi="Calibri"/>
          <w:color w:val="000000"/>
          <w:sz w:val="22"/>
        </w:rPr>
        <w:t>Revert the Rep Portal home-page link to the direct SRF address only if Windows authentication is also restored.</w:t>
      </w:r>
    </w:p>
    <w:p>
      <w:pPr>
        <w:pStyle w:val="ListBullet"/>
      </w:pPr>
      <w:r>
        <w:rPr>
          <w:rFonts w:ascii="Calibri" w:hAnsi="Calibri"/>
          <w:color w:val="000000"/>
          <w:sz w:val="22"/>
        </w:rPr>
        <w:t>Remove or disable launch.php after restoring Windows authentication; do not leave a partially active token flow.</w:t>
      </w:r>
    </w:p>
    <w:p>
      <w:pPr>
        <w:pStyle w:val="ListBullet"/>
      </w:pPr>
      <w:r>
        <w:rPr>
          <w:rFonts w:ascii="Calibri" w:hAnsi="Calibri"/>
          <w:color w:val="000000"/>
          <w:sz w:val="22"/>
        </w:rPr>
        <w:t>Invalidate the shared launch secret if it may have been disclosed during troubleshooting.</w:t>
      </w:r>
    </w:p>
    <w:p>
      <w:pPr>
        <w:pStyle w:val="Heading1"/>
      </w:pPr>
      <w:r>
        <w:t>12. Developer completion checklist</w:t>
      </w:r>
    </w:p>
    <w:p>
      <w:pPr>
        <w:pStyle w:val="ListBullet"/>
      </w:pPr>
      <w:r>
        <w:rPr>
          <w:rFonts w:ascii="Calibri" w:hAnsi="Calibri"/>
          <w:color w:val="000000"/>
          <w:sz w:val="22"/>
        </w:rPr>
        <w:t>[ ] No permanent token or shared secret appears in client-side HTML, JavaScript, source control, or documentation.</w:t>
      </w:r>
    </w:p>
    <w:p>
      <w:pPr>
        <w:pStyle w:val="ListBullet"/>
      </w:pPr>
      <w:r>
        <w:rPr>
          <w:rFonts w:ascii="Calibri" w:hAnsi="Calibri"/>
          <w:color w:val="000000"/>
          <w:sz w:val="22"/>
        </w:rPr>
        <w:t>[ ] Token TTL is 60-120 seconds and future timestamps are bounded.</w:t>
      </w:r>
    </w:p>
    <w:p>
      <w:pPr>
        <w:pStyle w:val="ListBullet"/>
      </w:pPr>
      <w:r>
        <w:rPr>
          <w:rFonts w:ascii="Calibri" w:hAnsi="Calibri"/>
          <w:color w:val="000000"/>
          <w:sz w:val="22"/>
        </w:rPr>
        <w:t>[ ] Signature comparison is constant-time.</w:t>
      </w:r>
    </w:p>
    <w:p>
      <w:pPr>
        <w:pStyle w:val="ListBullet"/>
      </w:pPr>
      <w:r>
        <w:rPr>
          <w:rFonts w:ascii="Calibri" w:hAnsi="Calibri"/>
          <w:color w:val="000000"/>
          <w:sz w:val="22"/>
        </w:rPr>
        <w:t>[ ] Token is exchanged for an HttpOnly, Secure, SameSite=Lax SRF session.</w:t>
      </w:r>
    </w:p>
    <w:p>
      <w:pPr>
        <w:pStyle w:val="ListBullet"/>
      </w:pPr>
      <w:r>
        <w:rPr>
          <w:rFonts w:ascii="Calibri" w:hAnsi="Calibri"/>
          <w:color w:val="000000"/>
          <w:sz w:val="22"/>
        </w:rPr>
        <w:t>[ ] index.php and all public APIs require the SRF session.</w:t>
      </w:r>
    </w:p>
    <w:p>
      <w:pPr>
        <w:pStyle w:val="ListBullet"/>
      </w:pPr>
      <w:r>
        <w:rPr>
          <w:rFonts w:ascii="Calibri" w:hAnsi="Calibri"/>
          <w:color w:val="000000"/>
          <w:sz w:val="22"/>
        </w:rPr>
        <w:t>[ ] Replay protection uses an atomic unique nonce store.</w:t>
      </w:r>
    </w:p>
    <w:p>
      <w:pPr>
        <w:pStyle w:val="ListBullet"/>
      </w:pPr>
      <w:r>
        <w:rPr>
          <w:rFonts w:ascii="Calibri" w:hAnsi="Calibri"/>
          <w:color w:val="000000"/>
          <w:sz w:val="22"/>
        </w:rPr>
        <w:t>[ ] Anonymous IIS access is limited to SRF; /admin still uses Windows authentication.</w:t>
      </w:r>
    </w:p>
    <w:p>
      <w:pPr>
        <w:pStyle w:val="ListBullet"/>
      </w:pPr>
      <w:r>
        <w:rPr>
          <w:rFonts w:ascii="Calibri" w:hAnsi="Calibri"/>
          <w:color w:val="000000"/>
          <w:sz w:val="22"/>
        </w:rPr>
        <w:t>[ ] Application code is read-only to IUSR; only storage is writable where required.</w:t>
      </w:r>
    </w:p>
    <w:p>
      <w:pPr>
        <w:pStyle w:val="ListBullet"/>
      </w:pPr>
      <w:r>
        <w:rPr>
          <w:rFonts w:ascii="Calibri" w:hAnsi="Calibri"/>
          <w:color w:val="000000"/>
          <w:sz w:val="22"/>
        </w:rPr>
        <w:t>[ ] Storage and configuration files cannot be downloaded directly.</w:t>
      </w:r>
    </w:p>
    <w:p>
      <w:pPr>
        <w:pStyle w:val="ListBullet"/>
      </w:pPr>
      <w:r>
        <w:rPr>
          <w:rFonts w:ascii="Calibri" w:hAnsi="Calibri"/>
          <w:color w:val="000000"/>
          <w:sz w:val="22"/>
        </w:rPr>
        <w:t>[ ] Bare URL, tampering, expiration, replay, submission, upload, PDF, email, and admin tests pass.</w:t>
      </w:r>
    </w:p>
    <w:p>
      <w:pPr>
        <w:pStyle w:val="Heading1"/>
      </w:pPr>
      <w:r>
        <w:t>13. Implementation decisions to confirm</w:t>
      </w:r>
    </w:p>
    <w:p>
      <w:r>
        <w:rPr>
          <w:rFonts w:ascii="Calibri" w:hAnsi="Calibri"/>
          <w:color w:val="000000"/>
          <w:sz w:val="22"/>
        </w:rPr>
        <w:t>The ChapinLink and Rep Portal developers should record these values before development is considered complete.</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00"/>
        <w:gridCol w:w="6260"/>
      </w:tblGrid>
      <w:tr>
        <w:trPr>
          <w:tblHeader w:val="true"/>
          <w:cantSplit/>
        </w:trPr>
        <w:tc>
          <w:tcPr>
            <w:tcW w:type="dxa" w:w="3100"/>
            <w:tcMar>
              <w:top w:w="80" w:type="dxa"/>
              <w:start w:w="120" w:type="dxa"/>
              <w:bottom w:w="80" w:type="dxa"/>
              <w:end w:w="120" w:type="dxa"/>
            </w:tcMar>
            <w:shd w:fill="E8EEF5"/>
            <w:vAlign w:val="center"/>
          </w:tcPr>
          <w:p>
            <w:pPr>
              <w:spacing w:after="0"/>
            </w:pPr>
            <w:r>
              <w:rPr>
                <w:rFonts w:ascii="Calibri" w:hAnsi="Calibri"/>
                <w:b/>
                <w:color w:val="17324D"/>
                <w:sz w:val="19"/>
              </w:rPr>
              <w:t>Decision</w:t>
            </w:r>
          </w:p>
        </w:tc>
        <w:tc>
          <w:tcPr>
            <w:tcW w:type="dxa" w:w="6260"/>
            <w:tcMar>
              <w:top w:w="80" w:type="dxa"/>
              <w:start w:w="120" w:type="dxa"/>
              <w:bottom w:w="80" w:type="dxa"/>
              <w:end w:w="120" w:type="dxa"/>
            </w:tcMar>
            <w:shd w:fill="E8EEF5"/>
            <w:vAlign w:val="center"/>
          </w:tcPr>
          <w:p>
            <w:pPr>
              <w:spacing w:after="0"/>
            </w:pPr>
            <w:r>
              <w:rPr>
                <w:rFonts w:ascii="Calibri" w:hAnsi="Calibri"/>
                <w:b/>
                <w:color w:val="17324D"/>
                <w:sz w:val="19"/>
              </w:rPr>
              <w:t>Recommended starting point</w:t>
            </w:r>
          </w:p>
        </w:tc>
      </w:tr>
      <w:tr>
        <w:trPr>
          <w:cantSplit/>
        </w:trPr>
        <w:tc>
          <w:tcPr>
            <w:tcW w:type="dxa" w:w="3100"/>
            <w:vAlign w:val="center"/>
            <w:tcMar>
              <w:top w:w="80" w:type="dxa"/>
              <w:start w:w="120" w:type="dxa"/>
              <w:bottom w:w="80" w:type="dxa"/>
              <w:end w:w="120" w:type="dxa"/>
            </w:tcMar>
          </w:tcPr>
          <w:p>
            <w:pPr>
              <w:spacing w:after="0"/>
            </w:pPr>
            <w:r>
              <w:rPr>
                <w:rFonts w:ascii="Calibri" w:hAnsi="Calibri"/>
                <w:color w:val="000000"/>
                <w:sz w:val="18"/>
              </w:rPr>
              <w:t>Ticket issuer access</w:t>
            </w:r>
          </w:p>
        </w:tc>
        <w:tc>
          <w:tcPr>
            <w:tcW w:type="dxa" w:w="6260"/>
            <w:vAlign w:val="center"/>
            <w:tcMar>
              <w:top w:w="80" w:type="dxa"/>
              <w:start w:w="120" w:type="dxa"/>
              <w:bottom w:w="80" w:type="dxa"/>
              <w:end w:w="120" w:type="dxa"/>
            </w:tcMar>
          </w:tcPr>
          <w:p>
            <w:pPr>
              <w:spacing w:after="0"/>
            </w:pPr>
            <w:r>
              <w:rPr>
                <w:rFonts w:ascii="Calibri" w:hAnsi="Calibri"/>
                <w:color w:val="000000"/>
                <w:sz w:val="18"/>
              </w:rPr>
              <w:t>Public Rep Portal route for link-sharing deterrence; require login for identity-based control.</w:t>
            </w:r>
          </w:p>
        </w:tc>
      </w:tr>
      <w:tr>
        <w:trPr>
          <w:cantSplit/>
        </w:trPr>
        <w:tc>
          <w:tcPr>
            <w:tcW w:type="dxa" w:w="3100"/>
            <w:vAlign w:val="center"/>
            <w:tcMar>
              <w:top w:w="80" w:type="dxa"/>
              <w:start w:w="120" w:type="dxa"/>
              <w:bottom w:w="80" w:type="dxa"/>
              <w:end w:w="120" w:type="dxa"/>
            </w:tcMar>
          </w:tcPr>
          <w:p>
            <w:pPr>
              <w:spacing w:after="0"/>
            </w:pPr>
            <w:r>
              <w:rPr>
                <w:rFonts w:ascii="Calibri" w:hAnsi="Calibri"/>
                <w:color w:val="000000"/>
                <w:sz w:val="18"/>
              </w:rPr>
              <w:t>Token lifetime</w:t>
            </w:r>
          </w:p>
        </w:tc>
        <w:tc>
          <w:tcPr>
            <w:tcW w:type="dxa" w:w="6260"/>
            <w:vAlign w:val="center"/>
            <w:tcMar>
              <w:top w:w="80" w:type="dxa"/>
              <w:start w:w="120" w:type="dxa"/>
              <w:bottom w:w="80" w:type="dxa"/>
              <w:end w:w="120" w:type="dxa"/>
            </w:tcMar>
          </w:tcPr>
          <w:p>
            <w:pPr>
              <w:spacing w:after="0"/>
            </w:pPr>
            <w:r>
              <w:rPr>
                <w:rFonts w:ascii="Calibri" w:hAnsi="Calibri"/>
                <w:color w:val="000000"/>
                <w:sz w:val="18"/>
              </w:rPr>
              <w:t>60 seconds, with a maximum accepted future timestamp of 120 seconds for limited clock skew.</w:t>
            </w:r>
          </w:p>
        </w:tc>
      </w:tr>
      <w:tr>
        <w:trPr>
          <w:cantSplit/>
        </w:trPr>
        <w:tc>
          <w:tcPr>
            <w:tcW w:type="dxa" w:w="3100"/>
            <w:vAlign w:val="center"/>
            <w:tcMar>
              <w:top w:w="80" w:type="dxa"/>
              <w:start w:w="120" w:type="dxa"/>
              <w:bottom w:w="80" w:type="dxa"/>
              <w:end w:w="120" w:type="dxa"/>
            </w:tcMar>
          </w:tcPr>
          <w:p>
            <w:pPr>
              <w:spacing w:after="0"/>
            </w:pPr>
            <w:r>
              <w:rPr>
                <w:rFonts w:ascii="Calibri" w:hAnsi="Calibri"/>
                <w:color w:val="000000"/>
                <w:sz w:val="18"/>
              </w:rPr>
              <w:t>Replay store</w:t>
            </w:r>
          </w:p>
        </w:tc>
        <w:tc>
          <w:tcPr>
            <w:tcW w:type="dxa" w:w="6260"/>
            <w:vAlign w:val="center"/>
            <w:tcMar>
              <w:top w:w="80" w:type="dxa"/>
              <w:start w:w="120" w:type="dxa"/>
              <w:bottom w:w="80" w:type="dxa"/>
              <w:end w:w="120" w:type="dxa"/>
            </w:tcMar>
          </w:tcPr>
          <w:p>
            <w:pPr>
              <w:spacing w:after="0"/>
            </w:pPr>
            <w:r>
              <w:rPr>
                <w:rFonts w:ascii="Calibri" w:hAnsi="Calibri"/>
                <w:color w:val="000000"/>
                <w:sz w:val="18"/>
              </w:rPr>
              <w:t>Database table keyed by nonce hash with a unique index and expiration cleanup.</w:t>
            </w:r>
          </w:p>
        </w:tc>
      </w:tr>
      <w:tr>
        <w:trPr>
          <w:cantSplit/>
        </w:trPr>
        <w:tc>
          <w:tcPr>
            <w:tcW w:type="dxa" w:w="3100"/>
            <w:vAlign w:val="center"/>
            <w:tcMar>
              <w:top w:w="80" w:type="dxa"/>
              <w:start w:w="120" w:type="dxa"/>
              <w:bottom w:w="80" w:type="dxa"/>
              <w:end w:w="120" w:type="dxa"/>
            </w:tcMar>
          </w:tcPr>
          <w:p>
            <w:pPr>
              <w:spacing w:after="0"/>
            </w:pPr>
            <w:r>
              <w:rPr>
                <w:rFonts w:ascii="Calibri" w:hAnsi="Calibri"/>
                <w:color w:val="000000"/>
                <w:sz w:val="18"/>
              </w:rPr>
              <w:t>SRF session lifetime</w:t>
            </w:r>
          </w:p>
        </w:tc>
        <w:tc>
          <w:tcPr>
            <w:tcW w:type="dxa" w:w="6260"/>
            <w:vAlign w:val="center"/>
            <w:tcMar>
              <w:top w:w="80" w:type="dxa"/>
              <w:start w:w="120" w:type="dxa"/>
              <w:bottom w:w="80" w:type="dxa"/>
              <w:end w:w="120" w:type="dxa"/>
            </w:tcMar>
          </w:tcPr>
          <w:p>
            <w:pPr>
              <w:spacing w:after="0"/>
            </w:pPr>
            <w:r>
              <w:rPr>
                <w:rFonts w:ascii="Calibri" w:hAnsi="Calibri"/>
                <w:color w:val="000000"/>
                <w:sz w:val="18"/>
              </w:rPr>
              <w:t>60 minutes or the shortest duration acceptable for completing a sample request.</w:t>
            </w:r>
          </w:p>
        </w:tc>
      </w:tr>
      <w:tr>
        <w:trPr>
          <w:cantSplit/>
        </w:trPr>
        <w:tc>
          <w:tcPr>
            <w:tcW w:type="dxa" w:w="3100"/>
            <w:vAlign w:val="center"/>
            <w:tcMar>
              <w:top w:w="80" w:type="dxa"/>
              <w:start w:w="120" w:type="dxa"/>
              <w:bottom w:w="80" w:type="dxa"/>
              <w:end w:w="120" w:type="dxa"/>
            </w:tcMar>
          </w:tcPr>
          <w:p>
            <w:pPr>
              <w:spacing w:after="0"/>
            </w:pPr>
            <w:r>
              <w:rPr>
                <w:rFonts w:ascii="Calibri" w:hAnsi="Calibri"/>
                <w:color w:val="000000"/>
                <w:sz w:val="18"/>
              </w:rPr>
              <w:t>Secret ownership</w:t>
            </w:r>
          </w:p>
        </w:tc>
        <w:tc>
          <w:tcPr>
            <w:tcW w:type="dxa" w:w="6260"/>
            <w:vAlign w:val="center"/>
            <w:tcMar>
              <w:top w:w="80" w:type="dxa"/>
              <w:start w:w="120" w:type="dxa"/>
              <w:bottom w:w="80" w:type="dxa"/>
              <w:end w:w="120" w:type="dxa"/>
            </w:tcMar>
          </w:tcPr>
          <w:p>
            <w:pPr>
              <w:spacing w:after="0"/>
            </w:pPr>
            <w:r>
              <w:rPr>
                <w:rFonts w:ascii="Calibri" w:hAnsi="Calibri"/>
                <w:color w:val="000000"/>
                <w:sz w:val="18"/>
              </w:rPr>
              <w:t>Named system owner; protected configuration; documented rotation and emergency revocation process.</w:t>
            </w:r>
          </w:p>
        </w:tc>
      </w:tr>
      <w:tr>
        <w:trPr>
          <w:cantSplit/>
        </w:trPr>
        <w:tc>
          <w:tcPr>
            <w:tcW w:type="dxa" w:w="3100"/>
            <w:vAlign w:val="center"/>
            <w:tcMar>
              <w:top w:w="80" w:type="dxa"/>
              <w:start w:w="120" w:type="dxa"/>
              <w:bottom w:w="80" w:type="dxa"/>
              <w:end w:w="120" w:type="dxa"/>
            </w:tcMar>
          </w:tcPr>
          <w:p>
            <w:pPr>
              <w:spacing w:after="0"/>
            </w:pPr>
            <w:r>
              <w:rPr>
                <w:rFonts w:ascii="Calibri" w:hAnsi="Calibri"/>
                <w:color w:val="000000"/>
                <w:sz w:val="18"/>
              </w:rPr>
              <w:t>Runtime storage</w:t>
            </w:r>
          </w:p>
        </w:tc>
        <w:tc>
          <w:tcPr>
            <w:tcW w:type="dxa" w:w="6260"/>
            <w:vAlign w:val="center"/>
            <w:tcMar>
              <w:top w:w="80" w:type="dxa"/>
              <w:start w:w="120" w:type="dxa"/>
              <w:bottom w:w="80" w:type="dxa"/>
              <w:end w:w="120" w:type="dxa"/>
            </w:tcMar>
          </w:tcPr>
          <w:p>
            <w:pPr>
              <w:spacing w:after="0"/>
            </w:pPr>
            <w:r>
              <w:rPr>
                <w:rFonts w:ascii="Calibri" w:hAnsi="Calibri"/>
                <w:color w:val="000000"/>
                <w:sz w:val="18"/>
              </w:rPr>
              <w:t>Outside the web root where possible; otherwise explicitly blocked from static HTTP access.</w:t>
            </w:r>
          </w:p>
        </w:tc>
      </w:tr>
      <w:tr>
        <w:trPr>
          <w:cantSplit/>
        </w:trPr>
        <w:tc>
          <w:tcPr>
            <w:tcW w:type="dxa" w:w="3100"/>
            <w:vAlign w:val="center"/>
            <w:tcMar>
              <w:top w:w="80" w:type="dxa"/>
              <w:start w:w="120" w:type="dxa"/>
              <w:bottom w:w="80" w:type="dxa"/>
              <w:end w:w="120" w:type="dxa"/>
            </w:tcMar>
          </w:tcPr>
          <w:p>
            <w:pPr>
              <w:spacing w:after="0"/>
            </w:pPr>
            <w:r>
              <w:rPr>
                <w:rFonts w:ascii="Calibri" w:hAnsi="Calibri"/>
                <w:color w:val="000000"/>
                <w:sz w:val="18"/>
              </w:rPr>
              <w:t>Deployment principal</w:t>
            </w:r>
          </w:p>
        </w:tc>
        <w:tc>
          <w:tcPr>
            <w:tcW w:type="dxa" w:w="6260"/>
            <w:vAlign w:val="center"/>
            <w:tcMar>
              <w:top w:w="80" w:type="dxa"/>
              <w:start w:w="120" w:type="dxa"/>
              <w:bottom w:w="80" w:type="dxa"/>
              <w:end w:w="120" w:type="dxa"/>
            </w:tcMar>
          </w:tcPr>
          <w:p>
            <w:pPr>
              <w:spacing w:after="0"/>
            </w:pPr>
            <w:r>
              <w:rPr>
                <w:rFonts w:ascii="Calibri" w:hAnsi="Calibri"/>
                <w:color w:val="000000"/>
                <w:sz w:val="18"/>
              </w:rPr>
              <w:t>Named group with Modify rights; no broad Everyone/Users write access.</w:t>
            </w:r>
          </w:p>
        </w:tc>
      </w:tr>
    </w:tbl>
    <w:p>
      <w:pPr>
        <w:spacing w:after="20"/>
      </w:pPr>
    </w:p>
    <w:tbl>
      <w:tblPr>
        <w:tblW w:type="dxa" w:w="9360"/>
        <w:jc w:val="left"/>
        <w:tblLayout w:type="fixed"/>
        <w:tblLook w:firstColumn="1" w:firstRow="1" w:lastColumn="0" w:lastRow="0" w:noHBand="0" w:noVBand="1" w:val="04A0"/>
        <w:tblInd w:w="120" w:type="dxa"/>
        <w:tblBorders>
          <w:top w:val="single" w:sz="0" w:space="0" w:color="E8F3EC"/>
          <w:left w:val="single" w:sz="0" w:space="0" w:color="E8F3EC"/>
          <w:bottom w:val="single" w:sz="0" w:space="0" w:color="E8F3EC"/>
          <w:right w:val="single" w:sz="0" w:space="0" w:color="E8F3EC"/>
          <w:insideH w:val="single" w:sz="0" w:space="0" w:color="E8F3EC"/>
          <w:insideV w:val="single" w:sz="0" w:space="0" w:color="E8F3EC"/>
        </w:tblBorders>
      </w:tblPr>
      <w:tblGrid>
        <w:gridCol w:w="9360"/>
      </w:tblGrid>
      <w:tr>
        <w:trPr>
          <w:cantSplit/>
        </w:trPr>
        <w:tc>
          <w:tcPr>
            <w:tcW w:type="dxa" w:w="9360"/>
            <w:tcMar>
              <w:top w:w="130" w:type="dxa"/>
              <w:start w:w="180" w:type="dxa"/>
              <w:bottom w:w="130" w:type="dxa"/>
              <w:end w:w="180" w:type="dxa"/>
            </w:tcMar>
            <w:shd w:fill="E8F3EC"/>
          </w:tcPr>
          <w:p>
            <w:pPr>
              <w:spacing w:after="0"/>
            </w:pPr>
            <w:r>
              <w:rPr>
                <w:rFonts w:ascii="Calibri" w:hAnsi="Calibri"/>
                <w:b/>
                <w:color w:val="17324D"/>
                <w:sz w:val="21"/>
              </w:rPr>
              <w:t xml:space="preserve">Handoff boundary: </w:t>
            </w:r>
            <w:r>
              <w:rPr>
                <w:rFonts w:ascii="Calibri" w:hAnsi="Calibri"/>
                <w:color w:val="17324D"/>
                <w:sz w:val="21"/>
              </w:rPr>
              <w:t>Adapt the sample code to existing conventions and complete a security review before enabling anonymous access.</w:t>
            </w:r>
          </w:p>
        </w:tc>
      </w:tr>
    </w:tbl>
    <w:p>
      <w:pPr>
        <w:spacing w:after="40"/>
      </w:pPr>
    </w:p>
    <w:sectPr w:rsidR="00FC693F" w:rsidRPr="0006063C" w:rsidSect="00034616">
      <w:footerReference w:type="default" r:id="rId9"/>
      <w:pgSz w:w="12240" w:h="15840"/>
      <w:pgMar w:top="1181"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57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shd w:fill="F2F4F7"/>
      <w:pBdr>
        <w:top w:val="single" w:sz="4" w:space="4" w:color="D5DCE3"/>
        <w:left w:val="single" w:sz="4" w:space="4" w:color="D5DCE3"/>
        <w:bottom w:val="single" w:sz="4" w:space="4" w:color="D5DCE3"/>
        <w:right w:val="single" w:sz="4" w:space="4" w:color="D5DCE3"/>
      </w:pBdr>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SRF Secure Launch and Permissions Guide</dc:title>
  <dc:subject>Developer handoff for signed launch tokens, IIS authentication, and NTFS permissions</dc:subject>
  <dc:creator>Chapin</dc:creator>
  <cp:keywords>Rep Portal, ChapinLink, SRF, HMAC, IIS, PHP, NTFS</cp:keywords>
  <dc:description>Contains no production secrets.</dc:description>
  <cp:lastModifiedBy/>
  <cp:revision>1</cp:revision>
  <dcterms:created xsi:type="dcterms:W3CDTF">2013-12-23T23:15:00Z</dcterms:created>
  <dcterms:modified xsi:type="dcterms:W3CDTF">2013-12-23T23:15:00Z</dcterms:modified>
  <cp:category/>
</cp:coreProperties>
</file>