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>Thème :</w:t>
            </w:r>
            <w:r w:rsidR="00E81DAE">
              <w:t xml:space="preserve"> Constitution et transformations de la matière</w:t>
            </w:r>
          </w:p>
        </w:tc>
        <w:tc>
          <w:tcPr>
            <w:tcW w:w="6663" w:type="dxa"/>
            <w:vAlign w:val="center"/>
          </w:tcPr>
          <w:p w:rsidR="00572D04" w:rsidRDefault="00E81DAE" w:rsidP="002006E2">
            <w:pPr>
              <w:pStyle w:val="Titre1"/>
              <w:spacing w:before="0"/>
              <w:ind w:left="720"/>
              <w:outlineLvl w:val="0"/>
            </w:pPr>
            <w:r>
              <w:t>C3 : un exemple de mélange, les solutions aqueuses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E81DAE" w:rsidP="007F2C93">
            <w:pPr>
              <w:pStyle w:val="Titre1"/>
              <w:spacing w:before="0"/>
              <w:outlineLvl w:val="0"/>
            </w:pPr>
            <w:r>
              <w:t>Activité 1</w:t>
            </w:r>
          </w:p>
        </w:tc>
      </w:tr>
    </w:tbl>
    <w:p w:rsidR="009B26A3" w:rsidRDefault="00E81DAE" w:rsidP="009B26A3">
      <w:r>
        <w:t>Objectif</w:t>
      </w:r>
      <w:r w:rsidR="009D59EA">
        <w:t>s</w:t>
      </w:r>
      <w:r>
        <w:t> : -réaliser une solution de concentration massique donnée par dissolution</w:t>
      </w:r>
    </w:p>
    <w:p w:rsidR="009D59EA" w:rsidRDefault="009D59EA" w:rsidP="009B26A3">
      <w:r>
        <w:t xml:space="preserve">                -se familiariser avec la notion de concentration massique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La bouillie bordelaise est un fongicide</w:t>
      </w:r>
      <w:r w:rsidRPr="00F83610">
        <w:rPr>
          <w:rFonts w:ascii="ff58" w:eastAsia="Times New Roman" w:hAnsi="ff58" w:cs="Times New Roman"/>
          <w:color w:val="EC008C"/>
          <w:sz w:val="83"/>
          <w:szCs w:val="83"/>
        </w:rPr>
        <w:t xml:space="preserve">* </w:t>
      </w: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dont la couleur bleue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est due à la présence de sulfate de cuivre dissous en solution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aqueuse. L’utilisation de bouillie bordelaise est autorisée en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agriculture biologique. La concentration en masse de sulfate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de cuivre alors recommandée est de 4,0 </w:t>
      </w:r>
      <w:proofErr w:type="spellStart"/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g·L</w:t>
      </w:r>
      <w:proofErr w:type="spellEnd"/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58"/>
          <w:szCs w:val="58"/>
        </w:rPr>
      </w:pPr>
      <w:r w:rsidRPr="00F83610">
        <w:rPr>
          <w:rFonts w:ascii="ff5a" w:eastAsia="Times New Roman" w:hAnsi="ff5a" w:cs="Times New Roman"/>
          <w:color w:val="231F20"/>
          <w:sz w:val="58"/>
          <w:szCs w:val="58"/>
        </w:rPr>
        <w:t>–1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.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La bouillie bordelaise est un fongicide</w:t>
      </w:r>
      <w:r w:rsidRPr="00F83610">
        <w:rPr>
          <w:rFonts w:ascii="ff58" w:eastAsia="Times New Roman" w:hAnsi="ff58" w:cs="Times New Roman"/>
          <w:color w:val="EC008C"/>
          <w:sz w:val="83"/>
          <w:szCs w:val="83"/>
        </w:rPr>
        <w:t xml:space="preserve">* </w:t>
      </w: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dont la couleur bleue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est due à la présence de sulfate de cuivre dissous en solution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aqueuse. L’utilisation de bouillie bordelaise est autorisée en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agriculture biologique. La concentration en masse de sulfate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de cuivre alors recommandée est de 4,0 </w:t>
      </w:r>
      <w:proofErr w:type="spellStart"/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g·L</w:t>
      </w:r>
      <w:proofErr w:type="spellEnd"/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58"/>
          <w:szCs w:val="58"/>
        </w:rPr>
      </w:pPr>
      <w:r w:rsidRPr="00F83610">
        <w:rPr>
          <w:rFonts w:ascii="ff5a" w:eastAsia="Times New Roman" w:hAnsi="ff5a" w:cs="Times New Roman"/>
          <w:color w:val="231F20"/>
          <w:sz w:val="58"/>
          <w:szCs w:val="58"/>
        </w:rPr>
        <w:t>–1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.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La bouillie bordelaise est un fongicide</w:t>
      </w:r>
      <w:r w:rsidRPr="00F83610">
        <w:rPr>
          <w:rFonts w:ascii="ff58" w:eastAsia="Times New Roman" w:hAnsi="ff58" w:cs="Times New Roman"/>
          <w:color w:val="EC008C"/>
          <w:sz w:val="83"/>
          <w:szCs w:val="83"/>
        </w:rPr>
        <w:t xml:space="preserve">* </w:t>
      </w: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dont la couleur bleue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est due à la présence de sulfate de cuivre dissous en solution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aqueuse. L’utilisation de bouillie bordelaise est autorisée en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agriculture biologique. La concentration en masse de sulfate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de cuivre alors recommandée est de 4,0 </w:t>
      </w:r>
      <w:proofErr w:type="spellStart"/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g·L</w:t>
      </w:r>
      <w:proofErr w:type="spellEnd"/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58"/>
          <w:szCs w:val="58"/>
        </w:rPr>
      </w:pPr>
      <w:r w:rsidRPr="00F83610">
        <w:rPr>
          <w:rFonts w:ascii="ff5a" w:eastAsia="Times New Roman" w:hAnsi="ff5a" w:cs="Times New Roman"/>
          <w:color w:val="231F20"/>
          <w:sz w:val="58"/>
          <w:szCs w:val="58"/>
        </w:rPr>
        <w:t>–1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.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La bouillie bordelaise est un fongicide</w:t>
      </w:r>
      <w:r w:rsidRPr="00F83610">
        <w:rPr>
          <w:rFonts w:ascii="ff58" w:eastAsia="Times New Roman" w:hAnsi="ff58" w:cs="Times New Roman"/>
          <w:color w:val="EC008C"/>
          <w:sz w:val="83"/>
          <w:szCs w:val="83"/>
        </w:rPr>
        <w:t xml:space="preserve">* </w:t>
      </w: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dont la couleur bleue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est due à la présence de sulfate de cuivre dissous en solution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aqueuse. L’utilisation de bouillie bordelaise est autorisée en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agriculture biologique. La concentration en masse de sulfate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de cuivre alors recommandée est de 4,0 </w:t>
      </w:r>
      <w:proofErr w:type="spellStart"/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g·L</w:t>
      </w:r>
      <w:proofErr w:type="spellEnd"/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58"/>
          <w:szCs w:val="58"/>
        </w:rPr>
      </w:pPr>
      <w:r w:rsidRPr="00F83610">
        <w:rPr>
          <w:rFonts w:ascii="ff5a" w:eastAsia="Times New Roman" w:hAnsi="ff5a" w:cs="Times New Roman"/>
          <w:color w:val="231F20"/>
          <w:sz w:val="58"/>
          <w:szCs w:val="58"/>
        </w:rPr>
        <w:t>–1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.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La bouillie bordelaise est un fongicide</w:t>
      </w:r>
      <w:r w:rsidRPr="00F83610">
        <w:rPr>
          <w:rFonts w:ascii="ff58" w:eastAsia="Times New Roman" w:hAnsi="ff58" w:cs="Times New Roman"/>
          <w:color w:val="EC008C"/>
          <w:sz w:val="83"/>
          <w:szCs w:val="83"/>
        </w:rPr>
        <w:t xml:space="preserve">* </w:t>
      </w: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dont la couleur bleue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est due à la présence de sulfate de cuivre dissous en solution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aqueuse. L’utilisation de bouillie bordelaise est autorisée en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agriculture biologique. La concentration en masse de sulfate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de cuivre alors recommandée est de 4,0 </w:t>
      </w:r>
      <w:proofErr w:type="spellStart"/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g·L</w:t>
      </w:r>
      <w:proofErr w:type="spellEnd"/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58"/>
          <w:szCs w:val="58"/>
        </w:rPr>
      </w:pPr>
      <w:r w:rsidRPr="00F83610">
        <w:rPr>
          <w:rFonts w:ascii="ff5a" w:eastAsia="Times New Roman" w:hAnsi="ff5a" w:cs="Times New Roman"/>
          <w:color w:val="231F20"/>
          <w:sz w:val="58"/>
          <w:szCs w:val="58"/>
        </w:rPr>
        <w:t>–1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.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La bouillie bordelaise est un fongicide</w:t>
      </w:r>
      <w:r w:rsidRPr="00F83610">
        <w:rPr>
          <w:rFonts w:ascii="ff58" w:eastAsia="Times New Roman" w:hAnsi="ff58" w:cs="Times New Roman"/>
          <w:color w:val="EC008C"/>
          <w:sz w:val="83"/>
          <w:szCs w:val="83"/>
        </w:rPr>
        <w:t xml:space="preserve">* </w:t>
      </w: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dont la couleur bleue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est due à la présence de sulfate de cuivre dissous en solution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aqueuse. L’utilisation de bouillie bordelaise est autorisée en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agriculture biologique. La concentration en masse de sulfate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de cuivre alors recommandée est de 4,0 </w:t>
      </w:r>
      <w:proofErr w:type="spellStart"/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g·L</w:t>
      </w:r>
      <w:proofErr w:type="spellEnd"/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58"/>
          <w:szCs w:val="58"/>
        </w:rPr>
      </w:pPr>
      <w:r w:rsidRPr="00F83610">
        <w:rPr>
          <w:rFonts w:ascii="ff5a" w:eastAsia="Times New Roman" w:hAnsi="ff5a" w:cs="Times New Roman"/>
          <w:color w:val="231F20"/>
          <w:sz w:val="58"/>
          <w:szCs w:val="58"/>
        </w:rPr>
        <w:t>–1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La bouillie bordelaise est un fongicide</w:t>
      </w:r>
      <w:r w:rsidRPr="00F83610">
        <w:rPr>
          <w:rFonts w:ascii="ff58" w:eastAsia="Times New Roman" w:hAnsi="ff58" w:cs="Times New Roman"/>
          <w:color w:val="EC008C"/>
          <w:sz w:val="83"/>
          <w:szCs w:val="83"/>
        </w:rPr>
        <w:t xml:space="preserve">* </w:t>
      </w: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dont la couleur bleue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est due à la présence de sulfate de cuivre dissous en solution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aqueuse. L’utilisation de bouillie bordelaise est autorisée en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agriculture biologique. La concentration en masse de sulfate 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de cuivre alors recommandée est de 4,0 </w:t>
      </w:r>
      <w:proofErr w:type="spellStart"/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g·L</w:t>
      </w:r>
      <w:proofErr w:type="spellEnd"/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58"/>
          <w:szCs w:val="58"/>
        </w:rPr>
      </w:pPr>
      <w:r w:rsidRPr="00F83610">
        <w:rPr>
          <w:rFonts w:ascii="ff5a" w:eastAsia="Times New Roman" w:hAnsi="ff5a" w:cs="Times New Roman"/>
          <w:color w:val="231F20"/>
          <w:sz w:val="58"/>
          <w:szCs w:val="58"/>
        </w:rPr>
        <w:t>–1</w:t>
      </w:r>
    </w:p>
    <w:p w:rsidR="00F83610" w:rsidRPr="00F83610" w:rsidRDefault="00F83610" w:rsidP="00F83610">
      <w:pPr>
        <w:spacing w:before="0" w:after="0" w:line="0" w:lineRule="auto"/>
        <w:rPr>
          <w:rFonts w:ascii="ff5a" w:eastAsia="Times New Roman" w:hAnsi="ff5a" w:cs="Times New Roman"/>
          <w:color w:val="231F20"/>
          <w:sz w:val="83"/>
          <w:szCs w:val="83"/>
        </w:rPr>
      </w:pPr>
      <w:r w:rsidRPr="00F83610">
        <w:rPr>
          <w:rFonts w:ascii="ff5a" w:eastAsia="Times New Roman" w:hAnsi="ff5a" w:cs="Times New Roman"/>
          <w:color w:val="231F20"/>
          <w:sz w:val="83"/>
          <w:szCs w:val="83"/>
        </w:rPr>
        <w:t>.</w:t>
      </w:r>
    </w:p>
    <w:p w:rsidR="00E81DAE" w:rsidRDefault="009D59EA" w:rsidP="009D59EA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5626735</wp:posOffset>
            </wp:positionH>
            <wp:positionV relativeFrom="paragraph">
              <wp:posOffset>34290</wp:posOffset>
            </wp:positionV>
            <wp:extent cx="981075" cy="1200785"/>
            <wp:effectExtent l="0" t="0" r="0" b="5715"/>
            <wp:wrapTight wrapText="bothSides">
              <wp:wrapPolygon edited="0">
                <wp:start x="0" y="0"/>
                <wp:lineTo x="0" y="21474"/>
                <wp:lineTo x="21250" y="21474"/>
                <wp:lineTo x="2125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9-11-21 à 19.08.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610">
        <w:t xml:space="preserve">Une bouillie bordelaise est un fongicide dont la couleur bleue est due à la présence de </w:t>
      </w:r>
      <w:r w:rsidR="00482E81">
        <w:t>sulfate</w:t>
      </w:r>
      <w:r w:rsidR="006D68DC">
        <w:t xml:space="preserve"> </w:t>
      </w:r>
      <w:r w:rsidR="00482E81">
        <w:t>d</w:t>
      </w:r>
      <w:r w:rsidR="00F83610">
        <w:t xml:space="preserve">e cuivre </w:t>
      </w:r>
      <w:r w:rsidR="00482E81">
        <w:t>dissous en solution. L’utilisation de la bouillie bordelaise est autorisée en agriculture biologique. La concentration en masse en sulfate de cuivre alors recommandée est de 4,0g/L.</w:t>
      </w:r>
    </w:p>
    <w:p w:rsidR="00482E81" w:rsidRPr="004E3E16" w:rsidRDefault="00482E81" w:rsidP="009B26A3">
      <w:pPr>
        <w:rPr>
          <w:b/>
        </w:rPr>
      </w:pPr>
      <w:r w:rsidRPr="009D59EA">
        <w:rPr>
          <w:b/>
        </w:rPr>
        <w:t>Comment préparer cette solution aqueuse par dissolution ?</w:t>
      </w:r>
      <w:bookmarkStart w:id="0" w:name="_GoBack"/>
      <w:bookmarkEnd w:id="0"/>
    </w:p>
    <w:p w:rsidR="009D59EA" w:rsidRPr="006D68DC" w:rsidRDefault="00482E81" w:rsidP="009D59EA">
      <w:pPr>
        <w:pStyle w:val="Titre2"/>
      </w:pPr>
      <w:r>
        <w:t>Document 1 : les différentes solutions de bouillie bordelaise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5"/>
        <w:gridCol w:w="2655"/>
        <w:gridCol w:w="2655"/>
        <w:gridCol w:w="2656"/>
      </w:tblGrid>
      <w:tr w:rsidR="00482E81" w:rsidTr="00482E81">
        <w:tc>
          <w:tcPr>
            <w:tcW w:w="2655" w:type="dxa"/>
            <w:shd w:val="clear" w:color="auto" w:fill="BFBFBF" w:themeFill="background1" w:themeFillShade="BF"/>
          </w:tcPr>
          <w:p w:rsidR="00482E81" w:rsidRDefault="00482E81" w:rsidP="009B26A3">
            <w:r>
              <w:t>Numéro de la solution aqueuse</w:t>
            </w:r>
          </w:p>
        </w:tc>
        <w:tc>
          <w:tcPr>
            <w:tcW w:w="2655" w:type="dxa"/>
            <w:shd w:val="clear" w:color="auto" w:fill="BFBFBF" w:themeFill="background1" w:themeFillShade="BF"/>
          </w:tcPr>
          <w:p w:rsidR="00482E81" w:rsidRDefault="00482E81" w:rsidP="009B26A3">
            <w:r>
              <w:t>1</w:t>
            </w:r>
          </w:p>
        </w:tc>
        <w:tc>
          <w:tcPr>
            <w:tcW w:w="2655" w:type="dxa"/>
            <w:shd w:val="clear" w:color="auto" w:fill="BFBFBF" w:themeFill="background1" w:themeFillShade="BF"/>
          </w:tcPr>
          <w:p w:rsidR="00482E81" w:rsidRDefault="00482E81" w:rsidP="009B26A3">
            <w:r>
              <w:t>2</w:t>
            </w:r>
          </w:p>
        </w:tc>
        <w:tc>
          <w:tcPr>
            <w:tcW w:w="2656" w:type="dxa"/>
            <w:shd w:val="clear" w:color="auto" w:fill="BFBFBF" w:themeFill="background1" w:themeFillShade="BF"/>
          </w:tcPr>
          <w:p w:rsidR="00482E81" w:rsidRDefault="00482E81" w:rsidP="009B26A3">
            <w:r>
              <w:t>3</w:t>
            </w:r>
          </w:p>
        </w:tc>
      </w:tr>
      <w:tr w:rsidR="00482E81" w:rsidTr="00482E81">
        <w:tc>
          <w:tcPr>
            <w:tcW w:w="2655" w:type="dxa"/>
            <w:shd w:val="clear" w:color="auto" w:fill="BFBFBF" w:themeFill="background1" w:themeFillShade="BF"/>
          </w:tcPr>
          <w:p w:rsidR="00482E81" w:rsidRDefault="00482E81" w:rsidP="009B26A3">
            <w:r>
              <w:t>Masse de sulfate de cuivre (en g)</w:t>
            </w:r>
          </w:p>
        </w:tc>
        <w:tc>
          <w:tcPr>
            <w:tcW w:w="2655" w:type="dxa"/>
          </w:tcPr>
          <w:p w:rsidR="00482E81" w:rsidRDefault="00482E81" w:rsidP="009B26A3">
            <w:r>
              <w:t>1,0</w:t>
            </w:r>
          </w:p>
        </w:tc>
        <w:tc>
          <w:tcPr>
            <w:tcW w:w="2655" w:type="dxa"/>
          </w:tcPr>
          <w:p w:rsidR="00482E81" w:rsidRDefault="00482E81" w:rsidP="009B26A3">
            <w:r>
              <w:t>1,0</w:t>
            </w:r>
          </w:p>
        </w:tc>
        <w:tc>
          <w:tcPr>
            <w:tcW w:w="2656" w:type="dxa"/>
          </w:tcPr>
          <w:p w:rsidR="00482E81" w:rsidRDefault="00482E81" w:rsidP="009B26A3">
            <w:r>
              <w:t>1,5</w:t>
            </w:r>
          </w:p>
        </w:tc>
      </w:tr>
      <w:tr w:rsidR="00482E81" w:rsidTr="00482E81">
        <w:tc>
          <w:tcPr>
            <w:tcW w:w="2655" w:type="dxa"/>
            <w:shd w:val="clear" w:color="auto" w:fill="BFBFBF" w:themeFill="background1" w:themeFillShade="BF"/>
          </w:tcPr>
          <w:p w:rsidR="00482E81" w:rsidRDefault="00482E81" w:rsidP="009B26A3">
            <w:r>
              <w:t xml:space="preserve">Volume de la solution (en </w:t>
            </w:r>
            <w:proofErr w:type="spellStart"/>
            <w:r>
              <w:t>mL</w:t>
            </w:r>
            <w:proofErr w:type="spellEnd"/>
            <w:r>
              <w:t>)</w:t>
            </w:r>
          </w:p>
        </w:tc>
        <w:tc>
          <w:tcPr>
            <w:tcW w:w="2655" w:type="dxa"/>
          </w:tcPr>
          <w:p w:rsidR="00482E81" w:rsidRDefault="00482E81" w:rsidP="009B26A3">
            <w:r>
              <w:t>50</w:t>
            </w:r>
          </w:p>
        </w:tc>
        <w:tc>
          <w:tcPr>
            <w:tcW w:w="2655" w:type="dxa"/>
          </w:tcPr>
          <w:p w:rsidR="00482E81" w:rsidRDefault="00482E81" w:rsidP="009B26A3">
            <w:r>
              <w:t>100</w:t>
            </w:r>
          </w:p>
        </w:tc>
        <w:tc>
          <w:tcPr>
            <w:tcW w:w="2656" w:type="dxa"/>
          </w:tcPr>
          <w:p w:rsidR="00482E81" w:rsidRDefault="00482E81" w:rsidP="009B26A3">
            <w:r>
              <w:t>100</w:t>
            </w:r>
          </w:p>
        </w:tc>
      </w:tr>
    </w:tbl>
    <w:p w:rsidR="00482E81" w:rsidRDefault="00482E81" w:rsidP="009B26A3"/>
    <w:p w:rsidR="00E81DAE" w:rsidRDefault="00482E81" w:rsidP="00482E81">
      <w:pPr>
        <w:pStyle w:val="Titre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226059</wp:posOffset>
                </wp:positionV>
                <wp:extent cx="6229350" cy="1152525"/>
                <wp:effectExtent l="12700" t="12700" r="19050" b="158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E81" w:rsidRDefault="00482E81" w:rsidP="00482E81">
                            <w:pPr>
                              <w:jc w:val="center"/>
                            </w:pPr>
                            <w:r>
                              <w:t xml:space="preserve">Balance, spatule, béchers de 50 et 100mL, fioles </w:t>
                            </w:r>
                            <w:proofErr w:type="spellStart"/>
                            <w:r>
                              <w:t>jaugees</w:t>
                            </w:r>
                            <w:proofErr w:type="spellEnd"/>
                            <w:r>
                              <w:t xml:space="preserve"> de 50 et 100mL,sulfate de cuivre , eau </w:t>
                            </w:r>
                            <w:proofErr w:type="spellStart"/>
                            <w:r>
                              <w:t>distilée</w:t>
                            </w:r>
                            <w:proofErr w:type="spellEnd"/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14.8pt;margin-top:17.8pt;width:490.5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" fillcolor="#4f81bd [3204]" strokecolor="#243f60 [1604]" strokeweight="2pt">
                <v:textbox>
                  <w:txbxContent>
                    <w:p w:rsidR="00482E81" w:rsidRDefault="00482E81" w:rsidP="00482E81">
                      <w:pPr>
                        <w:jc w:val="center"/>
                      </w:pPr>
                      <w:r>
                        <w:t xml:space="preserve">Balance, spatule, béchers de 50 et 100mL, fioles </w:t>
                      </w:r>
                      <w:proofErr w:type="spellStart"/>
                      <w:r>
                        <w:t>jaugees</w:t>
                      </w:r>
                      <w:proofErr w:type="spellEnd"/>
                      <w:r>
                        <w:t xml:space="preserve"> de 50 et 100mL,sulfate de cuivre , eau </w:t>
                      </w:r>
                      <w:proofErr w:type="spellStart"/>
                      <w:r>
                        <w:t>distilée</w:t>
                      </w:r>
                      <w:proofErr w:type="spellEnd"/>
                      <w:r>
                        <w:t>,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Document 2 : matériel à disposition </w:t>
      </w:r>
    </w:p>
    <w:p w:rsidR="00482E81" w:rsidRDefault="00482E81" w:rsidP="009B26A3"/>
    <w:p w:rsidR="00E81DAE" w:rsidRDefault="00E81DAE" w:rsidP="009B26A3"/>
    <w:p w:rsidR="00482E81" w:rsidRDefault="00482E81" w:rsidP="009B26A3"/>
    <w:p w:rsidR="00482E81" w:rsidRDefault="00482E81" w:rsidP="009B26A3"/>
    <w:p w:rsidR="00482E81" w:rsidRDefault="00482E81" w:rsidP="009B26A3"/>
    <w:p w:rsidR="00482E81" w:rsidRDefault="00482E81" w:rsidP="0082225D">
      <w:pPr>
        <w:pStyle w:val="Titre2"/>
      </w:pPr>
      <w:r>
        <w:t>Document 3 : un peu de vocabulaire</w:t>
      </w:r>
    </w:p>
    <w:p w:rsidR="0082225D" w:rsidRDefault="0082225D" w:rsidP="0082225D">
      <w:r w:rsidRPr="0082225D">
        <w:rPr>
          <w:b/>
        </w:rPr>
        <w:t>Soluté </w:t>
      </w:r>
      <w:r>
        <w:t>: espèce chimique dissoute dans un solvant</w:t>
      </w:r>
    </w:p>
    <w:p w:rsidR="0082225D" w:rsidRDefault="0082225D" w:rsidP="0082225D">
      <w:r w:rsidRPr="0082225D">
        <w:rPr>
          <w:b/>
        </w:rPr>
        <w:t>Solvant </w:t>
      </w:r>
      <w:r>
        <w:t>: liquide dans lequel on peut dissoudre une espèce chimique</w:t>
      </w:r>
    </w:p>
    <w:p w:rsidR="0082225D" w:rsidRDefault="0082225D" w:rsidP="0082225D">
      <w:r w:rsidRPr="0082225D">
        <w:rPr>
          <w:b/>
        </w:rPr>
        <w:t>Concentration massique</w:t>
      </w:r>
      <w:r>
        <w:t xml:space="preserve"> : masse en grammes de soluté par litre de solution . Cette grandeur s’exprime en g/L. </w:t>
      </w:r>
    </w:p>
    <w:p w:rsidR="0082225D" w:rsidRPr="0082225D" w:rsidRDefault="0082225D" w:rsidP="0082225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Tr="009B26A3">
        <w:tc>
          <w:tcPr>
            <w:tcW w:w="10740" w:type="dxa"/>
          </w:tcPr>
          <w:p w:rsidR="009B26A3" w:rsidRDefault="00E81DAE" w:rsidP="009B26A3">
            <w:pPr>
              <w:pStyle w:val="Sansinterligne"/>
            </w:pPr>
            <w:r>
              <w:t>Questions</w:t>
            </w:r>
          </w:p>
        </w:tc>
      </w:tr>
      <w:tr w:rsidR="009B26A3" w:rsidTr="009B26A3">
        <w:tc>
          <w:tcPr>
            <w:tcW w:w="10740" w:type="dxa"/>
          </w:tcPr>
          <w:p w:rsidR="00482E81" w:rsidRDefault="00482E81" w:rsidP="00482E81">
            <w:pPr>
              <w:pStyle w:val="Paragraphedeliste"/>
              <w:numPr>
                <w:ilvl w:val="0"/>
                <w:numId w:val="27"/>
              </w:numPr>
            </w:pPr>
            <w:r>
              <w:t>Nommer : le soluté, le solvant, ainsi que la méthode utilisée pour préparer la solution de sulfate de cuivre.</w:t>
            </w:r>
          </w:p>
          <w:p w:rsidR="00482E81" w:rsidRDefault="00D67025" w:rsidP="00482E81">
            <w:pPr>
              <w:pStyle w:val="Paragraphedeliste"/>
              <w:numPr>
                <w:ilvl w:val="0"/>
                <w:numId w:val="27"/>
              </w:numPr>
            </w:pPr>
            <w:r>
              <w:t xml:space="preserve">Choisir le matériel permettant de préparer le plus </w:t>
            </w:r>
            <w:r w:rsidR="0082225D">
              <w:t>précisément</w:t>
            </w:r>
            <w:r>
              <w:t xml:space="preserve"> possible S1, S2, et S3. Justifier.</w:t>
            </w:r>
          </w:p>
          <w:p w:rsidR="00D67025" w:rsidRDefault="0082225D" w:rsidP="00482E81">
            <w:pPr>
              <w:pStyle w:val="Paragraphedeliste"/>
              <w:numPr>
                <w:ilvl w:val="0"/>
                <w:numId w:val="27"/>
              </w:numPr>
            </w:pPr>
            <w:r>
              <w:t>Écrire</w:t>
            </w:r>
            <w:r w:rsidR="00D67025">
              <w:t xml:space="preserve"> le protocole expérimental et </w:t>
            </w:r>
            <w:r w:rsidR="00470319">
              <w:t>réaliser le protocole expérimental.</w:t>
            </w:r>
          </w:p>
          <w:p w:rsidR="00470319" w:rsidRDefault="00470319" w:rsidP="00482E81">
            <w:pPr>
              <w:pStyle w:val="Paragraphedeliste"/>
              <w:numPr>
                <w:ilvl w:val="0"/>
                <w:numId w:val="27"/>
              </w:numPr>
            </w:pPr>
            <w:r>
              <w:t xml:space="preserve">Calculer la concentration en masse </w:t>
            </w:r>
            <w:r w:rsidR="0082225D">
              <w:t>de soluté dans les solutions S1,S2 et S3.</w:t>
            </w:r>
          </w:p>
          <w:p w:rsidR="0082225D" w:rsidRPr="009B26A3" w:rsidRDefault="0082225D" w:rsidP="00482E81">
            <w:pPr>
              <w:pStyle w:val="Paragraphedeliste"/>
              <w:numPr>
                <w:ilvl w:val="0"/>
                <w:numId w:val="27"/>
              </w:numPr>
            </w:pPr>
            <w:r>
              <w:t>Les solutions préparées peuvent-elles être utilisées dans l’agriculture biologique ? Justifier</w:t>
            </w:r>
            <w:r w:rsidR="004E3E16">
              <w:t>.</w:t>
            </w:r>
          </w:p>
        </w:tc>
      </w:tr>
    </w:tbl>
    <w:p w:rsidR="004E3E16" w:rsidRPr="009B26A3" w:rsidRDefault="004E3E16" w:rsidP="009D59EA">
      <w:pPr>
        <w:jc w:val="both"/>
      </w:pPr>
    </w:p>
    <w:sectPr w:rsidR="004E3E16" w:rsidRPr="009B26A3" w:rsidSect="009B26A3">
      <w:headerReference w:type="default" r:id="rId9"/>
      <w:footerReference w:type="default" r:id="rId10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2FA" w:rsidRDefault="00F552FA" w:rsidP="00A5044E">
      <w:pPr>
        <w:spacing w:after="0"/>
      </w:pPr>
      <w:r>
        <w:separator/>
      </w:r>
    </w:p>
  </w:endnote>
  <w:endnote w:type="continuationSeparator" w:id="0">
    <w:p w:rsidR="00F552FA" w:rsidRDefault="00F552FA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f5a">
    <w:altName w:val="Cambria"/>
    <w:panose1 w:val="020B0604020202020204"/>
    <w:charset w:val="00"/>
    <w:family w:val="roman"/>
    <w:notTrueType/>
    <w:pitch w:val="default"/>
  </w:font>
  <w:font w:name="ff58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2FA" w:rsidRDefault="00F552FA" w:rsidP="00A5044E">
      <w:pPr>
        <w:spacing w:after="0"/>
      </w:pPr>
      <w:r>
        <w:separator/>
      </w:r>
    </w:p>
  </w:footnote>
  <w:footnote w:type="continuationSeparator" w:id="0">
    <w:p w:rsidR="00F552FA" w:rsidRDefault="00F552FA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4E3E16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7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20B72"/>
    <w:multiLevelType w:val="hybridMultilevel"/>
    <w:tmpl w:val="7256BD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1"/>
  </w:num>
  <w:num w:numId="4">
    <w:abstractNumId w:val="20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6"/>
  </w:num>
  <w:num w:numId="11">
    <w:abstractNumId w:val="18"/>
  </w:num>
  <w:num w:numId="12">
    <w:abstractNumId w:val="22"/>
  </w:num>
  <w:num w:numId="13">
    <w:abstractNumId w:val="10"/>
  </w:num>
  <w:num w:numId="14">
    <w:abstractNumId w:val="15"/>
  </w:num>
  <w:num w:numId="15">
    <w:abstractNumId w:val="7"/>
  </w:num>
  <w:num w:numId="16">
    <w:abstractNumId w:val="13"/>
  </w:num>
  <w:num w:numId="17">
    <w:abstractNumId w:val="14"/>
  </w:num>
  <w:num w:numId="18">
    <w:abstractNumId w:val="2"/>
  </w:num>
  <w:num w:numId="19">
    <w:abstractNumId w:val="8"/>
  </w:num>
  <w:num w:numId="20">
    <w:abstractNumId w:val="24"/>
  </w:num>
  <w:num w:numId="21">
    <w:abstractNumId w:val="19"/>
  </w:num>
  <w:num w:numId="22">
    <w:abstractNumId w:val="4"/>
  </w:num>
  <w:num w:numId="23">
    <w:abstractNumId w:val="12"/>
  </w:num>
  <w:num w:numId="24">
    <w:abstractNumId w:val="9"/>
  </w:num>
  <w:num w:numId="25">
    <w:abstractNumId w:val="25"/>
  </w:num>
  <w:num w:numId="26">
    <w:abstractNumId w:val="17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AE"/>
    <w:rsid w:val="00006D03"/>
    <w:rsid w:val="00032164"/>
    <w:rsid w:val="00077F99"/>
    <w:rsid w:val="000A2F15"/>
    <w:rsid w:val="000E1E68"/>
    <w:rsid w:val="000E295F"/>
    <w:rsid w:val="000E5EB4"/>
    <w:rsid w:val="000F7010"/>
    <w:rsid w:val="00106ED3"/>
    <w:rsid w:val="0013291E"/>
    <w:rsid w:val="00153238"/>
    <w:rsid w:val="00171EA4"/>
    <w:rsid w:val="001968A9"/>
    <w:rsid w:val="001B3BCC"/>
    <w:rsid w:val="002006E2"/>
    <w:rsid w:val="002430FC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311F92"/>
    <w:rsid w:val="003913FA"/>
    <w:rsid w:val="00394897"/>
    <w:rsid w:val="003A0C14"/>
    <w:rsid w:val="003A14B8"/>
    <w:rsid w:val="003B44C0"/>
    <w:rsid w:val="003D2605"/>
    <w:rsid w:val="003D7C5B"/>
    <w:rsid w:val="003E2C71"/>
    <w:rsid w:val="0040549F"/>
    <w:rsid w:val="00442E2F"/>
    <w:rsid w:val="00444D31"/>
    <w:rsid w:val="004546D7"/>
    <w:rsid w:val="004673FC"/>
    <w:rsid w:val="00470319"/>
    <w:rsid w:val="00482E81"/>
    <w:rsid w:val="004B0FE4"/>
    <w:rsid w:val="004C5FCA"/>
    <w:rsid w:val="004E3E16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68DC"/>
    <w:rsid w:val="006D7A75"/>
    <w:rsid w:val="007064F7"/>
    <w:rsid w:val="00736158"/>
    <w:rsid w:val="007557BB"/>
    <w:rsid w:val="00772EAA"/>
    <w:rsid w:val="007734BC"/>
    <w:rsid w:val="007A751A"/>
    <w:rsid w:val="007B5992"/>
    <w:rsid w:val="007F01C9"/>
    <w:rsid w:val="007F2C93"/>
    <w:rsid w:val="00805058"/>
    <w:rsid w:val="008152F9"/>
    <w:rsid w:val="0082225D"/>
    <w:rsid w:val="00827037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59EA"/>
    <w:rsid w:val="009D5FB3"/>
    <w:rsid w:val="009F34C5"/>
    <w:rsid w:val="00A112B3"/>
    <w:rsid w:val="00A378B0"/>
    <w:rsid w:val="00A5044E"/>
    <w:rsid w:val="00A75C11"/>
    <w:rsid w:val="00A805BF"/>
    <w:rsid w:val="00A96091"/>
    <w:rsid w:val="00AA7BC3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B5BF9"/>
    <w:rsid w:val="00CD3963"/>
    <w:rsid w:val="00D067C5"/>
    <w:rsid w:val="00D31BDD"/>
    <w:rsid w:val="00D34771"/>
    <w:rsid w:val="00D67025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7686D"/>
    <w:rsid w:val="00E76F2C"/>
    <w:rsid w:val="00E81DAE"/>
    <w:rsid w:val="00EA7A5D"/>
    <w:rsid w:val="00EB3BB6"/>
    <w:rsid w:val="00EF6BEA"/>
    <w:rsid w:val="00F02CCC"/>
    <w:rsid w:val="00F25541"/>
    <w:rsid w:val="00F32000"/>
    <w:rsid w:val="00F47E7D"/>
    <w:rsid w:val="00F552FA"/>
    <w:rsid w:val="00F7340E"/>
    <w:rsid w:val="00F770C4"/>
    <w:rsid w:val="00F80BB2"/>
    <w:rsid w:val="00F83610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BCF46"/>
  <w15:docId w15:val="{CDC52F62-E12A-2A40-BE5E-2B302458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character" w:customStyle="1" w:styleId="a">
    <w:name w:val="_"/>
    <w:basedOn w:val="Policepardfaut"/>
    <w:rsid w:val="00F83610"/>
  </w:style>
  <w:style w:type="character" w:customStyle="1" w:styleId="ff58">
    <w:name w:val="ff58"/>
    <w:basedOn w:val="Policepardfaut"/>
    <w:rsid w:val="00F83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ABEE7-502E-E547-9D29-ACA85EAF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25</TotalTime>
  <Pages>1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Seconde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10</cp:revision>
  <cp:lastPrinted>2011-09-10T14:56:00Z</cp:lastPrinted>
  <dcterms:created xsi:type="dcterms:W3CDTF">2019-11-21T17:28:00Z</dcterms:created>
  <dcterms:modified xsi:type="dcterms:W3CDTF">2019-11-24T18:43:00Z</dcterms:modified>
</cp:coreProperties>
</file>