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sz w:val="28"/>
        </w:rPr>
        <w:t>Université Paris Panthéon-Assas</w:t>
      </w:r>
    </w:p>
    <w:p>
      <w:pPr>
        <w:spacing w:after="40"/>
        <w:jc w:val="center"/>
      </w:pPr>
      <w:r>
        <w:rPr>
          <w:sz w:val="24"/>
        </w:rPr>
        <w:t>Licence 3 Économie – Semestre 1</w:t>
      </w:r>
    </w:p>
    <w:p>
      <w:pPr>
        <w:spacing w:after="800"/>
        <w:jc w:val="center"/>
      </w:pPr>
      <w:r>
        <w:rPr>
          <w:sz w:val="24"/>
        </w:rPr>
        <w:t>Économétrie – Année universitaire 2026-2027</w:t>
      </w:r>
    </w:p>
    <w:p>
      <w:pPr>
        <w:spacing w:after="200"/>
        <w:jc w:val="center"/>
      </w:pPr>
      <w:r>
        <w:rPr>
          <w:b/>
          <w:sz w:val="26"/>
        </w:rPr>
        <w:t>PROJET D’ÉCONOMÉTRIE</w:t>
      </w:r>
    </w:p>
    <w:p>
      <w:pPr>
        <w:spacing w:after="280"/>
        <w:jc w:val="center"/>
      </w:pPr>
      <w:r>
        <w:rPr>
          <w:b/>
          <w:color w:val="1F3A68"/>
          <w:sz w:val="44"/>
        </w:rPr>
        <w:t>Les déterminants du montant des emprunts contractés par les ménages</w:t>
      </w:r>
    </w:p>
    <w:p>
      <w:pPr>
        <w:spacing w:after="800"/>
        <w:jc w:val="center"/>
      </w:pPr>
      <w:r>
        <w:rPr>
          <w:i/>
          <w:sz w:val="26"/>
        </w:rPr>
        <w:t>Version intermédiaire : introduction et partie 1 (statistiques descriptives)</w:t>
      </w:r>
    </w:p>
    <w:p>
      <w:pPr>
        <w:spacing w:after="1200"/>
        <w:jc w:val="center"/>
      </w:pPr>
      <w:r>
        <w:rPr>
          <w:sz w:val="22"/>
        </w:rPr>
        <w:t>Données : enquête Statistiques sur les ressources et les conditions de vie (SRCV) 2015, INSEE – Eurostat, base SRCV1_menage</w:t>
      </w:r>
    </w:p>
    <w:p>
      <w:pPr>
        <w:spacing w:after="40"/>
        <w:jc w:val="center"/>
      </w:pPr>
      <w:r>
        <w:rPr>
          <w:b/>
          <w:sz w:val="28"/>
        </w:rPr>
        <w:t>Charles GIACOMOTTO</w:t>
      </w:r>
    </w:p>
    <w:p>
      <w:pPr>
        <w:spacing w:after="1000"/>
        <w:jc w:val="center"/>
      </w:pPr>
      <w:r>
        <w:rPr>
          <w:b/>
          <w:sz w:val="28"/>
        </w:rPr>
        <w:t>Lucas STANUCH</w:t>
      </w:r>
    </w:p>
    <w:p>
      <w:pPr>
        <w:spacing w:after="40"/>
        <w:jc w:val="center"/>
      </w:pPr>
      <w:r>
        <w:rPr>
          <w:sz w:val="23"/>
        </w:rPr>
        <w:t>Enseignante : Mme Anne-Laure Samson</w:t>
      </w:r>
    </w:p>
    <w:p>
      <w:pPr>
        <w:spacing w:after="600"/>
        <w:jc w:val="center"/>
      </w:pPr>
      <w:r>
        <w:rPr>
          <w:sz w:val="23"/>
        </w:rPr>
        <w:t>Rendu du 13 novembre 2026</w:t>
      </w:r>
    </w:p>
    <w:p>
      <w:pPr>
        <w:spacing w:after="80"/>
        <w:ind w:left="1417"/>
        <w:jc w:val="left"/>
      </w:pPr>
      <w:r>
        <w:rPr>
          <w:b/>
          <w:sz w:val="24"/>
        </w:rPr>
        <w:t>Sommaire</w:t>
      </w:r>
    </w:p>
    <w:p>
      <w:pPr>
        <w:spacing w:after="20"/>
        <w:ind w:left="1417"/>
        <w:jc w:val="left"/>
      </w:pPr>
      <w:r>
        <w:rPr>
          <w:b/>
          <w:sz w:val="21"/>
        </w:rPr>
        <w:t>Introduction</w:t>
      </w:r>
    </w:p>
    <w:p>
      <w:pPr>
        <w:spacing w:after="20"/>
        <w:ind w:left="1417"/>
        <w:jc w:val="left"/>
      </w:pPr>
      <w:r>
        <w:rPr>
          <w:b/>
          <w:sz w:val="21"/>
        </w:rPr>
        <w:t>Partie 1 – Statistiques descriptives</w:t>
      </w:r>
    </w:p>
    <w:p>
      <w:pPr>
        <w:spacing w:after="20"/>
        <w:ind w:left="1814"/>
        <w:jc w:val="left"/>
      </w:pPr>
      <w:r>
        <w:rPr>
          <w:sz w:val="21"/>
        </w:rPr>
        <w:t>1. Description de la base de données</w:t>
      </w:r>
    </w:p>
    <w:p>
      <w:pPr>
        <w:spacing w:after="20"/>
        <w:ind w:left="1814"/>
        <w:jc w:val="left"/>
      </w:pPr>
      <w:r>
        <w:rPr>
          <w:sz w:val="21"/>
        </w:rPr>
        <w:t>2. Sélection de l’échantillon de travail</w:t>
      </w:r>
    </w:p>
    <w:p>
      <w:pPr>
        <w:spacing w:after="20"/>
        <w:ind w:left="1814"/>
        <w:jc w:val="left"/>
      </w:pPr>
      <w:r>
        <w:rPr>
          <w:sz w:val="21"/>
        </w:rPr>
        <w:t>3. Statistiques descriptives univariées</w:t>
      </w:r>
    </w:p>
    <w:p>
      <w:pPr>
        <w:spacing w:after="20"/>
        <w:ind w:left="1814"/>
        <w:jc w:val="left"/>
      </w:pPr>
      <w:r>
        <w:rPr>
          <w:sz w:val="21"/>
        </w:rPr>
        <w:t>4. Statistiques descriptives bivariées</w:t>
      </w:r>
    </w:p>
    <w:p>
      <w:pPr>
        <w:spacing w:after="20"/>
        <w:ind w:left="1814"/>
        <w:jc w:val="left"/>
      </w:pPr>
      <w:r>
        <w:rPr>
          <w:sz w:val="21"/>
        </w:rPr>
        <w:t>5. Synthèse</w:t>
      </w:r>
    </w:p>
    <w:p>
      <w:pPr>
        <w:spacing w:after="20"/>
        <w:ind w:left="1417"/>
        <w:jc w:val="left"/>
      </w:pPr>
      <w:r>
        <w:rPr>
          <w:b/>
          <w:sz w:val="21"/>
        </w:rPr>
        <w:t>Références</w:t>
      </w:r>
    </w:p>
    <w:p>
      <w:pPr>
        <w:spacing w:after="20"/>
        <w:ind w:left="1417"/>
        <w:jc w:val="left"/>
      </w:pPr>
      <w:r>
        <w:rPr>
          <w:b/>
          <w:sz w:val="21"/>
        </w:rPr>
        <w:t>Annexe – Programme Stata</w:t>
      </w:r>
    </w:p>
    <w:p>
      <w:r>
        <w:br w:type="page"/>
      </w:r>
    </w:p>
    <w:p>
      <w:pPr>
        <w:pStyle w:val="Heading1"/>
      </w:pPr>
      <w:r>
        <w:t>Introduction</w:t>
      </w:r>
    </w:p>
    <w:p>
      <w:pPr>
        <w:jc w:val="both"/>
      </w:pPr>
      <w:r>
        <w:t>S’endetter fait partie de la vie ordinaire de nombreux ménages : acheter un logement, une voiture ou financer des travaux passe presque toujours par un crédit. Fin 2015, 46,5 % des ménages français avaient au moins un crédit en cours, 30,2 % un crédit immobilier et 26 % un crédit à la consommation (Observatoire des crédits aux ménages). Cette année-là, les taux des prêts immobiliers étaient historiquement bas, autour de 2 % (Observatoire Crédit Logement/CSA).</w:t>
      </w:r>
    </w:p>
    <w:p>
      <w:pPr>
        <w:jc w:val="both"/>
      </w:pPr>
      <w:r>
        <w:t>Le montant des emprunts est un enjeu pour les ménages, dont les remboursements pèsent sur le budget pendant de longues années et peuvent conduire au surendettement, mais aussi pour la stabilité financière. Les banques limitaient déjà en pratique les mensualités à environ un tiers des revenus ; le Haut Conseil de stabilité financière a formalisé cette règle fin 2019 (33 % des revenus et 25 ans au maximum), l’a relevée à 35 % en 2021 puis l’a rendue contraignante en 2022. L’accès au crédit est enfin inégal : les ménages jeunes, modestes ou dont l’emploi est instable empruntent plus difficilement.</w:t>
      </w:r>
    </w:p>
    <w:p>
      <w:pPr>
        <w:jc w:val="both"/>
      </w:pPr>
      <w:r>
        <w:t>La théorie du cycle de vie (Modigliani et Brumberg, 1954) prévoit que les ménages s’endettent quand ils sont jeunes, remboursent en milieu de vie puis désépargnent à la retraite : l’endettement devrait être maximal aux âges intermédiaires. Selon l’hypothèse du revenu permanent (Friedman, 1957), c’est le revenu anticipé qui compte, ce qui favorise les ménages dont la carrière est ascendante. Mais les banques, qui connaissent mal le risque de chaque emprunteur, rationnent le crédit (Stiglitz et Weiss, 1981) et fixent le montant prêté selon le revenu courant et la stabilité de l’emploi. Enfin, l’essentiel des emprunts finançant un logement, le prix de l’immobilier selon le lieu de résidence devrait aussi jouer.</w:t>
      </w:r>
    </w:p>
    <w:p>
      <w:pPr>
        <w:jc w:val="both"/>
      </w:pPr>
      <w:r>
        <w:t>Nous utilisons l’enquête SRCV 2015 de l’INSEE, volet français de l’enquête européenne EU-SILC. La base SRCV1_menage contient 4 198 ménages qui ont tous au moins un crédit en cours. Notre variable expliquée est le montant mensuel payé pour rembourser l’ensemble des crédits du ménage (CREDITS). Nous n’avons pas retenu le montant total du crédit immobilier (MEMP), qui ne concerne que les prêts immobiliers et manque pour 44 % des ménages. La mensualité dépend du montant emprunté, du taux et de la durée des prêts, et mesure directement le poids de l’endettement dans le budget.</w:t>
      </w:r>
    </w:p>
    <w:p>
      <w:pPr>
        <w:jc w:val="both"/>
      </w:pPr>
      <w:r>
        <w:t xml:space="preserve">Notre question est donc : </w:t>
      </w:r>
      <w:r>
        <w:rPr>
          <w:b/>
        </w:rPr>
        <w:t>quels facteurs expliquent les écarts de mensualités entre les ménages endettés ?</w:t>
      </w:r>
      <w:r>
        <w:t xml:space="preserve"> Nous étudions en particulier deux variables : le revenu du ménage (les mensualités augmentent-elles avec le revenu, et dans quelle proportion ?) et l’âge de la personne de référence (retrouve-t-on le profil en cloche du cycle de vie, toutes choses égales par ailleurs ?).</w:t>
      </w:r>
    </w:p>
    <w:p>
      <w:pPr>
        <w:jc w:val="both"/>
      </w:pPr>
      <w:r>
        <w:t>Cette version intermédiaire présente la partie 1 : description de la base (1), construction de l’échantillon de travail (2), statistiques univariées (3) et bivariées (4). L’estimation du modèle linéaire multiple fera l’objet de la partie 2. Tous les résultats sont reproductibles avec le programme Stata en annexe.</w:t>
      </w:r>
    </w:p>
    <w:p>
      <w:pPr>
        <w:pStyle w:val="Heading1"/>
      </w:pPr>
      <w:r>
        <w:t>Partie 1 – Statistiques descriptives</w:t>
      </w:r>
    </w:p>
    <w:p>
      <w:pPr>
        <w:pStyle w:val="Heading2"/>
      </w:pPr>
      <w:r>
        <w:t>1. Description de la base de données</w:t>
      </w:r>
    </w:p>
    <w:p>
      <w:pPr>
        <w:keepNext/>
        <w:jc w:val="both"/>
      </w:pPr>
      <w:r>
        <w:t xml:space="preserve">La base compte </w:t>
      </w:r>
      <w:r>
        <w:rPr>
          <w:b/>
        </w:rPr>
        <w:t>4 198 ménages</w:t>
      </w:r>
      <w:r>
        <w:t xml:space="preserve"> et 20 variables ; les caractéristiques individuelles sont celles de la personne de référence. Tous les ménages remboursent au moins un crédit : nous expliquons combien un ménage endetté rembourse, et non pourquoi il emprunte. La </w:t>
      </w:r>
      <w:r>
        <w:rPr>
          <w:b/>
        </w:rPr>
        <w:t>variable expliquée</w:t>
      </w:r>
      <w:r>
        <w:t xml:space="preserve"> est le montant mensuel des remboursements (CREDITS, en euros), que nous appelons « mensualités ». C’est une variable continue, adaptée au modèle de régression linéaire. Nous retenons </w:t>
      </w:r>
      <w:r>
        <w:rPr>
          <w:b/>
        </w:rPr>
        <w:t>neuf variables explicatives</w:t>
      </w:r>
      <w:r>
        <w:t>, dont deux variables d’intérêt (tableau 1).</w:t>
      </w:r>
    </w:p>
    <w:p>
      <w:pPr>
        <w:keepNext/>
        <w:spacing w:after="60"/>
        <w:jc w:val="left"/>
      </w:pPr>
      <w:r>
        <w:rPr>
          <w:b/>
          <w:sz w:val="21"/>
        </w:rPr>
        <w:t>Tableau 1 – Variables explicatives retenues et effets attendus</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2608"/>
        <w:gridCol w:w="1247"/>
        <w:gridCol w:w="5216"/>
      </w:tblGrid>
      <w:tr>
        <w:trPr>
          <w:cantSplit/>
          <w:tblHeader/>
        </w:trPr>
        <w:tc>
          <w:tcPr>
            <w:tcW w:type="dxa" w:w="2608"/>
            <w:shd w:val="clear" w:color="auto" w:fill="E8ECF2"/>
            <w:vAlign w:val="center"/>
          </w:tcPr>
          <w:p>
            <w:pPr>
              <w:keepNext/>
              <w:spacing w:after="0" w:line="240" w:lineRule="auto"/>
              <w:jc w:val="left"/>
            </w:pPr>
            <w:r/>
            <w:r>
              <w:rPr>
                <w:b/>
                <w:i w:val="0"/>
                <w:sz w:val="17"/>
              </w:rPr>
              <w:t>Variable (nom dans la base)</w:t>
            </w:r>
          </w:p>
        </w:tc>
        <w:tc>
          <w:tcPr>
            <w:tcW w:type="dxa" w:w="1247"/>
            <w:shd w:val="clear" w:color="auto" w:fill="E8ECF2"/>
            <w:vAlign w:val="center"/>
          </w:tcPr>
          <w:p>
            <w:pPr>
              <w:keepNext/>
              <w:spacing w:after="0" w:line="240" w:lineRule="auto"/>
              <w:jc w:val="center"/>
            </w:pPr>
            <w:r/>
            <w:r>
              <w:rPr>
                <w:b/>
                <w:i w:val="0"/>
                <w:sz w:val="17"/>
              </w:rPr>
              <w:t>Effet attendu</w:t>
            </w:r>
          </w:p>
        </w:tc>
        <w:tc>
          <w:tcPr>
            <w:tcW w:type="dxa" w:w="5216"/>
            <w:shd w:val="clear" w:color="auto" w:fill="E8ECF2"/>
            <w:vAlign w:val="center"/>
          </w:tcPr>
          <w:p>
            <w:pPr>
              <w:keepNext/>
              <w:spacing w:after="0" w:line="240" w:lineRule="auto"/>
              <w:jc w:val="center"/>
            </w:pPr>
            <w:r/>
            <w:r>
              <w:rPr>
                <w:b/>
                <w:i w:val="0"/>
                <w:sz w:val="17"/>
              </w:rPr>
              <w:t>Justification</w:t>
            </w:r>
          </w:p>
        </w:tc>
      </w:tr>
      <w:tr>
        <w:trPr>
          <w:cantSplit/>
        </w:trPr>
        <w:tc>
          <w:tcPr>
            <w:tcW w:type="dxa" w:w="9072"/>
            <w:gridSpan w:val="3"/>
            <w:shd w:val="clear" w:color="auto" w:fill="F4F6F9"/>
            <w:vAlign w:val="center"/>
          </w:tcPr>
          <w:p>
            <w:pPr>
              <w:keepNext/>
              <w:spacing w:after="0" w:line="240" w:lineRule="auto"/>
              <w:jc w:val="left"/>
            </w:pPr>
            <w:r/>
            <w:r>
              <w:rPr>
                <w:b/>
                <w:i w:val="0"/>
                <w:sz w:val="17"/>
              </w:rPr>
              <w:t>Variables d’intérêt</w:t>
            </w:r>
          </w:p>
        </w:tc>
      </w:tr>
      <w:tr>
        <w:trPr>
          <w:cantSplit/>
        </w:trPr>
        <w:tc>
          <w:tcPr>
            <w:tcW w:type="dxa" w:w="2608"/>
            <w:vAlign w:val="center"/>
          </w:tcPr>
          <w:p>
            <w:pPr>
              <w:keepNext/>
              <w:spacing w:after="0" w:line="240" w:lineRule="auto"/>
              <w:jc w:val="left"/>
            </w:pPr>
            <w:r/>
            <w:r>
              <w:rPr>
                <w:b w:val="0"/>
                <w:i w:val="0"/>
                <w:sz w:val="17"/>
              </w:rPr>
              <w:t>Revenu mensuel du ménage (TOTREVEN)</w:t>
            </w:r>
          </w:p>
        </w:tc>
        <w:tc>
          <w:tcPr>
            <w:tcW w:type="dxa" w:w="1247"/>
            <w:vAlign w:val="center"/>
          </w:tcPr>
          <w:p>
            <w:pPr>
              <w:keepNext/>
              <w:spacing w:after="0" w:line="240" w:lineRule="auto"/>
              <w:jc w:val="left"/>
            </w:pPr>
            <w:r/>
            <w:r>
              <w:rPr>
                <w:b w:val="0"/>
                <w:i w:val="0"/>
                <w:sz w:val="17"/>
              </w:rPr>
              <w:t>+</w:t>
            </w:r>
          </w:p>
        </w:tc>
        <w:tc>
          <w:tcPr>
            <w:tcW w:type="dxa" w:w="5216"/>
            <w:vAlign w:val="center"/>
          </w:tcPr>
          <w:p>
            <w:pPr>
              <w:keepNext/>
              <w:spacing w:after="0" w:line="240" w:lineRule="auto"/>
              <w:jc w:val="left"/>
            </w:pPr>
            <w:r/>
            <w:r>
              <w:rPr>
                <w:b w:val="0"/>
                <w:i w:val="0"/>
                <w:sz w:val="17"/>
              </w:rPr>
              <w:t>Principale information utilisée par les banques : un revenu plus élevé permet d’emprunter et de rembourser davantage. Nous regarderons si les mensualités augmentent proportionnellement au revenu.</w:t>
            </w:r>
          </w:p>
        </w:tc>
      </w:tr>
      <w:tr>
        <w:trPr>
          <w:cantSplit/>
        </w:trPr>
        <w:tc>
          <w:tcPr>
            <w:tcW w:type="dxa" w:w="2608"/>
            <w:vAlign w:val="center"/>
          </w:tcPr>
          <w:p>
            <w:pPr>
              <w:keepNext/>
              <w:spacing w:after="0" w:line="240" w:lineRule="auto"/>
              <w:jc w:val="left"/>
            </w:pPr>
            <w:r/>
            <w:r>
              <w:rPr>
                <w:b w:val="0"/>
                <w:i w:val="0"/>
                <w:sz w:val="17"/>
              </w:rPr>
              <w:t>Âge de la personne de référence (AGEPR)</w:t>
            </w:r>
          </w:p>
        </w:tc>
        <w:tc>
          <w:tcPr>
            <w:tcW w:type="dxa" w:w="1247"/>
            <w:vAlign w:val="center"/>
          </w:tcPr>
          <w:p>
            <w:pPr>
              <w:keepNext/>
              <w:spacing w:after="0" w:line="240" w:lineRule="auto"/>
              <w:jc w:val="left"/>
            </w:pPr>
            <w:r/>
            <w:r>
              <w:rPr>
                <w:b w:val="0"/>
                <w:i w:val="0"/>
                <w:sz w:val="17"/>
              </w:rPr>
              <w:t>+ puis –</w:t>
            </w:r>
          </w:p>
        </w:tc>
        <w:tc>
          <w:tcPr>
            <w:tcW w:type="dxa" w:w="5216"/>
            <w:vAlign w:val="center"/>
          </w:tcPr>
          <w:p>
            <w:pPr>
              <w:keepNext/>
              <w:spacing w:after="0" w:line="240" w:lineRule="auto"/>
              <w:jc w:val="left"/>
            </w:pPr>
            <w:r/>
            <w:r>
              <w:rPr>
                <w:b w:val="0"/>
                <w:i w:val="0"/>
                <w:sz w:val="17"/>
              </w:rPr>
              <w:t>Cycle de vie : les jeunes commencent à emprunter, l’achat du logement se concentre vers 30-45 ans, puis les prêts arrivent à échéance et les banques prêtent moins aux emprunteurs âgés.</w:t>
            </w:r>
          </w:p>
        </w:tc>
      </w:tr>
      <w:tr>
        <w:trPr>
          <w:cantSplit/>
        </w:trPr>
        <w:tc>
          <w:tcPr>
            <w:tcW w:type="dxa" w:w="9072"/>
            <w:gridSpan w:val="3"/>
            <w:shd w:val="clear" w:color="auto" w:fill="F4F6F9"/>
            <w:vAlign w:val="center"/>
          </w:tcPr>
          <w:p>
            <w:pPr>
              <w:keepNext/>
              <w:spacing w:after="0" w:line="240" w:lineRule="auto"/>
              <w:jc w:val="left"/>
            </w:pPr>
            <w:r/>
            <w:r>
              <w:rPr>
                <w:b/>
                <w:i w:val="0"/>
                <w:sz w:val="17"/>
              </w:rPr>
              <w:t>Variables de contrôle</w:t>
            </w:r>
          </w:p>
        </w:tc>
      </w:tr>
      <w:tr>
        <w:trPr>
          <w:cantSplit/>
        </w:trPr>
        <w:tc>
          <w:tcPr>
            <w:tcW w:type="dxa" w:w="2608"/>
            <w:vAlign w:val="center"/>
          </w:tcPr>
          <w:p>
            <w:pPr>
              <w:keepNext/>
              <w:spacing w:after="0" w:line="240" w:lineRule="auto"/>
              <w:jc w:val="left"/>
            </w:pPr>
            <w:r/>
            <w:r>
              <w:rPr>
                <w:b w:val="0"/>
                <w:i w:val="0"/>
                <w:sz w:val="17"/>
              </w:rPr>
              <w:t>Statut d’occupation du logement (STO et CREDIT_IMMO)</w:t>
            </w:r>
          </w:p>
        </w:tc>
        <w:tc>
          <w:tcPr>
            <w:tcW w:type="dxa" w:w="1247"/>
            <w:vAlign w:val="center"/>
          </w:tcPr>
          <w:p>
            <w:pPr>
              <w:keepNext/>
              <w:spacing w:after="0" w:line="240" w:lineRule="auto"/>
              <w:jc w:val="left"/>
            </w:pPr>
            <w:r/>
            <w:r>
              <w:rPr>
                <w:b w:val="0"/>
                <w:i w:val="0"/>
                <w:sz w:val="17"/>
              </w:rPr>
              <w:t>+ accédants</w:t>
            </w:r>
          </w:p>
        </w:tc>
        <w:tc>
          <w:tcPr>
            <w:tcW w:type="dxa" w:w="5216"/>
            <w:vAlign w:val="center"/>
          </w:tcPr>
          <w:p>
            <w:pPr>
              <w:keepNext/>
              <w:spacing w:after="0" w:line="240" w:lineRule="auto"/>
              <w:jc w:val="left"/>
            </w:pPr>
            <w:r/>
            <w:r>
              <w:rPr>
                <w:b w:val="0"/>
                <w:i w:val="0"/>
                <w:sz w:val="17"/>
              </w:rPr>
              <w:t>Le crédit pour la résidence principale est de loin le plus élevé en montant.</w:t>
            </w:r>
          </w:p>
        </w:tc>
      </w:tr>
      <w:tr>
        <w:trPr>
          <w:cantSplit/>
        </w:trPr>
        <w:tc>
          <w:tcPr>
            <w:tcW w:type="dxa" w:w="2608"/>
            <w:vAlign w:val="center"/>
          </w:tcPr>
          <w:p>
            <w:pPr>
              <w:keepNext/>
              <w:spacing w:after="0" w:line="240" w:lineRule="auto"/>
              <w:jc w:val="left"/>
            </w:pPr>
            <w:r/>
            <w:r>
              <w:rPr>
                <w:b w:val="0"/>
                <w:i w:val="0"/>
                <w:sz w:val="17"/>
              </w:rPr>
              <w:t>Nombre de crédits en cours (NB_CREDITS)</w:t>
            </w:r>
          </w:p>
        </w:tc>
        <w:tc>
          <w:tcPr>
            <w:tcW w:type="dxa" w:w="1247"/>
            <w:vAlign w:val="center"/>
          </w:tcPr>
          <w:p>
            <w:pPr>
              <w:keepNext/>
              <w:spacing w:after="0" w:line="240" w:lineRule="auto"/>
              <w:jc w:val="left"/>
            </w:pPr>
            <w:r/>
            <w:r>
              <w:rPr>
                <w:b w:val="0"/>
                <w:i w:val="0"/>
                <w:sz w:val="17"/>
              </w:rPr>
              <w:t>+</w:t>
            </w:r>
          </w:p>
        </w:tc>
        <w:tc>
          <w:tcPr>
            <w:tcW w:type="dxa" w:w="5216"/>
            <w:vAlign w:val="center"/>
          </w:tcPr>
          <w:p>
            <w:pPr>
              <w:keepNext/>
              <w:spacing w:after="0" w:line="240" w:lineRule="auto"/>
              <w:jc w:val="left"/>
            </w:pPr>
            <w:r/>
            <w:r>
              <w:rPr>
                <w:b w:val="0"/>
                <w:i w:val="0"/>
                <w:sz w:val="17"/>
              </w:rPr>
              <w:t>Plus de crédits signifie mécaniquement plus à rembourser.</w:t>
            </w:r>
          </w:p>
        </w:tc>
      </w:tr>
      <w:tr>
        <w:trPr>
          <w:cantSplit/>
        </w:trPr>
        <w:tc>
          <w:tcPr>
            <w:tcW w:type="dxa" w:w="2608"/>
            <w:vAlign w:val="center"/>
          </w:tcPr>
          <w:p>
            <w:pPr>
              <w:keepNext/>
              <w:spacing w:after="0" w:line="240" w:lineRule="auto"/>
              <w:jc w:val="left"/>
            </w:pPr>
            <w:r/>
            <w:r>
              <w:rPr>
                <w:b w:val="0"/>
                <w:i w:val="0"/>
                <w:sz w:val="17"/>
              </w:rPr>
              <w:t>Crédit pour un autre bien immobilier (MOTIF_A)</w:t>
            </w:r>
          </w:p>
        </w:tc>
        <w:tc>
          <w:tcPr>
            <w:tcW w:type="dxa" w:w="1247"/>
            <w:vAlign w:val="center"/>
          </w:tcPr>
          <w:p>
            <w:pPr>
              <w:keepNext/>
              <w:spacing w:after="0" w:line="240" w:lineRule="auto"/>
              <w:jc w:val="left"/>
            </w:pPr>
            <w:r/>
            <w:r>
              <w:rPr>
                <w:b w:val="0"/>
                <w:i w:val="0"/>
                <w:sz w:val="17"/>
              </w:rPr>
              <w:t>+</w:t>
            </w:r>
          </w:p>
        </w:tc>
        <w:tc>
          <w:tcPr>
            <w:tcW w:type="dxa" w:w="5216"/>
            <w:vAlign w:val="center"/>
          </w:tcPr>
          <w:p>
            <w:pPr>
              <w:keepNext/>
              <w:spacing w:after="0" w:line="240" w:lineRule="auto"/>
              <w:jc w:val="left"/>
            </w:pPr>
            <w:r/>
            <w:r>
              <w:rPr>
                <w:b w:val="0"/>
                <w:i w:val="0"/>
                <w:sz w:val="17"/>
              </w:rPr>
              <w:t>Investissement locatif, résidence secondaire, terrain ou gros travaux : des montants élevés.</w:t>
            </w:r>
          </w:p>
        </w:tc>
      </w:tr>
      <w:tr>
        <w:trPr>
          <w:cantSplit/>
        </w:trPr>
        <w:tc>
          <w:tcPr>
            <w:tcW w:type="dxa" w:w="2608"/>
            <w:vAlign w:val="center"/>
          </w:tcPr>
          <w:p>
            <w:pPr>
              <w:keepNext/>
              <w:spacing w:after="0" w:line="240" w:lineRule="auto"/>
              <w:jc w:val="left"/>
            </w:pPr>
            <w:r/>
            <w:r>
              <w:rPr>
                <w:b w:val="0"/>
                <w:i w:val="0"/>
                <w:sz w:val="17"/>
              </w:rPr>
              <w:t>Nombre d’enfants (NENFANTS)</w:t>
            </w:r>
          </w:p>
        </w:tc>
        <w:tc>
          <w:tcPr>
            <w:tcW w:type="dxa" w:w="1247"/>
            <w:vAlign w:val="center"/>
          </w:tcPr>
          <w:p>
            <w:pPr>
              <w:keepNext/>
              <w:spacing w:after="0" w:line="240" w:lineRule="auto"/>
              <w:jc w:val="left"/>
            </w:pPr>
            <w:r/>
            <w:r>
              <w:rPr>
                <w:b w:val="0"/>
                <w:i w:val="0"/>
                <w:sz w:val="17"/>
              </w:rPr>
              <w:t>+ (ambigu)</w:t>
            </w:r>
          </w:p>
        </w:tc>
        <w:tc>
          <w:tcPr>
            <w:tcW w:type="dxa" w:w="5216"/>
            <w:vAlign w:val="center"/>
          </w:tcPr>
          <w:p>
            <w:pPr>
              <w:keepNext/>
              <w:spacing w:after="0" w:line="240" w:lineRule="auto"/>
              <w:jc w:val="left"/>
            </w:pPr>
            <w:r/>
            <w:r>
              <w:rPr>
                <w:b w:val="0"/>
                <w:i w:val="0"/>
                <w:sz w:val="17"/>
              </w:rPr>
              <w:t>Besoin d’un logement plus grand et d’équipements ; mais à revenu donné, moins de budget disponible.</w:t>
            </w:r>
          </w:p>
        </w:tc>
      </w:tr>
      <w:tr>
        <w:trPr>
          <w:cantSplit/>
        </w:trPr>
        <w:tc>
          <w:tcPr>
            <w:tcW w:type="dxa" w:w="2608"/>
            <w:vAlign w:val="center"/>
          </w:tcPr>
          <w:p>
            <w:pPr>
              <w:keepNext/>
              <w:spacing w:after="0" w:line="240" w:lineRule="auto"/>
              <w:jc w:val="left"/>
            </w:pPr>
            <w:r/>
            <w:r>
              <w:rPr>
                <w:b w:val="0"/>
                <w:i w:val="0"/>
                <w:sz w:val="17"/>
              </w:rPr>
              <w:t>CSP de la personne de référence (CS24PR)</w:t>
            </w:r>
          </w:p>
        </w:tc>
        <w:tc>
          <w:tcPr>
            <w:tcW w:type="dxa" w:w="1247"/>
            <w:vAlign w:val="center"/>
          </w:tcPr>
          <w:p>
            <w:pPr>
              <w:keepNext/>
              <w:spacing w:after="0" w:line="240" w:lineRule="auto"/>
              <w:jc w:val="left"/>
            </w:pPr>
            <w:r/>
            <w:r>
              <w:rPr>
                <w:b w:val="0"/>
                <w:i w:val="0"/>
                <w:sz w:val="17"/>
              </w:rPr>
              <w:t>+ cadres, indépendants ; – retraités</w:t>
            </w:r>
          </w:p>
        </w:tc>
        <w:tc>
          <w:tcPr>
            <w:tcW w:type="dxa" w:w="5216"/>
            <w:vAlign w:val="center"/>
          </w:tcPr>
          <w:p>
            <w:pPr>
              <w:keepNext/>
              <w:spacing w:after="0" w:line="240" w:lineRule="auto"/>
              <w:jc w:val="left"/>
            </w:pPr>
            <w:r/>
            <w:r>
              <w:rPr>
                <w:b w:val="0"/>
                <w:i w:val="0"/>
                <w:sz w:val="17"/>
              </w:rPr>
              <w:t>Revenu permanent et stabilité de l’emploi ; crédits professionnels des indépendants ; fin du cycle de vie pour les retraités.</w:t>
            </w:r>
          </w:p>
        </w:tc>
      </w:tr>
      <w:tr>
        <w:trPr>
          <w:cantSplit/>
        </w:trPr>
        <w:tc>
          <w:tcPr>
            <w:tcW w:type="dxa" w:w="2608"/>
            <w:vAlign w:val="center"/>
          </w:tcPr>
          <w:p>
            <w:pPr>
              <w:keepNext/>
              <w:spacing w:after="0" w:line="240" w:lineRule="auto"/>
              <w:jc w:val="left"/>
            </w:pPr>
            <w:r/>
            <w:r>
              <w:rPr>
                <w:b w:val="0"/>
                <w:i w:val="0"/>
                <w:sz w:val="17"/>
              </w:rPr>
              <w:t>Taille de l’unité urbaine (TUU10)</w:t>
            </w:r>
          </w:p>
        </w:tc>
        <w:tc>
          <w:tcPr>
            <w:tcW w:type="dxa" w:w="1247"/>
            <w:vAlign w:val="center"/>
          </w:tcPr>
          <w:p>
            <w:pPr>
              <w:keepNext/>
              <w:spacing w:after="0" w:line="240" w:lineRule="auto"/>
              <w:jc w:val="left"/>
            </w:pPr>
            <w:r/>
            <w:r>
              <w:rPr>
                <w:b w:val="0"/>
                <w:i w:val="0"/>
                <w:sz w:val="17"/>
              </w:rPr>
              <w:t>+ Paris</w:t>
            </w:r>
          </w:p>
        </w:tc>
        <w:tc>
          <w:tcPr>
            <w:tcW w:type="dxa" w:w="5216"/>
            <w:vAlign w:val="center"/>
          </w:tcPr>
          <w:p>
            <w:pPr>
              <w:keepNext/>
              <w:spacing w:after="0" w:line="240" w:lineRule="auto"/>
              <w:jc w:val="left"/>
            </w:pPr>
            <w:r/>
            <w:r>
              <w:rPr>
                <w:b w:val="0"/>
                <w:i w:val="0"/>
                <w:sz w:val="17"/>
              </w:rPr>
              <w:t>Indicateur du prix de l’immobilier, le plus élevé dans l’agglomération parisienne.</w:t>
            </w:r>
          </w:p>
        </w:tc>
      </w:tr>
      <w:tr>
        <w:trPr>
          <w:cantSplit/>
        </w:trPr>
        <w:tc>
          <w:tcPr>
            <w:tcW w:type="dxa" w:w="2608"/>
            <w:vAlign w:val="center"/>
          </w:tcPr>
          <w:p>
            <w:pPr>
              <w:keepNext/>
              <w:spacing w:after="0" w:line="240" w:lineRule="auto"/>
              <w:jc w:val="left"/>
            </w:pPr>
            <w:r/>
            <w:r>
              <w:rPr>
                <w:b w:val="0"/>
                <w:i w:val="0"/>
                <w:sz w:val="17"/>
              </w:rPr>
              <w:t>Type de logement (TYPLOG)</w:t>
            </w:r>
          </w:p>
        </w:tc>
        <w:tc>
          <w:tcPr>
            <w:tcW w:type="dxa" w:w="1247"/>
            <w:vAlign w:val="center"/>
          </w:tcPr>
          <w:p>
            <w:pPr>
              <w:keepNext/>
              <w:spacing w:after="0" w:line="240" w:lineRule="auto"/>
              <w:jc w:val="left"/>
            </w:pPr>
            <w:r/>
            <w:r>
              <w:rPr>
                <w:b w:val="0"/>
                <w:i w:val="0"/>
                <w:sz w:val="17"/>
              </w:rPr>
              <w:t>+ maison</w:t>
            </w:r>
          </w:p>
        </w:tc>
        <w:tc>
          <w:tcPr>
            <w:tcW w:type="dxa" w:w="5216"/>
            <w:vAlign w:val="center"/>
          </w:tcPr>
          <w:p>
            <w:pPr>
              <w:keepNext/>
              <w:spacing w:after="0" w:line="240" w:lineRule="auto"/>
              <w:jc w:val="left"/>
            </w:pPr>
            <w:r/>
            <w:r>
              <w:rPr>
                <w:b w:val="0"/>
                <w:i w:val="0"/>
                <w:sz w:val="17"/>
              </w:rPr>
              <w:t>Les maisons sont plus grandes et plus souvent achetées que louées.</w:t>
            </w:r>
          </w:p>
        </w:tc>
      </w:tr>
    </w:tbl>
    <w:p>
      <w:pPr>
        <w:spacing w:after="200"/>
        <w:jc w:val="left"/>
      </w:pPr>
      <w:r>
        <w:rPr>
          <w:i/>
          <w:sz w:val="18"/>
        </w:rPr>
        <w:t>Lecture : « + » signifie que la variable devrait augmenter les mensualités.</w:t>
      </w:r>
    </w:p>
    <w:p>
      <w:pPr>
        <w:jc w:val="both"/>
      </w:pPr>
      <w:r>
        <w:t>Nous n’utilisons pas MEMP comme variable explicative, car il détermine presque mécaniquement la mensualité. Les autres motifs de crédit (MOTIF_B à MOTIF_E) décrivent la composition de la dette et sont en partie captés par le nombre de crédits ; la situation vis-à-vis de l’emploi (SITUAPR) recoupe la CSP ; le nombre d’adultes et le type de ménage jouent surtout à travers le revenu ; enfin la nationalité varie peu (92 % de Français de naissance).</w:t>
      </w:r>
    </w:p>
    <w:p>
      <w:pPr>
        <w:pStyle w:val="Heading2"/>
      </w:pPr>
      <w:r>
        <w:t>2. Sélection de l’échantillon de travail</w:t>
      </w:r>
    </w:p>
    <w:p>
      <w:pPr>
        <w:pStyle w:val="Heading3"/>
      </w:pPr>
      <w:r>
        <w:t>2.1. Variables continues</w:t>
      </w:r>
    </w:p>
    <w:p>
      <w:pPr>
        <w:keepNext/>
        <w:spacing w:after="60"/>
        <w:jc w:val="left"/>
      </w:pPr>
      <w:r>
        <w:rPr>
          <w:b/>
          <w:sz w:val="21"/>
        </w:rPr>
        <w:t>Tableau 2 – Distribution des variables continues sur la base brute</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2494"/>
        <w:gridCol w:w="2041"/>
        <w:gridCol w:w="2268"/>
        <w:gridCol w:w="2268"/>
      </w:tblGrid>
      <w:tr>
        <w:trPr>
          <w:cantSplit/>
          <w:tblHeader/>
        </w:trPr>
        <w:tc>
          <w:tcPr>
            <w:tcW w:type="dxa" w:w="2494"/>
            <w:shd w:val="clear" w:color="auto" w:fill="E8ECF2"/>
            <w:vAlign w:val="center"/>
          </w:tcPr>
          <w:p>
            <w:pPr>
              <w:keepNext/>
              <w:spacing w:after="0" w:line="240" w:lineRule="auto"/>
              <w:jc w:val="left"/>
            </w:pPr>
            <w:r/>
            <w:r>
              <w:rPr>
                <w:b/>
                <w:i w:val="0"/>
                <w:sz w:val="17"/>
              </w:rPr>
              <w:t>Statistique</w:t>
            </w:r>
          </w:p>
        </w:tc>
        <w:tc>
          <w:tcPr>
            <w:tcW w:type="dxa" w:w="2041"/>
            <w:shd w:val="clear" w:color="auto" w:fill="E8ECF2"/>
            <w:vAlign w:val="center"/>
          </w:tcPr>
          <w:p>
            <w:pPr>
              <w:keepNext/>
              <w:spacing w:after="0" w:line="240" w:lineRule="auto"/>
              <w:jc w:val="center"/>
            </w:pPr>
            <w:r/>
            <w:r>
              <w:rPr>
                <w:b/>
                <w:i w:val="0"/>
                <w:sz w:val="17"/>
              </w:rPr>
              <w:t>Mensualités (euros)</w:t>
            </w:r>
          </w:p>
        </w:tc>
        <w:tc>
          <w:tcPr>
            <w:tcW w:type="dxa" w:w="2268"/>
            <w:shd w:val="clear" w:color="auto" w:fill="E8ECF2"/>
            <w:vAlign w:val="center"/>
          </w:tcPr>
          <w:p>
            <w:pPr>
              <w:keepNext/>
              <w:spacing w:after="0" w:line="240" w:lineRule="auto"/>
              <w:jc w:val="center"/>
            </w:pPr>
            <w:r/>
            <w:r>
              <w:rPr>
                <w:b/>
                <w:i w:val="0"/>
                <w:sz w:val="17"/>
              </w:rPr>
              <w:t>Âge de la personne de référence</w:t>
            </w:r>
          </w:p>
        </w:tc>
        <w:tc>
          <w:tcPr>
            <w:tcW w:type="dxa" w:w="2268"/>
            <w:shd w:val="clear" w:color="auto" w:fill="E8ECF2"/>
            <w:vAlign w:val="center"/>
          </w:tcPr>
          <w:p>
            <w:pPr>
              <w:keepNext/>
              <w:spacing w:after="0" w:line="240" w:lineRule="auto"/>
              <w:jc w:val="center"/>
            </w:pPr>
            <w:r/>
            <w:r>
              <w:rPr>
                <w:b/>
                <w:i w:val="0"/>
                <w:sz w:val="17"/>
              </w:rPr>
              <w:t>Revenu mensuel (euros)</w:t>
            </w:r>
          </w:p>
        </w:tc>
      </w:tr>
      <w:tr>
        <w:trPr>
          <w:cantSplit/>
        </w:trPr>
        <w:tc>
          <w:tcPr>
            <w:tcW w:type="dxa" w:w="2494"/>
            <w:vAlign w:val="center"/>
          </w:tcPr>
          <w:p>
            <w:pPr>
              <w:keepNext/>
              <w:spacing w:after="0" w:line="240" w:lineRule="auto"/>
              <w:jc w:val="left"/>
            </w:pPr>
            <w:r/>
            <w:r>
              <w:rPr>
                <w:b w:val="0"/>
                <w:i w:val="0"/>
                <w:sz w:val="17"/>
              </w:rPr>
              <w:t>Observations renseignées</w:t>
            </w:r>
          </w:p>
        </w:tc>
        <w:tc>
          <w:tcPr>
            <w:tcW w:type="dxa" w:w="2041"/>
            <w:vAlign w:val="center"/>
          </w:tcPr>
          <w:p>
            <w:pPr>
              <w:keepNext/>
              <w:spacing w:after="0" w:line="240" w:lineRule="auto"/>
              <w:jc w:val="center"/>
            </w:pPr>
            <w:r/>
            <w:r>
              <w:rPr>
                <w:b w:val="0"/>
                <w:i w:val="0"/>
                <w:sz w:val="17"/>
              </w:rPr>
              <w:t>4 198</w:t>
            </w:r>
          </w:p>
        </w:tc>
        <w:tc>
          <w:tcPr>
            <w:tcW w:type="dxa" w:w="2268"/>
            <w:vAlign w:val="center"/>
          </w:tcPr>
          <w:p>
            <w:pPr>
              <w:keepNext/>
              <w:spacing w:after="0" w:line="240" w:lineRule="auto"/>
              <w:jc w:val="center"/>
            </w:pPr>
            <w:r/>
            <w:r>
              <w:rPr>
                <w:b w:val="0"/>
                <w:i w:val="0"/>
                <w:sz w:val="17"/>
              </w:rPr>
              <w:t>4 195</w:t>
            </w:r>
          </w:p>
        </w:tc>
        <w:tc>
          <w:tcPr>
            <w:tcW w:type="dxa" w:w="2268"/>
            <w:vAlign w:val="center"/>
          </w:tcPr>
          <w:p>
            <w:pPr>
              <w:keepNext/>
              <w:spacing w:after="0" w:line="240" w:lineRule="auto"/>
              <w:jc w:val="center"/>
            </w:pPr>
            <w:r/>
            <w:r>
              <w:rPr>
                <w:b w:val="0"/>
                <w:i w:val="0"/>
                <w:sz w:val="17"/>
              </w:rPr>
              <w:t>3 697</w:t>
            </w:r>
          </w:p>
        </w:tc>
      </w:tr>
      <w:tr>
        <w:trPr>
          <w:cantSplit/>
        </w:trPr>
        <w:tc>
          <w:tcPr>
            <w:tcW w:type="dxa" w:w="2494"/>
            <w:vAlign w:val="center"/>
          </w:tcPr>
          <w:p>
            <w:pPr>
              <w:keepNext/>
              <w:spacing w:after="0" w:line="240" w:lineRule="auto"/>
              <w:jc w:val="left"/>
            </w:pPr>
            <w:r/>
            <w:r>
              <w:rPr>
                <w:b w:val="0"/>
                <w:i w:val="0"/>
                <w:sz w:val="17"/>
              </w:rPr>
              <w:t>Valeurs manquantes</w:t>
            </w:r>
          </w:p>
        </w:tc>
        <w:tc>
          <w:tcPr>
            <w:tcW w:type="dxa" w:w="2041"/>
            <w:vAlign w:val="center"/>
          </w:tcPr>
          <w:p>
            <w:pPr>
              <w:keepNext/>
              <w:spacing w:after="0" w:line="240" w:lineRule="auto"/>
              <w:jc w:val="center"/>
            </w:pPr>
            <w:r/>
            <w:r>
              <w:rPr>
                <w:b w:val="0"/>
                <w:i w:val="0"/>
                <w:sz w:val="17"/>
              </w:rPr>
              <w:t>0</w:t>
            </w:r>
          </w:p>
        </w:tc>
        <w:tc>
          <w:tcPr>
            <w:tcW w:type="dxa" w:w="2268"/>
            <w:vAlign w:val="center"/>
          </w:tcPr>
          <w:p>
            <w:pPr>
              <w:keepNext/>
              <w:spacing w:after="0" w:line="240" w:lineRule="auto"/>
              <w:jc w:val="center"/>
            </w:pPr>
            <w:r/>
            <w:r>
              <w:rPr>
                <w:b w:val="0"/>
                <w:i w:val="0"/>
                <w:sz w:val="17"/>
              </w:rPr>
              <w:t>3 (0,1 %)</w:t>
            </w:r>
          </w:p>
        </w:tc>
        <w:tc>
          <w:tcPr>
            <w:tcW w:type="dxa" w:w="2268"/>
            <w:vAlign w:val="center"/>
          </w:tcPr>
          <w:p>
            <w:pPr>
              <w:keepNext/>
              <w:spacing w:after="0" w:line="240" w:lineRule="auto"/>
              <w:jc w:val="center"/>
            </w:pPr>
            <w:r/>
            <w:r>
              <w:rPr>
                <w:b w:val="0"/>
                <w:i w:val="0"/>
                <w:sz w:val="17"/>
              </w:rPr>
              <w:t>501 (11,9 %)</w:t>
            </w:r>
          </w:p>
        </w:tc>
      </w:tr>
      <w:tr>
        <w:trPr>
          <w:cantSplit/>
        </w:trPr>
        <w:tc>
          <w:tcPr>
            <w:tcW w:type="dxa" w:w="2494"/>
            <w:vAlign w:val="center"/>
          </w:tcPr>
          <w:p>
            <w:pPr>
              <w:keepNext/>
              <w:spacing w:after="0" w:line="240" w:lineRule="auto"/>
              <w:jc w:val="left"/>
            </w:pPr>
            <w:r/>
            <w:r>
              <w:rPr>
                <w:b w:val="0"/>
                <w:i w:val="0"/>
                <w:sz w:val="17"/>
              </w:rPr>
              <w:t>Moyenne</w:t>
            </w:r>
          </w:p>
        </w:tc>
        <w:tc>
          <w:tcPr>
            <w:tcW w:type="dxa" w:w="2041"/>
            <w:vAlign w:val="center"/>
          </w:tcPr>
          <w:p>
            <w:pPr>
              <w:keepNext/>
              <w:spacing w:after="0" w:line="240" w:lineRule="auto"/>
              <w:jc w:val="center"/>
            </w:pPr>
            <w:r/>
            <w:r>
              <w:rPr>
                <w:b w:val="0"/>
                <w:i w:val="0"/>
                <w:sz w:val="17"/>
              </w:rPr>
              <w:t>736</w:t>
            </w:r>
          </w:p>
        </w:tc>
        <w:tc>
          <w:tcPr>
            <w:tcW w:type="dxa" w:w="2268"/>
            <w:vAlign w:val="center"/>
          </w:tcPr>
          <w:p>
            <w:pPr>
              <w:keepNext/>
              <w:spacing w:after="0" w:line="240" w:lineRule="auto"/>
              <w:jc w:val="center"/>
            </w:pPr>
            <w:r/>
            <w:r>
              <w:rPr>
                <w:b w:val="0"/>
                <w:i w:val="0"/>
                <w:sz w:val="17"/>
              </w:rPr>
              <w:t>48,6</w:t>
            </w:r>
          </w:p>
        </w:tc>
        <w:tc>
          <w:tcPr>
            <w:tcW w:type="dxa" w:w="2268"/>
            <w:vAlign w:val="center"/>
          </w:tcPr>
          <w:p>
            <w:pPr>
              <w:keepNext/>
              <w:spacing w:after="0" w:line="240" w:lineRule="auto"/>
              <w:jc w:val="center"/>
            </w:pPr>
            <w:r/>
            <w:r>
              <w:rPr>
                <w:b w:val="0"/>
                <w:i w:val="0"/>
                <w:sz w:val="17"/>
              </w:rPr>
              <w:t>3 369</w:t>
            </w:r>
          </w:p>
        </w:tc>
      </w:tr>
      <w:tr>
        <w:trPr>
          <w:cantSplit/>
        </w:trPr>
        <w:tc>
          <w:tcPr>
            <w:tcW w:type="dxa" w:w="2494"/>
            <w:vAlign w:val="center"/>
          </w:tcPr>
          <w:p>
            <w:pPr>
              <w:keepNext/>
              <w:spacing w:after="0" w:line="240" w:lineRule="auto"/>
              <w:jc w:val="left"/>
            </w:pPr>
            <w:r/>
            <w:r>
              <w:rPr>
                <w:b w:val="0"/>
                <w:i w:val="0"/>
                <w:sz w:val="17"/>
              </w:rPr>
              <w:t>Minimum</w:t>
            </w:r>
          </w:p>
        </w:tc>
        <w:tc>
          <w:tcPr>
            <w:tcW w:type="dxa" w:w="2041"/>
            <w:vAlign w:val="center"/>
          </w:tcPr>
          <w:p>
            <w:pPr>
              <w:keepNext/>
              <w:spacing w:after="0" w:line="240" w:lineRule="auto"/>
              <w:jc w:val="center"/>
            </w:pPr>
            <w:r/>
            <w:r>
              <w:rPr>
                <w:b w:val="0"/>
                <w:i w:val="0"/>
                <w:sz w:val="17"/>
              </w:rPr>
              <w:t>1</w:t>
            </w:r>
          </w:p>
        </w:tc>
        <w:tc>
          <w:tcPr>
            <w:tcW w:type="dxa" w:w="2268"/>
            <w:vAlign w:val="center"/>
          </w:tcPr>
          <w:p>
            <w:pPr>
              <w:keepNext/>
              <w:spacing w:after="0" w:line="240" w:lineRule="auto"/>
              <w:jc w:val="center"/>
            </w:pPr>
            <w:r/>
            <w:r>
              <w:rPr>
                <w:b w:val="0"/>
                <w:i w:val="0"/>
                <w:sz w:val="17"/>
              </w:rPr>
              <w:t>17</w:t>
            </w:r>
          </w:p>
        </w:tc>
        <w:tc>
          <w:tcPr>
            <w:tcW w:type="dxa" w:w="2268"/>
            <w:vAlign w:val="center"/>
          </w:tcPr>
          <w:p>
            <w:pPr>
              <w:keepNext/>
              <w:spacing w:after="0" w:line="240" w:lineRule="auto"/>
              <w:jc w:val="center"/>
            </w:pPr>
            <w:r/>
            <w:r>
              <w:rPr>
                <w:b w:val="0"/>
                <w:i w:val="0"/>
                <w:sz w:val="17"/>
              </w:rPr>
              <w:t>1</w:t>
            </w:r>
          </w:p>
        </w:tc>
      </w:tr>
      <w:tr>
        <w:trPr>
          <w:cantSplit/>
        </w:trPr>
        <w:tc>
          <w:tcPr>
            <w:tcW w:type="dxa" w:w="2494"/>
            <w:vAlign w:val="center"/>
          </w:tcPr>
          <w:p>
            <w:pPr>
              <w:keepNext/>
              <w:spacing w:after="0" w:line="240" w:lineRule="auto"/>
              <w:jc w:val="left"/>
            </w:pPr>
            <w:r/>
            <w:r>
              <w:rPr>
                <w:b w:val="0"/>
                <w:i w:val="0"/>
                <w:sz w:val="17"/>
              </w:rPr>
              <w:t>1er centile</w:t>
            </w:r>
          </w:p>
        </w:tc>
        <w:tc>
          <w:tcPr>
            <w:tcW w:type="dxa" w:w="2041"/>
            <w:vAlign w:val="center"/>
          </w:tcPr>
          <w:p>
            <w:pPr>
              <w:keepNext/>
              <w:spacing w:after="0" w:line="240" w:lineRule="auto"/>
              <w:jc w:val="center"/>
            </w:pPr>
            <w:r/>
            <w:r>
              <w:rPr>
                <w:b w:val="0"/>
                <w:i w:val="0"/>
                <w:sz w:val="17"/>
              </w:rPr>
              <w:t>35</w:t>
            </w:r>
          </w:p>
        </w:tc>
        <w:tc>
          <w:tcPr>
            <w:tcW w:type="dxa" w:w="2268"/>
            <w:vAlign w:val="center"/>
          </w:tcPr>
          <w:p>
            <w:pPr>
              <w:keepNext/>
              <w:spacing w:after="0" w:line="240" w:lineRule="auto"/>
              <w:jc w:val="center"/>
            </w:pPr>
            <w:r/>
            <w:r>
              <w:rPr>
                <w:b w:val="0"/>
                <w:i w:val="0"/>
                <w:sz w:val="17"/>
              </w:rPr>
              <w:t>24</w:t>
            </w:r>
          </w:p>
        </w:tc>
        <w:tc>
          <w:tcPr>
            <w:tcW w:type="dxa" w:w="2268"/>
            <w:vAlign w:val="center"/>
          </w:tcPr>
          <w:p>
            <w:pPr>
              <w:keepNext/>
              <w:spacing w:after="0" w:line="240" w:lineRule="auto"/>
              <w:jc w:val="center"/>
            </w:pPr>
            <w:r/>
            <w:r>
              <w:rPr>
                <w:b w:val="0"/>
                <w:i w:val="0"/>
                <w:sz w:val="17"/>
              </w:rPr>
              <w:t>880</w:t>
            </w:r>
          </w:p>
        </w:tc>
      </w:tr>
      <w:tr>
        <w:trPr>
          <w:cantSplit/>
        </w:trPr>
        <w:tc>
          <w:tcPr>
            <w:tcW w:type="dxa" w:w="2494"/>
            <w:vAlign w:val="center"/>
          </w:tcPr>
          <w:p>
            <w:pPr>
              <w:keepNext/>
              <w:spacing w:after="0" w:line="240" w:lineRule="auto"/>
              <w:jc w:val="left"/>
            </w:pPr>
            <w:r/>
            <w:r>
              <w:rPr>
                <w:b w:val="0"/>
                <w:i w:val="0"/>
                <w:sz w:val="17"/>
              </w:rPr>
              <w:t>Médiane</w:t>
            </w:r>
          </w:p>
        </w:tc>
        <w:tc>
          <w:tcPr>
            <w:tcW w:type="dxa" w:w="2041"/>
            <w:vAlign w:val="center"/>
          </w:tcPr>
          <w:p>
            <w:pPr>
              <w:keepNext/>
              <w:spacing w:after="0" w:line="240" w:lineRule="auto"/>
              <w:jc w:val="center"/>
            </w:pPr>
            <w:r/>
            <w:r>
              <w:rPr>
                <w:b w:val="0"/>
                <w:i w:val="0"/>
                <w:sz w:val="17"/>
              </w:rPr>
              <w:t>562</w:t>
            </w:r>
          </w:p>
        </w:tc>
        <w:tc>
          <w:tcPr>
            <w:tcW w:type="dxa" w:w="2268"/>
            <w:vAlign w:val="center"/>
          </w:tcPr>
          <w:p>
            <w:pPr>
              <w:keepNext/>
              <w:spacing w:after="0" w:line="240" w:lineRule="auto"/>
              <w:jc w:val="center"/>
            </w:pPr>
            <w:r/>
            <w:r>
              <w:rPr>
                <w:b w:val="0"/>
                <w:i w:val="0"/>
                <w:sz w:val="17"/>
              </w:rPr>
              <w:t>48</w:t>
            </w:r>
          </w:p>
        </w:tc>
        <w:tc>
          <w:tcPr>
            <w:tcW w:type="dxa" w:w="2268"/>
            <w:vAlign w:val="center"/>
          </w:tcPr>
          <w:p>
            <w:pPr>
              <w:keepNext/>
              <w:spacing w:after="0" w:line="240" w:lineRule="auto"/>
              <w:jc w:val="center"/>
            </w:pPr>
            <w:r/>
            <w:r>
              <w:rPr>
                <w:b w:val="0"/>
                <w:i w:val="0"/>
                <w:sz w:val="17"/>
              </w:rPr>
              <w:t>3 000</w:t>
            </w:r>
          </w:p>
        </w:tc>
      </w:tr>
      <w:tr>
        <w:trPr>
          <w:cantSplit/>
        </w:trPr>
        <w:tc>
          <w:tcPr>
            <w:tcW w:type="dxa" w:w="2494"/>
            <w:vAlign w:val="center"/>
          </w:tcPr>
          <w:p>
            <w:pPr>
              <w:keepNext/>
              <w:spacing w:after="0" w:line="240" w:lineRule="auto"/>
              <w:jc w:val="left"/>
            </w:pPr>
            <w:r/>
            <w:r>
              <w:rPr>
                <w:b w:val="0"/>
                <w:i w:val="0"/>
                <w:sz w:val="17"/>
              </w:rPr>
              <w:t>99e centile</w:t>
            </w:r>
          </w:p>
        </w:tc>
        <w:tc>
          <w:tcPr>
            <w:tcW w:type="dxa" w:w="2041"/>
            <w:vAlign w:val="center"/>
          </w:tcPr>
          <w:p>
            <w:pPr>
              <w:keepNext/>
              <w:spacing w:after="0" w:line="240" w:lineRule="auto"/>
              <w:jc w:val="center"/>
            </w:pPr>
            <w:r/>
            <w:r>
              <w:rPr>
                <w:b w:val="0"/>
                <w:i w:val="0"/>
                <w:sz w:val="17"/>
              </w:rPr>
              <w:t>3 767</w:t>
            </w:r>
          </w:p>
        </w:tc>
        <w:tc>
          <w:tcPr>
            <w:tcW w:type="dxa" w:w="2268"/>
            <w:vAlign w:val="center"/>
          </w:tcPr>
          <w:p>
            <w:pPr>
              <w:keepNext/>
              <w:spacing w:after="0" w:line="240" w:lineRule="auto"/>
              <w:jc w:val="center"/>
            </w:pPr>
            <w:r/>
            <w:r>
              <w:rPr>
                <w:b w:val="0"/>
                <w:i w:val="0"/>
                <w:sz w:val="17"/>
              </w:rPr>
              <w:t>80</w:t>
            </w:r>
          </w:p>
        </w:tc>
        <w:tc>
          <w:tcPr>
            <w:tcW w:type="dxa" w:w="2268"/>
            <w:vAlign w:val="center"/>
          </w:tcPr>
          <w:p>
            <w:pPr>
              <w:keepNext/>
              <w:spacing w:after="0" w:line="240" w:lineRule="auto"/>
              <w:jc w:val="center"/>
            </w:pPr>
            <w:r/>
            <w:r>
              <w:rPr>
                <w:b w:val="0"/>
                <w:i w:val="0"/>
                <w:sz w:val="17"/>
              </w:rPr>
              <w:t>10 770</w:t>
            </w:r>
          </w:p>
        </w:tc>
      </w:tr>
      <w:tr>
        <w:trPr>
          <w:cantSplit/>
        </w:trPr>
        <w:tc>
          <w:tcPr>
            <w:tcW w:type="dxa" w:w="2494"/>
            <w:vAlign w:val="center"/>
          </w:tcPr>
          <w:p>
            <w:pPr>
              <w:keepNext/>
              <w:spacing w:after="0" w:line="240" w:lineRule="auto"/>
              <w:jc w:val="left"/>
            </w:pPr>
            <w:r/>
            <w:r>
              <w:rPr>
                <w:b w:val="0"/>
                <w:i w:val="0"/>
                <w:sz w:val="17"/>
              </w:rPr>
              <w:t>Maximum</w:t>
            </w:r>
          </w:p>
        </w:tc>
        <w:tc>
          <w:tcPr>
            <w:tcW w:type="dxa" w:w="2041"/>
            <w:vAlign w:val="center"/>
          </w:tcPr>
          <w:p>
            <w:pPr>
              <w:keepNext/>
              <w:spacing w:after="0" w:line="240" w:lineRule="auto"/>
              <w:jc w:val="center"/>
            </w:pPr>
            <w:r/>
            <w:r>
              <w:rPr>
                <w:b w:val="0"/>
                <w:i w:val="0"/>
                <w:sz w:val="17"/>
              </w:rPr>
              <w:t>15 672</w:t>
            </w:r>
          </w:p>
        </w:tc>
        <w:tc>
          <w:tcPr>
            <w:tcW w:type="dxa" w:w="2268"/>
            <w:vAlign w:val="center"/>
          </w:tcPr>
          <w:p>
            <w:pPr>
              <w:keepNext/>
              <w:spacing w:after="0" w:line="240" w:lineRule="auto"/>
              <w:jc w:val="center"/>
            </w:pPr>
            <w:r/>
            <w:r>
              <w:rPr>
                <w:b w:val="0"/>
                <w:i w:val="0"/>
                <w:sz w:val="17"/>
              </w:rPr>
              <w:t>94</w:t>
            </w:r>
          </w:p>
        </w:tc>
        <w:tc>
          <w:tcPr>
            <w:tcW w:type="dxa" w:w="2268"/>
            <w:vAlign w:val="center"/>
          </w:tcPr>
          <w:p>
            <w:pPr>
              <w:keepNext/>
              <w:spacing w:after="0" w:line="240" w:lineRule="auto"/>
              <w:jc w:val="center"/>
            </w:pPr>
            <w:r/>
            <w:r>
              <w:rPr>
                <w:b w:val="0"/>
                <w:i w:val="0"/>
                <w:sz w:val="17"/>
              </w:rPr>
              <w:t>25 284</w:t>
            </w:r>
          </w:p>
        </w:tc>
      </w:tr>
      <w:tr>
        <w:trPr>
          <w:cantSplit/>
        </w:trPr>
        <w:tc>
          <w:tcPr>
            <w:tcW w:type="dxa" w:w="2494"/>
            <w:vAlign w:val="center"/>
          </w:tcPr>
          <w:p>
            <w:pPr>
              <w:keepNext/>
              <w:spacing w:after="0" w:line="240" w:lineRule="auto"/>
              <w:jc w:val="left"/>
            </w:pPr>
            <w:r/>
            <w:r>
              <w:rPr>
                <w:b w:val="0"/>
                <w:i w:val="0"/>
                <w:sz w:val="17"/>
              </w:rPr>
              <w:t>Skewness</w:t>
            </w:r>
          </w:p>
        </w:tc>
        <w:tc>
          <w:tcPr>
            <w:tcW w:type="dxa" w:w="2041"/>
            <w:vAlign w:val="center"/>
          </w:tcPr>
          <w:p>
            <w:pPr>
              <w:keepNext/>
              <w:spacing w:after="0" w:line="240" w:lineRule="auto"/>
              <w:jc w:val="center"/>
            </w:pPr>
            <w:r/>
            <w:r>
              <w:rPr>
                <w:b w:val="0"/>
                <w:i w:val="0"/>
                <w:sz w:val="17"/>
              </w:rPr>
              <w:t>5,48</w:t>
            </w:r>
          </w:p>
        </w:tc>
        <w:tc>
          <w:tcPr>
            <w:tcW w:type="dxa" w:w="2268"/>
            <w:vAlign w:val="center"/>
          </w:tcPr>
          <w:p>
            <w:pPr>
              <w:keepNext/>
              <w:spacing w:after="0" w:line="240" w:lineRule="auto"/>
              <w:jc w:val="center"/>
            </w:pPr>
            <w:r/>
            <w:r>
              <w:rPr>
                <w:b w:val="0"/>
                <w:i w:val="0"/>
                <w:sz w:val="17"/>
              </w:rPr>
              <w:t>0,29</w:t>
            </w:r>
          </w:p>
        </w:tc>
        <w:tc>
          <w:tcPr>
            <w:tcW w:type="dxa" w:w="2268"/>
            <w:vAlign w:val="center"/>
          </w:tcPr>
          <w:p>
            <w:pPr>
              <w:keepNext/>
              <w:spacing w:after="0" w:line="240" w:lineRule="auto"/>
              <w:jc w:val="center"/>
            </w:pPr>
            <w:r/>
            <w:r>
              <w:rPr>
                <w:b w:val="0"/>
                <w:i w:val="0"/>
                <w:sz w:val="17"/>
              </w:rPr>
              <w:t>2,71</w:t>
            </w:r>
          </w:p>
        </w:tc>
      </w:tr>
      <w:tr>
        <w:trPr>
          <w:cantSplit/>
        </w:trPr>
        <w:tc>
          <w:tcPr>
            <w:tcW w:type="dxa" w:w="2494"/>
            <w:vAlign w:val="center"/>
          </w:tcPr>
          <w:p>
            <w:pPr>
              <w:keepNext/>
              <w:spacing w:after="0" w:line="240" w:lineRule="auto"/>
              <w:jc w:val="left"/>
            </w:pPr>
            <w:r/>
            <w:r>
              <w:rPr>
                <w:b w:val="0"/>
                <w:i w:val="0"/>
                <w:sz w:val="17"/>
              </w:rPr>
              <w:t>Kurtosis</w:t>
            </w:r>
          </w:p>
        </w:tc>
        <w:tc>
          <w:tcPr>
            <w:tcW w:type="dxa" w:w="2041"/>
            <w:vAlign w:val="center"/>
          </w:tcPr>
          <w:p>
            <w:pPr>
              <w:keepNext/>
              <w:spacing w:after="0" w:line="240" w:lineRule="auto"/>
              <w:jc w:val="center"/>
            </w:pPr>
            <w:r/>
            <w:r>
              <w:rPr>
                <w:b w:val="0"/>
                <w:i w:val="0"/>
                <w:sz w:val="17"/>
              </w:rPr>
              <w:t>66,66</w:t>
            </w:r>
          </w:p>
        </w:tc>
        <w:tc>
          <w:tcPr>
            <w:tcW w:type="dxa" w:w="2268"/>
            <w:vAlign w:val="center"/>
          </w:tcPr>
          <w:p>
            <w:pPr>
              <w:keepNext/>
              <w:spacing w:after="0" w:line="240" w:lineRule="auto"/>
              <w:jc w:val="center"/>
            </w:pPr>
            <w:r/>
            <w:r>
              <w:rPr>
                <w:b w:val="0"/>
                <w:i w:val="0"/>
                <w:sz w:val="17"/>
              </w:rPr>
              <w:t>2,54</w:t>
            </w:r>
          </w:p>
        </w:tc>
        <w:tc>
          <w:tcPr>
            <w:tcW w:type="dxa" w:w="2268"/>
            <w:vAlign w:val="center"/>
          </w:tcPr>
          <w:p>
            <w:pPr>
              <w:keepNext/>
              <w:spacing w:after="0" w:line="240" w:lineRule="auto"/>
              <w:jc w:val="center"/>
            </w:pPr>
            <w:r/>
            <w:r>
              <w:rPr>
                <w:b w:val="0"/>
                <w:i w:val="0"/>
                <w:sz w:val="17"/>
              </w:rPr>
              <w:t>18,43</w:t>
            </w:r>
          </w:p>
        </w:tc>
      </w:tr>
    </w:tbl>
    <w:p>
      <w:pPr>
        <w:spacing w:after="200"/>
        <w:jc w:val="left"/>
      </w:pPr>
      <w:r>
        <w:rPr>
          <w:i/>
          <w:sz w:val="18"/>
        </w:rPr>
        <w:t>Source : INSEE, SRCV 2015 (base SRCV1_menage), base brute (4 198 ménages). Commandes : sum credits, d ; sum agepr, d ; sum totreven, d.</w:t>
      </w:r>
    </w:p>
    <w:p>
      <w:pPr>
        <w:jc w:val="both"/>
      </w:pPr>
      <w:r>
        <w:rPr>
          <w:b/>
        </w:rPr>
        <w:t>Mensualités.</w:t>
      </w:r>
      <w:r>
        <w:t xml:space="preserve"> Il n’y a aucune valeur manquante, mais des valeurs extrêmes : quatre ménages déclarent rembourser 1 ou 2 euros par mois, et le maximum atteint 15 672 euros, près de 28 fois la médiane (kurtosis de 66,66). Comme en TD, nous gardons les ménages compris entre le 1er centile (35 €) et le 99e centile (3 767 €), ce qui supprime 81 observations.</w:t>
      </w:r>
    </w:p>
    <w:p>
      <w:pPr>
        <w:jc w:val="both"/>
      </w:pPr>
      <w:r>
        <w:rPr>
          <w:b/>
        </w:rPr>
        <w:t>Âge.</w:t>
      </w:r>
      <w:r>
        <w:t xml:space="preserve"> Les 3 valeurs manquantes (0,1 %) sont supprimées, ainsi qu’une personne de référence de 17 ans : un mineur ne peut en principe pas emprunter. Les âges élevés sont rares mais plausibles.</w:t>
      </w:r>
    </w:p>
    <w:p>
      <w:pPr>
        <w:jc w:val="both"/>
      </w:pPr>
      <w:r>
        <w:rPr>
          <w:b/>
        </w:rPr>
        <w:t>Revenu.</w:t>
      </w:r>
      <w:r>
        <w:t xml:space="preserve"> 501 valeurs manquent, soit 11,9 % de la base, au-delà du seuil de 5 %. Le revenu étant notre variable d’intérêt, nous ne voulons ni l’abandonner ni perdre 12 % des ménages : il sera introduit </w:t>
      </w:r>
      <w:r>
        <w:rPr>
          <w:b/>
        </w:rPr>
        <w:t>en tranches, avec une tranche « revenu non déclaré »</w:t>
      </w:r>
      <w:r>
        <w:t>. Nous supprimons en revanche les revenus inférieurs à 500 € (150 et 300 € ; le ménage déclarant 1 € a déjà été supprimé avec les mensualités), peu crédibles pour des ménages endettés, ainsi que les 3 ménages dont les mensualités dépassent le revenu mensuel (par exemple 2 919 € pour 1 200 € de revenu).</w:t>
      </w:r>
    </w:p>
    <w:p>
      <w:pPr>
        <w:pStyle w:val="Heading3"/>
      </w:pPr>
      <w:r>
        <w:t>2.2. Variables qualitatives</w:t>
      </w:r>
    </w:p>
    <w:p>
      <w:pPr>
        <w:keepNext/>
        <w:spacing w:after="60"/>
        <w:jc w:val="left"/>
      </w:pPr>
      <w:r>
        <w:rPr>
          <w:b/>
          <w:sz w:val="21"/>
        </w:rPr>
        <w:t>Tableau 3 – Statut d’occupation et crédit immobilier sur la résidence principale (base brute)</w:t>
      </w:r>
    </w:p>
    <w:tbl>
      <w:tblPr>
        <w:tblW w:type="dxa" w:w="8618"/>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3288"/>
        <w:gridCol w:w="1927"/>
        <w:gridCol w:w="1927"/>
        <w:gridCol w:w="1474"/>
      </w:tblGrid>
      <w:tr>
        <w:trPr>
          <w:cantSplit/>
          <w:tblHeader/>
        </w:trPr>
        <w:tc>
          <w:tcPr>
            <w:tcW w:type="dxa" w:w="3288"/>
            <w:shd w:val="clear" w:color="auto" w:fill="E8ECF2"/>
            <w:vAlign w:val="center"/>
          </w:tcPr>
          <w:p>
            <w:pPr>
              <w:keepNext/>
              <w:spacing w:after="0" w:line="240" w:lineRule="auto"/>
              <w:jc w:val="left"/>
            </w:pPr>
            <w:r/>
            <w:r>
              <w:rPr>
                <w:b/>
                <w:i w:val="0"/>
                <w:sz w:val="17"/>
              </w:rPr>
              <w:t>Statut d’occupation</w:t>
            </w:r>
          </w:p>
        </w:tc>
        <w:tc>
          <w:tcPr>
            <w:tcW w:type="dxa" w:w="1927"/>
            <w:shd w:val="clear" w:color="auto" w:fill="E8ECF2"/>
            <w:vAlign w:val="center"/>
          </w:tcPr>
          <w:p>
            <w:pPr>
              <w:keepNext/>
              <w:spacing w:after="0" w:line="240" w:lineRule="auto"/>
              <w:jc w:val="center"/>
            </w:pPr>
            <w:r/>
            <w:r>
              <w:rPr>
                <w:b/>
                <w:i w:val="0"/>
                <w:sz w:val="17"/>
              </w:rPr>
              <w:t>Sans crédit immobilier</w:t>
            </w:r>
          </w:p>
        </w:tc>
        <w:tc>
          <w:tcPr>
            <w:tcW w:type="dxa" w:w="1927"/>
            <w:shd w:val="clear" w:color="auto" w:fill="E8ECF2"/>
            <w:vAlign w:val="center"/>
          </w:tcPr>
          <w:p>
            <w:pPr>
              <w:keepNext/>
              <w:spacing w:after="0" w:line="240" w:lineRule="auto"/>
              <w:jc w:val="center"/>
            </w:pPr>
            <w:r/>
            <w:r>
              <w:rPr>
                <w:b/>
                <w:i w:val="0"/>
                <w:sz w:val="17"/>
              </w:rPr>
              <w:t>Avec crédit immobilier</w:t>
            </w:r>
          </w:p>
        </w:tc>
        <w:tc>
          <w:tcPr>
            <w:tcW w:type="dxa" w:w="1474"/>
            <w:shd w:val="clear" w:color="auto" w:fill="E8ECF2"/>
            <w:vAlign w:val="center"/>
          </w:tcPr>
          <w:p>
            <w:pPr>
              <w:keepNext/>
              <w:spacing w:after="0" w:line="240" w:lineRule="auto"/>
              <w:jc w:val="center"/>
            </w:pPr>
            <w:r/>
            <w:r>
              <w:rPr>
                <w:b/>
                <w:i w:val="0"/>
                <w:sz w:val="17"/>
              </w:rPr>
              <w:t>Total</w:t>
            </w:r>
          </w:p>
        </w:tc>
      </w:tr>
      <w:tr>
        <w:trPr>
          <w:cantSplit/>
        </w:trPr>
        <w:tc>
          <w:tcPr>
            <w:tcW w:type="dxa" w:w="3288"/>
            <w:vAlign w:val="center"/>
          </w:tcPr>
          <w:p>
            <w:pPr>
              <w:keepNext/>
              <w:spacing w:after="0" w:line="240" w:lineRule="auto"/>
              <w:jc w:val="left"/>
            </w:pPr>
            <w:r/>
            <w:r>
              <w:rPr>
                <w:b w:val="0"/>
                <w:i w:val="0"/>
                <w:sz w:val="17"/>
              </w:rPr>
              <w:t>Propriétaire</w:t>
            </w:r>
          </w:p>
        </w:tc>
        <w:tc>
          <w:tcPr>
            <w:tcW w:type="dxa" w:w="1927"/>
            <w:vAlign w:val="center"/>
          </w:tcPr>
          <w:p>
            <w:pPr>
              <w:keepNext/>
              <w:spacing w:after="0" w:line="240" w:lineRule="auto"/>
              <w:jc w:val="center"/>
            </w:pPr>
            <w:r/>
            <w:r>
              <w:rPr>
                <w:b w:val="0"/>
                <w:i w:val="0"/>
                <w:sz w:val="17"/>
              </w:rPr>
              <w:t>788</w:t>
            </w:r>
          </w:p>
        </w:tc>
        <w:tc>
          <w:tcPr>
            <w:tcW w:type="dxa" w:w="1927"/>
            <w:vAlign w:val="center"/>
          </w:tcPr>
          <w:p>
            <w:pPr>
              <w:keepNext/>
              <w:spacing w:after="0" w:line="240" w:lineRule="auto"/>
              <w:jc w:val="center"/>
            </w:pPr>
            <w:r/>
            <w:r>
              <w:rPr>
                <w:b w:val="0"/>
                <w:i w:val="0"/>
                <w:sz w:val="17"/>
              </w:rPr>
              <w:t>2 364</w:t>
            </w:r>
          </w:p>
        </w:tc>
        <w:tc>
          <w:tcPr>
            <w:tcW w:type="dxa" w:w="1474"/>
            <w:vAlign w:val="center"/>
          </w:tcPr>
          <w:p>
            <w:pPr>
              <w:keepNext/>
              <w:spacing w:after="0" w:line="240" w:lineRule="auto"/>
              <w:jc w:val="center"/>
            </w:pPr>
            <w:r/>
            <w:r>
              <w:rPr>
                <w:b w:val="0"/>
                <w:i w:val="0"/>
                <w:sz w:val="17"/>
              </w:rPr>
              <w:t>3 152</w:t>
            </w:r>
          </w:p>
        </w:tc>
      </w:tr>
      <w:tr>
        <w:trPr>
          <w:cantSplit/>
        </w:trPr>
        <w:tc>
          <w:tcPr>
            <w:tcW w:type="dxa" w:w="3288"/>
            <w:vAlign w:val="center"/>
          </w:tcPr>
          <w:p>
            <w:pPr>
              <w:keepNext/>
              <w:spacing w:after="0" w:line="240" w:lineRule="auto"/>
              <w:jc w:val="left"/>
            </w:pPr>
            <w:r/>
            <w:r>
              <w:rPr>
                <w:b w:val="0"/>
                <w:i w:val="0"/>
                <w:sz w:val="17"/>
              </w:rPr>
              <w:t>Locataire ou sous-locataire</w:t>
            </w:r>
          </w:p>
        </w:tc>
        <w:tc>
          <w:tcPr>
            <w:tcW w:type="dxa" w:w="1927"/>
            <w:vAlign w:val="center"/>
          </w:tcPr>
          <w:p>
            <w:pPr>
              <w:keepNext/>
              <w:spacing w:after="0" w:line="240" w:lineRule="auto"/>
              <w:jc w:val="center"/>
            </w:pPr>
            <w:r/>
            <w:r>
              <w:rPr>
                <w:b w:val="0"/>
                <w:i w:val="0"/>
                <w:sz w:val="17"/>
              </w:rPr>
              <w:t>971</w:t>
            </w:r>
          </w:p>
        </w:tc>
        <w:tc>
          <w:tcPr>
            <w:tcW w:type="dxa" w:w="1927"/>
            <w:vAlign w:val="center"/>
          </w:tcPr>
          <w:p>
            <w:pPr>
              <w:keepNext/>
              <w:spacing w:after="0" w:line="240" w:lineRule="auto"/>
              <w:jc w:val="center"/>
            </w:pPr>
            <w:r/>
            <w:r>
              <w:rPr>
                <w:b w:val="0"/>
                <w:i w:val="0"/>
                <w:sz w:val="17"/>
              </w:rPr>
              <w:t>0</w:t>
            </w:r>
          </w:p>
        </w:tc>
        <w:tc>
          <w:tcPr>
            <w:tcW w:type="dxa" w:w="1474"/>
            <w:vAlign w:val="center"/>
          </w:tcPr>
          <w:p>
            <w:pPr>
              <w:keepNext/>
              <w:spacing w:after="0" w:line="240" w:lineRule="auto"/>
              <w:jc w:val="center"/>
            </w:pPr>
            <w:r/>
            <w:r>
              <w:rPr>
                <w:b w:val="0"/>
                <w:i w:val="0"/>
                <w:sz w:val="17"/>
              </w:rPr>
              <w:t>971</w:t>
            </w:r>
          </w:p>
        </w:tc>
      </w:tr>
      <w:tr>
        <w:trPr>
          <w:cantSplit/>
        </w:trPr>
        <w:tc>
          <w:tcPr>
            <w:tcW w:type="dxa" w:w="3288"/>
            <w:vAlign w:val="center"/>
          </w:tcPr>
          <w:p>
            <w:pPr>
              <w:keepNext/>
              <w:spacing w:after="0" w:line="240" w:lineRule="auto"/>
              <w:jc w:val="left"/>
            </w:pPr>
            <w:r/>
            <w:r>
              <w:rPr>
                <w:b w:val="0"/>
                <w:i w:val="0"/>
                <w:sz w:val="17"/>
              </w:rPr>
              <w:t>Logé gratuitement</w:t>
            </w:r>
          </w:p>
        </w:tc>
        <w:tc>
          <w:tcPr>
            <w:tcW w:type="dxa" w:w="1927"/>
            <w:vAlign w:val="center"/>
          </w:tcPr>
          <w:p>
            <w:pPr>
              <w:keepNext/>
              <w:spacing w:after="0" w:line="240" w:lineRule="auto"/>
              <w:jc w:val="center"/>
            </w:pPr>
            <w:r/>
            <w:r>
              <w:rPr>
                <w:b w:val="0"/>
                <w:i w:val="0"/>
                <w:sz w:val="17"/>
              </w:rPr>
              <w:t>75</w:t>
            </w:r>
          </w:p>
        </w:tc>
        <w:tc>
          <w:tcPr>
            <w:tcW w:type="dxa" w:w="1927"/>
            <w:vAlign w:val="center"/>
          </w:tcPr>
          <w:p>
            <w:pPr>
              <w:keepNext/>
              <w:spacing w:after="0" w:line="240" w:lineRule="auto"/>
              <w:jc w:val="center"/>
            </w:pPr>
            <w:r/>
            <w:r>
              <w:rPr>
                <w:b w:val="0"/>
                <w:i w:val="0"/>
                <w:sz w:val="17"/>
              </w:rPr>
              <w:t>0</w:t>
            </w:r>
          </w:p>
        </w:tc>
        <w:tc>
          <w:tcPr>
            <w:tcW w:type="dxa" w:w="1474"/>
            <w:vAlign w:val="center"/>
          </w:tcPr>
          <w:p>
            <w:pPr>
              <w:keepNext/>
              <w:spacing w:after="0" w:line="240" w:lineRule="auto"/>
              <w:jc w:val="center"/>
            </w:pPr>
            <w:r/>
            <w:r>
              <w:rPr>
                <w:b w:val="0"/>
                <w:i w:val="0"/>
                <w:sz w:val="17"/>
              </w:rPr>
              <w:t>75</w:t>
            </w:r>
          </w:p>
        </w:tc>
      </w:tr>
      <w:tr>
        <w:trPr>
          <w:cantSplit/>
        </w:trPr>
        <w:tc>
          <w:tcPr>
            <w:tcW w:type="dxa" w:w="3288"/>
            <w:vAlign w:val="center"/>
          </w:tcPr>
          <w:p>
            <w:pPr>
              <w:keepNext/>
              <w:spacing w:after="0" w:line="240" w:lineRule="auto"/>
              <w:jc w:val="left"/>
            </w:pPr>
            <w:r/>
            <w:r>
              <w:rPr>
                <w:b w:val="0"/>
                <w:i w:val="0"/>
                <w:sz w:val="17"/>
              </w:rPr>
              <w:t>Total</w:t>
            </w:r>
          </w:p>
        </w:tc>
        <w:tc>
          <w:tcPr>
            <w:tcW w:type="dxa" w:w="1927"/>
            <w:vAlign w:val="center"/>
          </w:tcPr>
          <w:p>
            <w:pPr>
              <w:keepNext/>
              <w:spacing w:after="0" w:line="240" w:lineRule="auto"/>
              <w:jc w:val="center"/>
            </w:pPr>
            <w:r/>
            <w:r>
              <w:rPr>
                <w:b w:val="0"/>
                <w:i w:val="0"/>
                <w:sz w:val="17"/>
              </w:rPr>
              <w:t>1 834</w:t>
            </w:r>
          </w:p>
        </w:tc>
        <w:tc>
          <w:tcPr>
            <w:tcW w:type="dxa" w:w="1927"/>
            <w:vAlign w:val="center"/>
          </w:tcPr>
          <w:p>
            <w:pPr>
              <w:keepNext/>
              <w:spacing w:after="0" w:line="240" w:lineRule="auto"/>
              <w:jc w:val="center"/>
            </w:pPr>
            <w:r/>
            <w:r>
              <w:rPr>
                <w:b w:val="0"/>
                <w:i w:val="0"/>
                <w:sz w:val="17"/>
              </w:rPr>
              <w:t>2 364</w:t>
            </w:r>
          </w:p>
        </w:tc>
        <w:tc>
          <w:tcPr>
            <w:tcW w:type="dxa" w:w="1474"/>
            <w:vAlign w:val="center"/>
          </w:tcPr>
          <w:p>
            <w:pPr>
              <w:keepNext/>
              <w:spacing w:after="0" w:line="240" w:lineRule="auto"/>
              <w:jc w:val="center"/>
            </w:pPr>
            <w:r/>
            <w:r>
              <w:rPr>
                <w:b w:val="0"/>
                <w:i w:val="0"/>
                <w:sz w:val="17"/>
              </w:rPr>
              <w:t>4 198</w:t>
            </w:r>
          </w:p>
        </w:tc>
      </w:tr>
    </w:tbl>
    <w:p>
      <w:pPr>
        <w:spacing w:after="200"/>
        <w:jc w:val="left"/>
      </w:pPr>
      <w:r>
        <w:rPr>
          <w:i/>
          <w:sz w:val="18"/>
        </w:rPr>
        <w:t>Source : INSEE, SRCV 2015 (base SRCV1_menage), base brute (4 198 ménages). Commande : tab sto credit_immo, m.</w:t>
      </w:r>
    </w:p>
    <w:p>
      <w:pPr>
        <w:keepNext/>
        <w:spacing w:after="60"/>
        <w:jc w:val="left"/>
      </w:pPr>
      <w:r>
        <w:rPr>
          <w:b/>
          <w:sz w:val="21"/>
        </w:rPr>
        <w:t>Tableau 4 – Fréquences des autres variables qualitatives sur la base brute</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2778"/>
        <w:gridCol w:w="737"/>
        <w:gridCol w:w="567"/>
        <w:gridCol w:w="3685"/>
        <w:gridCol w:w="737"/>
        <w:gridCol w:w="567"/>
      </w:tblGrid>
      <w:tr>
        <w:trPr>
          <w:cantSplit/>
          <w:tblHeader/>
        </w:trPr>
        <w:tc>
          <w:tcPr>
            <w:tcW w:type="dxa" w:w="2778"/>
            <w:shd w:val="clear" w:color="auto" w:fill="E8ECF2"/>
            <w:vAlign w:val="center"/>
          </w:tcPr>
          <w:p>
            <w:pPr>
              <w:spacing w:after="0" w:line="240" w:lineRule="auto"/>
              <w:jc w:val="left"/>
            </w:pPr>
            <w:r/>
            <w:r>
              <w:rPr>
                <w:b/>
                <w:i w:val="0"/>
                <w:sz w:val="15"/>
              </w:rPr>
              <w:t>Modalité</w:t>
            </w:r>
          </w:p>
        </w:tc>
        <w:tc>
          <w:tcPr>
            <w:tcW w:type="dxa" w:w="737"/>
            <w:shd w:val="clear" w:color="auto" w:fill="E8ECF2"/>
            <w:vAlign w:val="center"/>
          </w:tcPr>
          <w:p>
            <w:pPr>
              <w:spacing w:after="0" w:line="240" w:lineRule="auto"/>
              <w:jc w:val="center"/>
            </w:pPr>
            <w:r/>
            <w:r>
              <w:rPr>
                <w:b/>
                <w:i w:val="0"/>
                <w:sz w:val="15"/>
              </w:rPr>
              <w:t>Effectif</w:t>
            </w:r>
          </w:p>
        </w:tc>
        <w:tc>
          <w:tcPr>
            <w:tcW w:type="dxa" w:w="567"/>
            <w:shd w:val="clear" w:color="auto" w:fill="E8ECF2"/>
            <w:vAlign w:val="center"/>
          </w:tcPr>
          <w:p>
            <w:pPr>
              <w:spacing w:after="0" w:line="240" w:lineRule="auto"/>
              <w:jc w:val="center"/>
            </w:pPr>
            <w:r/>
            <w:r>
              <w:rPr>
                <w:b/>
                <w:i w:val="0"/>
                <w:sz w:val="15"/>
              </w:rPr>
              <w:t>%</w:t>
            </w:r>
          </w:p>
        </w:tc>
        <w:tc>
          <w:tcPr>
            <w:tcW w:type="dxa" w:w="3685"/>
            <w:shd w:val="clear" w:color="auto" w:fill="E8ECF2"/>
            <w:vAlign w:val="center"/>
          </w:tcPr>
          <w:p>
            <w:pPr>
              <w:spacing w:after="0" w:line="240" w:lineRule="auto"/>
              <w:jc w:val="left"/>
            </w:pPr>
            <w:r/>
            <w:r>
              <w:rPr>
                <w:b/>
                <w:i w:val="0"/>
                <w:sz w:val="15"/>
              </w:rPr>
              <w:t>Modalité</w:t>
            </w:r>
          </w:p>
        </w:tc>
        <w:tc>
          <w:tcPr>
            <w:tcW w:type="dxa" w:w="737"/>
            <w:shd w:val="clear" w:color="auto" w:fill="E8ECF2"/>
            <w:vAlign w:val="center"/>
          </w:tcPr>
          <w:p>
            <w:pPr>
              <w:spacing w:after="0" w:line="240" w:lineRule="auto"/>
              <w:jc w:val="center"/>
            </w:pPr>
            <w:r/>
            <w:r>
              <w:rPr>
                <w:b/>
                <w:i w:val="0"/>
                <w:sz w:val="15"/>
              </w:rPr>
              <w:t>Effectif</w:t>
            </w:r>
          </w:p>
        </w:tc>
        <w:tc>
          <w:tcPr>
            <w:tcW w:type="dxa" w:w="567"/>
            <w:shd w:val="clear" w:color="auto" w:fill="E8ECF2"/>
            <w:vAlign w:val="center"/>
          </w:tcPr>
          <w:p>
            <w:pPr>
              <w:spacing w:after="0" w:line="240" w:lineRule="auto"/>
              <w:jc w:val="center"/>
            </w:pPr>
            <w:r/>
            <w:r>
              <w:rPr>
                <w:b/>
                <w:i w:val="0"/>
                <w:sz w:val="15"/>
              </w:rPr>
              <w:t>%</w:t>
            </w:r>
          </w:p>
        </w:tc>
      </w:tr>
      <w:tr>
        <w:trPr>
          <w:cantSplit/>
        </w:trPr>
        <w:tc>
          <w:tcPr>
            <w:tcW w:type="dxa" w:w="4082"/>
            <w:gridSpan w:val="3"/>
            <w:shd w:val="clear" w:color="auto" w:fill="F4F6F9"/>
            <w:vAlign w:val="center"/>
          </w:tcPr>
          <w:p>
            <w:pPr>
              <w:spacing w:after="0" w:line="240" w:lineRule="auto"/>
              <w:jc w:val="left"/>
            </w:pPr>
            <w:r/>
            <w:r>
              <w:rPr>
                <w:b/>
                <w:i w:val="0"/>
                <w:sz w:val="15"/>
              </w:rPr>
              <w:t>Nombre de crédits en cours</w:t>
            </w:r>
          </w:p>
        </w:tc>
        <w:tc>
          <w:tcPr>
            <w:tcW w:type="dxa" w:w="4989"/>
            <w:gridSpan w:val="3"/>
            <w:shd w:val="clear" w:color="auto" w:fill="F4F6F9"/>
            <w:vAlign w:val="center"/>
          </w:tcPr>
          <w:p>
            <w:pPr>
              <w:spacing w:after="0" w:line="240" w:lineRule="auto"/>
              <w:jc w:val="left"/>
            </w:pPr>
            <w:r/>
            <w:r>
              <w:rPr>
                <w:b/>
                <w:i w:val="0"/>
                <w:sz w:val="15"/>
              </w:rPr>
              <w:t>CSP de la personne de référence</w:t>
            </w:r>
          </w:p>
        </w:tc>
      </w:tr>
      <w:tr>
        <w:trPr>
          <w:cantSplit/>
        </w:trPr>
        <w:tc>
          <w:tcPr>
            <w:tcW w:type="dxa" w:w="2778"/>
            <w:vAlign w:val="center"/>
          </w:tcPr>
          <w:p>
            <w:pPr>
              <w:spacing w:after="0" w:line="240" w:lineRule="auto"/>
              <w:jc w:val="left"/>
            </w:pPr>
            <w:r/>
            <w:r>
              <w:rPr>
                <w:b w:val="0"/>
                <w:i w:val="0"/>
                <w:sz w:val="15"/>
              </w:rPr>
              <w:t>1 crédit</w:t>
            </w:r>
          </w:p>
        </w:tc>
        <w:tc>
          <w:tcPr>
            <w:tcW w:type="dxa" w:w="737"/>
            <w:vAlign w:val="center"/>
          </w:tcPr>
          <w:p>
            <w:pPr>
              <w:spacing w:after="0" w:line="240" w:lineRule="auto"/>
              <w:jc w:val="center"/>
            </w:pPr>
            <w:r/>
            <w:r>
              <w:rPr>
                <w:b w:val="0"/>
                <w:i w:val="0"/>
                <w:sz w:val="15"/>
              </w:rPr>
              <w:t>2 980</w:t>
            </w:r>
          </w:p>
        </w:tc>
        <w:tc>
          <w:tcPr>
            <w:tcW w:type="dxa" w:w="567"/>
            <w:vAlign w:val="center"/>
          </w:tcPr>
          <w:p>
            <w:pPr>
              <w:spacing w:after="0" w:line="240" w:lineRule="auto"/>
              <w:jc w:val="center"/>
            </w:pPr>
            <w:r/>
            <w:r>
              <w:rPr>
                <w:b w:val="0"/>
                <w:i w:val="0"/>
                <w:sz w:val="15"/>
              </w:rPr>
              <w:t>71,0</w:t>
            </w:r>
          </w:p>
        </w:tc>
        <w:tc>
          <w:tcPr>
            <w:tcW w:type="dxa" w:w="3685"/>
            <w:vAlign w:val="center"/>
          </w:tcPr>
          <w:p>
            <w:pPr>
              <w:spacing w:after="0" w:line="240" w:lineRule="auto"/>
              <w:jc w:val="left"/>
            </w:pPr>
            <w:r/>
            <w:r>
              <w:rPr>
                <w:b w:val="0"/>
                <w:i w:val="0"/>
                <w:sz w:val="15"/>
              </w:rPr>
              <w:t>Agriculteurs exploitants</w:t>
            </w:r>
          </w:p>
        </w:tc>
        <w:tc>
          <w:tcPr>
            <w:tcW w:type="dxa" w:w="737"/>
            <w:vAlign w:val="center"/>
          </w:tcPr>
          <w:p>
            <w:pPr>
              <w:spacing w:after="0" w:line="240" w:lineRule="auto"/>
              <w:jc w:val="center"/>
            </w:pPr>
            <w:r/>
            <w:r>
              <w:rPr>
                <w:b w:val="0"/>
                <w:i w:val="0"/>
                <w:sz w:val="15"/>
              </w:rPr>
              <w:t>61</w:t>
            </w:r>
          </w:p>
        </w:tc>
        <w:tc>
          <w:tcPr>
            <w:tcW w:type="dxa" w:w="567"/>
            <w:vAlign w:val="center"/>
          </w:tcPr>
          <w:p>
            <w:pPr>
              <w:spacing w:after="0" w:line="240" w:lineRule="auto"/>
              <w:jc w:val="center"/>
            </w:pPr>
            <w:r/>
            <w:r>
              <w:rPr>
                <w:b w:val="0"/>
                <w:i w:val="0"/>
                <w:sz w:val="15"/>
              </w:rPr>
              <w:t>1,5</w:t>
            </w:r>
          </w:p>
        </w:tc>
      </w:tr>
      <w:tr>
        <w:trPr>
          <w:cantSplit/>
        </w:trPr>
        <w:tc>
          <w:tcPr>
            <w:tcW w:type="dxa" w:w="2778"/>
            <w:vAlign w:val="center"/>
          </w:tcPr>
          <w:p>
            <w:pPr>
              <w:spacing w:after="0" w:line="240" w:lineRule="auto"/>
              <w:jc w:val="left"/>
            </w:pPr>
            <w:r/>
            <w:r>
              <w:rPr>
                <w:b w:val="0"/>
                <w:i w:val="0"/>
                <w:sz w:val="15"/>
              </w:rPr>
              <w:t>2 crédits</w:t>
            </w:r>
          </w:p>
        </w:tc>
        <w:tc>
          <w:tcPr>
            <w:tcW w:type="dxa" w:w="737"/>
            <w:vAlign w:val="center"/>
          </w:tcPr>
          <w:p>
            <w:pPr>
              <w:spacing w:after="0" w:line="240" w:lineRule="auto"/>
              <w:jc w:val="center"/>
            </w:pPr>
            <w:r/>
            <w:r>
              <w:rPr>
                <w:b w:val="0"/>
                <w:i w:val="0"/>
                <w:sz w:val="15"/>
              </w:rPr>
              <w:t>1 055</w:t>
            </w:r>
          </w:p>
        </w:tc>
        <w:tc>
          <w:tcPr>
            <w:tcW w:type="dxa" w:w="567"/>
            <w:vAlign w:val="center"/>
          </w:tcPr>
          <w:p>
            <w:pPr>
              <w:spacing w:after="0" w:line="240" w:lineRule="auto"/>
              <w:jc w:val="center"/>
            </w:pPr>
            <w:r/>
            <w:r>
              <w:rPr>
                <w:b w:val="0"/>
                <w:i w:val="0"/>
                <w:sz w:val="15"/>
              </w:rPr>
              <w:t>25,1</w:t>
            </w:r>
          </w:p>
        </w:tc>
        <w:tc>
          <w:tcPr>
            <w:tcW w:type="dxa" w:w="3685"/>
            <w:vAlign w:val="center"/>
          </w:tcPr>
          <w:p>
            <w:pPr>
              <w:spacing w:after="0" w:line="240" w:lineRule="auto"/>
              <w:jc w:val="left"/>
            </w:pPr>
            <w:r/>
            <w:r>
              <w:rPr>
                <w:b w:val="0"/>
                <w:i w:val="0"/>
                <w:sz w:val="15"/>
              </w:rPr>
              <w:t>Artisans</w:t>
            </w:r>
          </w:p>
        </w:tc>
        <w:tc>
          <w:tcPr>
            <w:tcW w:type="dxa" w:w="737"/>
            <w:vAlign w:val="center"/>
          </w:tcPr>
          <w:p>
            <w:pPr>
              <w:spacing w:after="0" w:line="240" w:lineRule="auto"/>
              <w:jc w:val="center"/>
            </w:pPr>
            <w:r/>
            <w:r>
              <w:rPr>
                <w:b w:val="0"/>
                <w:i w:val="0"/>
                <w:sz w:val="15"/>
              </w:rPr>
              <w:t>112</w:t>
            </w:r>
          </w:p>
        </w:tc>
        <w:tc>
          <w:tcPr>
            <w:tcW w:type="dxa" w:w="567"/>
            <w:vAlign w:val="center"/>
          </w:tcPr>
          <w:p>
            <w:pPr>
              <w:spacing w:after="0" w:line="240" w:lineRule="auto"/>
              <w:jc w:val="center"/>
            </w:pPr>
            <w:r/>
            <w:r>
              <w:rPr>
                <w:b w:val="0"/>
                <w:i w:val="0"/>
                <w:sz w:val="15"/>
              </w:rPr>
              <w:t>2,7</w:t>
            </w:r>
          </w:p>
        </w:tc>
      </w:tr>
      <w:tr>
        <w:trPr>
          <w:cantSplit/>
        </w:trPr>
        <w:tc>
          <w:tcPr>
            <w:tcW w:type="dxa" w:w="2778"/>
            <w:vAlign w:val="center"/>
          </w:tcPr>
          <w:p>
            <w:pPr>
              <w:spacing w:after="0" w:line="240" w:lineRule="auto"/>
              <w:jc w:val="left"/>
            </w:pPr>
            <w:r/>
            <w:r>
              <w:rPr>
                <w:b w:val="0"/>
                <w:i w:val="0"/>
                <w:sz w:val="15"/>
              </w:rPr>
              <w:t>3 crédits</w:t>
            </w:r>
          </w:p>
        </w:tc>
        <w:tc>
          <w:tcPr>
            <w:tcW w:type="dxa" w:w="737"/>
            <w:vAlign w:val="center"/>
          </w:tcPr>
          <w:p>
            <w:pPr>
              <w:spacing w:after="0" w:line="240" w:lineRule="auto"/>
              <w:jc w:val="center"/>
            </w:pPr>
            <w:r/>
            <w:r>
              <w:rPr>
                <w:b w:val="0"/>
                <w:i w:val="0"/>
                <w:sz w:val="15"/>
              </w:rPr>
              <w:t>146</w:t>
            </w:r>
          </w:p>
        </w:tc>
        <w:tc>
          <w:tcPr>
            <w:tcW w:type="dxa" w:w="567"/>
            <w:vAlign w:val="center"/>
          </w:tcPr>
          <w:p>
            <w:pPr>
              <w:spacing w:after="0" w:line="240" w:lineRule="auto"/>
              <w:jc w:val="center"/>
            </w:pPr>
            <w:r/>
            <w:r>
              <w:rPr>
                <w:b w:val="0"/>
                <w:i w:val="0"/>
                <w:sz w:val="15"/>
              </w:rPr>
              <w:t>3,5</w:t>
            </w:r>
          </w:p>
        </w:tc>
        <w:tc>
          <w:tcPr>
            <w:tcW w:type="dxa" w:w="3685"/>
            <w:vAlign w:val="center"/>
          </w:tcPr>
          <w:p>
            <w:pPr>
              <w:spacing w:after="0" w:line="240" w:lineRule="auto"/>
              <w:jc w:val="left"/>
            </w:pPr>
            <w:r/>
            <w:r>
              <w:rPr>
                <w:b w:val="0"/>
                <w:i w:val="0"/>
                <w:sz w:val="15"/>
              </w:rPr>
              <w:t>Commerçants et assimilés</w:t>
            </w:r>
          </w:p>
        </w:tc>
        <w:tc>
          <w:tcPr>
            <w:tcW w:type="dxa" w:w="737"/>
            <w:vAlign w:val="center"/>
          </w:tcPr>
          <w:p>
            <w:pPr>
              <w:spacing w:after="0" w:line="240" w:lineRule="auto"/>
              <w:jc w:val="center"/>
            </w:pPr>
            <w:r/>
            <w:r>
              <w:rPr>
                <w:b w:val="0"/>
                <w:i w:val="0"/>
                <w:sz w:val="15"/>
              </w:rPr>
              <w:t>58</w:t>
            </w:r>
          </w:p>
        </w:tc>
        <w:tc>
          <w:tcPr>
            <w:tcW w:type="dxa" w:w="567"/>
            <w:vAlign w:val="center"/>
          </w:tcPr>
          <w:p>
            <w:pPr>
              <w:spacing w:after="0" w:line="240" w:lineRule="auto"/>
              <w:jc w:val="center"/>
            </w:pPr>
            <w:r/>
            <w:r>
              <w:rPr>
                <w:b w:val="0"/>
                <w:i w:val="0"/>
                <w:sz w:val="15"/>
              </w:rPr>
              <w:t>1,4</w:t>
            </w:r>
          </w:p>
        </w:tc>
      </w:tr>
      <w:tr>
        <w:trPr>
          <w:cantSplit/>
        </w:trPr>
        <w:tc>
          <w:tcPr>
            <w:tcW w:type="dxa" w:w="2778"/>
            <w:vAlign w:val="center"/>
          </w:tcPr>
          <w:p>
            <w:pPr>
              <w:spacing w:after="0" w:line="240" w:lineRule="auto"/>
              <w:jc w:val="left"/>
            </w:pPr>
            <w:r/>
            <w:r>
              <w:rPr>
                <w:b w:val="0"/>
                <w:i w:val="0"/>
                <w:sz w:val="15"/>
              </w:rPr>
              <w:t>4 crédits</w:t>
            </w:r>
          </w:p>
        </w:tc>
        <w:tc>
          <w:tcPr>
            <w:tcW w:type="dxa" w:w="737"/>
            <w:vAlign w:val="center"/>
          </w:tcPr>
          <w:p>
            <w:pPr>
              <w:spacing w:after="0" w:line="240" w:lineRule="auto"/>
              <w:jc w:val="center"/>
            </w:pPr>
            <w:r/>
            <w:r>
              <w:rPr>
                <w:b w:val="0"/>
                <w:i w:val="0"/>
                <w:sz w:val="15"/>
              </w:rPr>
              <w:t>15</w:t>
            </w:r>
          </w:p>
        </w:tc>
        <w:tc>
          <w:tcPr>
            <w:tcW w:type="dxa" w:w="567"/>
            <w:vAlign w:val="center"/>
          </w:tcPr>
          <w:p>
            <w:pPr>
              <w:spacing w:after="0" w:line="240" w:lineRule="auto"/>
              <w:jc w:val="center"/>
            </w:pPr>
            <w:r/>
            <w:r>
              <w:rPr>
                <w:b w:val="0"/>
                <w:i w:val="0"/>
                <w:sz w:val="15"/>
              </w:rPr>
              <w:t>0,4</w:t>
            </w:r>
          </w:p>
        </w:tc>
        <w:tc>
          <w:tcPr>
            <w:tcW w:type="dxa" w:w="3685"/>
            <w:vAlign w:val="center"/>
          </w:tcPr>
          <w:p>
            <w:pPr>
              <w:spacing w:after="0" w:line="240" w:lineRule="auto"/>
              <w:jc w:val="left"/>
            </w:pPr>
            <w:r/>
            <w:r>
              <w:rPr>
                <w:b w:val="0"/>
                <w:i w:val="0"/>
                <w:sz w:val="15"/>
              </w:rPr>
              <w:t>Chefs d’entreprise de 10 salariés ou +</w:t>
            </w:r>
          </w:p>
        </w:tc>
        <w:tc>
          <w:tcPr>
            <w:tcW w:type="dxa" w:w="737"/>
            <w:vAlign w:val="center"/>
          </w:tcPr>
          <w:p>
            <w:pPr>
              <w:spacing w:after="0" w:line="240" w:lineRule="auto"/>
              <w:jc w:val="center"/>
            </w:pPr>
            <w:r/>
            <w:r>
              <w:rPr>
                <w:b w:val="0"/>
                <w:i w:val="0"/>
                <w:sz w:val="15"/>
              </w:rPr>
              <w:t>23</w:t>
            </w:r>
          </w:p>
        </w:tc>
        <w:tc>
          <w:tcPr>
            <w:tcW w:type="dxa" w:w="567"/>
            <w:vAlign w:val="center"/>
          </w:tcPr>
          <w:p>
            <w:pPr>
              <w:spacing w:after="0" w:line="240" w:lineRule="auto"/>
              <w:jc w:val="center"/>
            </w:pPr>
            <w:r/>
            <w:r>
              <w:rPr>
                <w:b w:val="0"/>
                <w:i w:val="0"/>
                <w:sz w:val="15"/>
              </w:rPr>
              <w:t>0,5</w:t>
            </w:r>
          </w:p>
        </w:tc>
      </w:tr>
      <w:tr>
        <w:trPr>
          <w:cantSplit/>
        </w:trPr>
        <w:tc>
          <w:tcPr>
            <w:tcW w:type="dxa" w:w="2778"/>
            <w:vAlign w:val="center"/>
          </w:tcPr>
          <w:p>
            <w:pPr>
              <w:spacing w:after="0" w:line="240" w:lineRule="auto"/>
              <w:jc w:val="left"/>
            </w:pPr>
            <w:r/>
            <w:r>
              <w:rPr>
                <w:b w:val="0"/>
                <w:i w:val="0"/>
                <w:sz w:val="15"/>
              </w:rPr>
              <w:t>5 crédits</w:t>
            </w:r>
          </w:p>
        </w:tc>
        <w:tc>
          <w:tcPr>
            <w:tcW w:type="dxa" w:w="737"/>
            <w:vAlign w:val="center"/>
          </w:tcPr>
          <w:p>
            <w:pPr>
              <w:spacing w:after="0" w:line="240" w:lineRule="auto"/>
              <w:jc w:val="center"/>
            </w:pPr>
            <w:r/>
            <w:r>
              <w:rPr>
                <w:b w:val="0"/>
                <w:i w:val="0"/>
                <w:sz w:val="15"/>
              </w:rPr>
              <w:t>1</w:t>
            </w:r>
          </w:p>
        </w:tc>
        <w:tc>
          <w:tcPr>
            <w:tcW w:type="dxa" w:w="567"/>
            <w:vAlign w:val="center"/>
          </w:tcPr>
          <w:p>
            <w:pPr>
              <w:spacing w:after="0" w:line="240" w:lineRule="auto"/>
              <w:jc w:val="center"/>
            </w:pPr>
            <w:r/>
            <w:r>
              <w:rPr>
                <w:b w:val="0"/>
                <w:i w:val="0"/>
                <w:sz w:val="15"/>
              </w:rPr>
              <w:t>0,0</w:t>
            </w:r>
          </w:p>
        </w:tc>
        <w:tc>
          <w:tcPr>
            <w:tcW w:type="dxa" w:w="3685"/>
            <w:vAlign w:val="center"/>
          </w:tcPr>
          <w:p>
            <w:pPr>
              <w:spacing w:after="0" w:line="240" w:lineRule="auto"/>
              <w:jc w:val="left"/>
            </w:pPr>
            <w:r/>
            <w:r>
              <w:rPr>
                <w:b w:val="0"/>
                <w:i w:val="0"/>
                <w:sz w:val="15"/>
              </w:rPr>
              <w:t>Professions libérales</w:t>
            </w:r>
          </w:p>
        </w:tc>
        <w:tc>
          <w:tcPr>
            <w:tcW w:type="dxa" w:w="737"/>
            <w:vAlign w:val="center"/>
          </w:tcPr>
          <w:p>
            <w:pPr>
              <w:spacing w:after="0" w:line="240" w:lineRule="auto"/>
              <w:jc w:val="center"/>
            </w:pPr>
            <w:r/>
            <w:r>
              <w:rPr>
                <w:b w:val="0"/>
                <w:i w:val="0"/>
                <w:sz w:val="15"/>
              </w:rPr>
              <w:t>65</w:t>
            </w:r>
          </w:p>
        </w:tc>
        <w:tc>
          <w:tcPr>
            <w:tcW w:type="dxa" w:w="567"/>
            <w:vAlign w:val="center"/>
          </w:tcPr>
          <w:p>
            <w:pPr>
              <w:spacing w:after="0" w:line="240" w:lineRule="auto"/>
              <w:jc w:val="center"/>
            </w:pPr>
            <w:r/>
            <w:r>
              <w:rPr>
                <w:b w:val="0"/>
                <w:i w:val="0"/>
                <w:sz w:val="15"/>
              </w:rPr>
              <w:t>1,5</w:t>
            </w:r>
          </w:p>
        </w:tc>
      </w:tr>
      <w:tr>
        <w:trPr>
          <w:cantSplit/>
        </w:trPr>
        <w:tc>
          <w:tcPr>
            <w:tcW w:type="dxa" w:w="2778"/>
            <w:vAlign w:val="center"/>
          </w:tcPr>
          <w:p>
            <w:pPr>
              <w:spacing w:after="0" w:line="240" w:lineRule="auto"/>
              <w:jc w:val="left"/>
            </w:pPr>
            <w:r/>
            <w:r>
              <w:rPr>
                <w:b w:val="0"/>
                <w:i w:val="0"/>
                <w:sz w:val="15"/>
              </w:rPr>
              <w:t>6 crédits</w:t>
            </w:r>
          </w:p>
        </w:tc>
        <w:tc>
          <w:tcPr>
            <w:tcW w:type="dxa" w:w="737"/>
            <w:vAlign w:val="center"/>
          </w:tcPr>
          <w:p>
            <w:pPr>
              <w:spacing w:after="0" w:line="240" w:lineRule="auto"/>
              <w:jc w:val="center"/>
            </w:pPr>
            <w:r/>
            <w:r>
              <w:rPr>
                <w:b w:val="0"/>
                <w:i w:val="0"/>
                <w:sz w:val="15"/>
              </w:rPr>
              <w:t>1</w:t>
            </w:r>
          </w:p>
        </w:tc>
        <w:tc>
          <w:tcPr>
            <w:tcW w:type="dxa" w:w="567"/>
            <w:vAlign w:val="center"/>
          </w:tcPr>
          <w:p>
            <w:pPr>
              <w:spacing w:after="0" w:line="240" w:lineRule="auto"/>
              <w:jc w:val="center"/>
            </w:pPr>
            <w:r/>
            <w:r>
              <w:rPr>
                <w:b w:val="0"/>
                <w:i w:val="0"/>
                <w:sz w:val="15"/>
              </w:rPr>
              <w:t>0,0</w:t>
            </w:r>
          </w:p>
        </w:tc>
        <w:tc>
          <w:tcPr>
            <w:tcW w:type="dxa" w:w="3685"/>
            <w:vAlign w:val="center"/>
          </w:tcPr>
          <w:p>
            <w:pPr>
              <w:spacing w:after="0" w:line="240" w:lineRule="auto"/>
              <w:jc w:val="left"/>
            </w:pPr>
            <w:r/>
            <w:r>
              <w:rPr>
                <w:b w:val="0"/>
                <w:i w:val="0"/>
                <w:sz w:val="15"/>
              </w:rPr>
              <w:t>Cadres fonction publique, prof. intell. et artist.</w:t>
            </w:r>
          </w:p>
        </w:tc>
        <w:tc>
          <w:tcPr>
            <w:tcW w:type="dxa" w:w="737"/>
            <w:vAlign w:val="center"/>
          </w:tcPr>
          <w:p>
            <w:pPr>
              <w:spacing w:after="0" w:line="240" w:lineRule="auto"/>
              <w:jc w:val="center"/>
            </w:pPr>
            <w:r/>
            <w:r>
              <w:rPr>
                <w:b w:val="0"/>
                <w:i w:val="0"/>
                <w:sz w:val="15"/>
              </w:rPr>
              <w:t>243</w:t>
            </w:r>
          </w:p>
        </w:tc>
        <w:tc>
          <w:tcPr>
            <w:tcW w:type="dxa" w:w="567"/>
            <w:vAlign w:val="center"/>
          </w:tcPr>
          <w:p>
            <w:pPr>
              <w:spacing w:after="0" w:line="240" w:lineRule="auto"/>
              <w:jc w:val="center"/>
            </w:pPr>
            <w:r/>
            <w:r>
              <w:rPr>
                <w:b w:val="0"/>
                <w:i w:val="0"/>
                <w:sz w:val="15"/>
              </w:rPr>
              <w:t>5,8</w:t>
            </w:r>
          </w:p>
        </w:tc>
      </w:tr>
      <w:tr>
        <w:trPr>
          <w:cantSplit/>
        </w:trPr>
        <w:tc>
          <w:tcPr>
            <w:tcW w:type="dxa" w:w="4082"/>
            <w:gridSpan w:val="3"/>
            <w:shd w:val="clear" w:color="auto" w:fill="F4F6F9"/>
            <w:vAlign w:val="center"/>
          </w:tcPr>
          <w:p>
            <w:pPr>
              <w:spacing w:after="0" w:line="240" w:lineRule="auto"/>
              <w:jc w:val="left"/>
            </w:pPr>
            <w:r/>
            <w:r>
              <w:rPr>
                <w:b/>
                <w:i w:val="0"/>
                <w:sz w:val="15"/>
              </w:rPr>
              <w:t>Crédit pour un autre bien immobilier</w:t>
            </w:r>
          </w:p>
        </w:tc>
        <w:tc>
          <w:tcPr>
            <w:tcW w:type="dxa" w:w="3685"/>
            <w:vAlign w:val="center"/>
          </w:tcPr>
          <w:p>
            <w:pPr>
              <w:spacing w:after="0" w:line="240" w:lineRule="auto"/>
              <w:jc w:val="left"/>
            </w:pPr>
            <w:r/>
            <w:r>
              <w:rPr>
                <w:b w:val="0"/>
                <w:i w:val="0"/>
                <w:sz w:val="15"/>
              </w:rPr>
              <w:t>Cadres d’entreprise</w:t>
            </w:r>
          </w:p>
        </w:tc>
        <w:tc>
          <w:tcPr>
            <w:tcW w:type="dxa" w:w="737"/>
            <w:vAlign w:val="center"/>
          </w:tcPr>
          <w:p>
            <w:pPr>
              <w:spacing w:after="0" w:line="240" w:lineRule="auto"/>
              <w:jc w:val="center"/>
            </w:pPr>
            <w:r/>
            <w:r>
              <w:rPr>
                <w:b w:val="0"/>
                <w:i w:val="0"/>
                <w:sz w:val="15"/>
              </w:rPr>
              <w:t>429</w:t>
            </w:r>
          </w:p>
        </w:tc>
        <w:tc>
          <w:tcPr>
            <w:tcW w:type="dxa" w:w="567"/>
            <w:vAlign w:val="center"/>
          </w:tcPr>
          <w:p>
            <w:pPr>
              <w:spacing w:after="0" w:line="240" w:lineRule="auto"/>
              <w:jc w:val="center"/>
            </w:pPr>
            <w:r/>
            <w:r>
              <w:rPr>
                <w:b w:val="0"/>
                <w:i w:val="0"/>
                <w:sz w:val="15"/>
              </w:rPr>
              <w:t>10,2</w:t>
            </w:r>
          </w:p>
        </w:tc>
      </w:tr>
      <w:tr>
        <w:trPr>
          <w:cantSplit/>
        </w:trPr>
        <w:tc>
          <w:tcPr>
            <w:tcW w:type="dxa" w:w="2778"/>
            <w:vAlign w:val="center"/>
          </w:tcPr>
          <w:p>
            <w:pPr>
              <w:spacing w:after="0" w:line="240" w:lineRule="auto"/>
              <w:jc w:val="left"/>
            </w:pPr>
            <w:r/>
            <w:r>
              <w:rPr>
                <w:b w:val="0"/>
                <w:i w:val="0"/>
                <w:sz w:val="15"/>
              </w:rPr>
              <w:t>Non</w:t>
            </w:r>
          </w:p>
        </w:tc>
        <w:tc>
          <w:tcPr>
            <w:tcW w:type="dxa" w:w="737"/>
            <w:vAlign w:val="center"/>
          </w:tcPr>
          <w:p>
            <w:pPr>
              <w:spacing w:after="0" w:line="240" w:lineRule="auto"/>
              <w:jc w:val="center"/>
            </w:pPr>
            <w:r/>
            <w:r>
              <w:rPr>
                <w:b w:val="0"/>
                <w:i w:val="0"/>
                <w:sz w:val="15"/>
              </w:rPr>
              <w:t>3 622</w:t>
            </w:r>
          </w:p>
        </w:tc>
        <w:tc>
          <w:tcPr>
            <w:tcW w:type="dxa" w:w="567"/>
            <w:vAlign w:val="center"/>
          </w:tcPr>
          <w:p>
            <w:pPr>
              <w:spacing w:after="0" w:line="240" w:lineRule="auto"/>
              <w:jc w:val="center"/>
            </w:pPr>
            <w:r/>
            <w:r>
              <w:rPr>
                <w:b w:val="0"/>
                <w:i w:val="0"/>
                <w:sz w:val="15"/>
              </w:rPr>
              <w:t>86,3</w:t>
            </w:r>
          </w:p>
        </w:tc>
        <w:tc>
          <w:tcPr>
            <w:tcW w:type="dxa" w:w="3685"/>
            <w:vAlign w:val="center"/>
          </w:tcPr>
          <w:p>
            <w:pPr>
              <w:spacing w:after="0" w:line="240" w:lineRule="auto"/>
              <w:jc w:val="left"/>
            </w:pPr>
            <w:r/>
            <w:r>
              <w:rPr>
                <w:b w:val="0"/>
                <w:i w:val="0"/>
                <w:sz w:val="15"/>
              </w:rPr>
              <w:t>Prof. interm. enseignement, santé, fonction publ.</w:t>
            </w:r>
          </w:p>
        </w:tc>
        <w:tc>
          <w:tcPr>
            <w:tcW w:type="dxa" w:w="737"/>
            <w:vAlign w:val="center"/>
          </w:tcPr>
          <w:p>
            <w:pPr>
              <w:spacing w:after="0" w:line="240" w:lineRule="auto"/>
              <w:jc w:val="center"/>
            </w:pPr>
            <w:r/>
            <w:r>
              <w:rPr>
                <w:b w:val="0"/>
                <w:i w:val="0"/>
                <w:sz w:val="15"/>
              </w:rPr>
              <w:t>389</w:t>
            </w:r>
          </w:p>
        </w:tc>
        <w:tc>
          <w:tcPr>
            <w:tcW w:type="dxa" w:w="567"/>
            <w:vAlign w:val="center"/>
          </w:tcPr>
          <w:p>
            <w:pPr>
              <w:spacing w:after="0" w:line="240" w:lineRule="auto"/>
              <w:jc w:val="center"/>
            </w:pPr>
            <w:r/>
            <w:r>
              <w:rPr>
                <w:b w:val="0"/>
                <w:i w:val="0"/>
                <w:sz w:val="15"/>
              </w:rPr>
              <w:t>9,3</w:t>
            </w:r>
          </w:p>
        </w:tc>
      </w:tr>
      <w:tr>
        <w:trPr>
          <w:cantSplit/>
        </w:trPr>
        <w:tc>
          <w:tcPr>
            <w:tcW w:type="dxa" w:w="2778"/>
            <w:vAlign w:val="center"/>
          </w:tcPr>
          <w:p>
            <w:pPr>
              <w:spacing w:after="0" w:line="240" w:lineRule="auto"/>
              <w:jc w:val="left"/>
            </w:pPr>
            <w:r/>
            <w:r>
              <w:rPr>
                <w:b w:val="0"/>
                <w:i w:val="0"/>
                <w:sz w:val="15"/>
              </w:rPr>
              <w:t>Oui</w:t>
            </w:r>
          </w:p>
        </w:tc>
        <w:tc>
          <w:tcPr>
            <w:tcW w:type="dxa" w:w="737"/>
            <w:vAlign w:val="center"/>
          </w:tcPr>
          <w:p>
            <w:pPr>
              <w:spacing w:after="0" w:line="240" w:lineRule="auto"/>
              <w:jc w:val="center"/>
            </w:pPr>
            <w:r/>
            <w:r>
              <w:rPr>
                <w:b w:val="0"/>
                <w:i w:val="0"/>
                <w:sz w:val="15"/>
              </w:rPr>
              <w:t>576</w:t>
            </w:r>
          </w:p>
        </w:tc>
        <w:tc>
          <w:tcPr>
            <w:tcW w:type="dxa" w:w="567"/>
            <w:vAlign w:val="center"/>
          </w:tcPr>
          <w:p>
            <w:pPr>
              <w:spacing w:after="0" w:line="240" w:lineRule="auto"/>
              <w:jc w:val="center"/>
            </w:pPr>
            <w:r/>
            <w:r>
              <w:rPr>
                <w:b w:val="0"/>
                <w:i w:val="0"/>
                <w:sz w:val="15"/>
              </w:rPr>
              <w:t>13,7</w:t>
            </w:r>
          </w:p>
        </w:tc>
        <w:tc>
          <w:tcPr>
            <w:tcW w:type="dxa" w:w="3685"/>
            <w:vAlign w:val="center"/>
          </w:tcPr>
          <w:p>
            <w:pPr>
              <w:spacing w:after="0" w:line="240" w:lineRule="auto"/>
              <w:jc w:val="left"/>
            </w:pPr>
            <w:r/>
            <w:r>
              <w:rPr>
                <w:b w:val="0"/>
                <w:i w:val="0"/>
                <w:sz w:val="15"/>
              </w:rPr>
              <w:t>Prof. interm. admin. et commerciales des entr.</w:t>
            </w:r>
          </w:p>
        </w:tc>
        <w:tc>
          <w:tcPr>
            <w:tcW w:type="dxa" w:w="737"/>
            <w:vAlign w:val="center"/>
          </w:tcPr>
          <w:p>
            <w:pPr>
              <w:spacing w:after="0" w:line="240" w:lineRule="auto"/>
              <w:jc w:val="center"/>
            </w:pPr>
            <w:r/>
            <w:r>
              <w:rPr>
                <w:b w:val="0"/>
                <w:i w:val="0"/>
                <w:sz w:val="15"/>
              </w:rPr>
              <w:t>253</w:t>
            </w:r>
          </w:p>
        </w:tc>
        <w:tc>
          <w:tcPr>
            <w:tcW w:type="dxa" w:w="567"/>
            <w:vAlign w:val="center"/>
          </w:tcPr>
          <w:p>
            <w:pPr>
              <w:spacing w:after="0" w:line="240" w:lineRule="auto"/>
              <w:jc w:val="center"/>
            </w:pPr>
            <w:r/>
            <w:r>
              <w:rPr>
                <w:b w:val="0"/>
                <w:i w:val="0"/>
                <w:sz w:val="15"/>
              </w:rPr>
              <w:t>6,0</w:t>
            </w:r>
          </w:p>
        </w:tc>
      </w:tr>
      <w:tr>
        <w:trPr>
          <w:cantSplit/>
        </w:trPr>
        <w:tc>
          <w:tcPr>
            <w:tcW w:type="dxa" w:w="4082"/>
            <w:gridSpan w:val="3"/>
            <w:shd w:val="clear" w:color="auto" w:fill="F4F6F9"/>
            <w:vAlign w:val="center"/>
          </w:tcPr>
          <w:p>
            <w:pPr>
              <w:spacing w:after="0" w:line="240" w:lineRule="auto"/>
              <w:jc w:val="left"/>
            </w:pPr>
            <w:r/>
            <w:r>
              <w:rPr>
                <w:b/>
                <w:i w:val="0"/>
                <w:sz w:val="15"/>
              </w:rPr>
              <w:t>Nombre d’enfants</w:t>
            </w:r>
          </w:p>
        </w:tc>
        <w:tc>
          <w:tcPr>
            <w:tcW w:type="dxa" w:w="3685"/>
            <w:vAlign w:val="center"/>
          </w:tcPr>
          <w:p>
            <w:pPr>
              <w:spacing w:after="0" w:line="240" w:lineRule="auto"/>
              <w:jc w:val="left"/>
            </w:pPr>
            <w:r/>
            <w:r>
              <w:rPr>
                <w:b w:val="0"/>
                <w:i w:val="0"/>
                <w:sz w:val="15"/>
              </w:rPr>
              <w:t>Techniciens</w:t>
            </w:r>
          </w:p>
        </w:tc>
        <w:tc>
          <w:tcPr>
            <w:tcW w:type="dxa" w:w="737"/>
            <w:vAlign w:val="center"/>
          </w:tcPr>
          <w:p>
            <w:pPr>
              <w:spacing w:after="0" w:line="240" w:lineRule="auto"/>
              <w:jc w:val="center"/>
            </w:pPr>
            <w:r/>
            <w:r>
              <w:rPr>
                <w:b w:val="0"/>
                <w:i w:val="0"/>
                <w:sz w:val="15"/>
              </w:rPr>
              <w:t>181</w:t>
            </w:r>
          </w:p>
        </w:tc>
        <w:tc>
          <w:tcPr>
            <w:tcW w:type="dxa" w:w="567"/>
            <w:vAlign w:val="center"/>
          </w:tcPr>
          <w:p>
            <w:pPr>
              <w:spacing w:after="0" w:line="240" w:lineRule="auto"/>
              <w:jc w:val="center"/>
            </w:pPr>
            <w:r/>
            <w:r>
              <w:rPr>
                <w:b w:val="0"/>
                <w:i w:val="0"/>
                <w:sz w:val="15"/>
              </w:rPr>
              <w:t>4,3</w:t>
            </w:r>
          </w:p>
        </w:tc>
      </w:tr>
      <w:tr>
        <w:trPr>
          <w:cantSplit/>
        </w:trPr>
        <w:tc>
          <w:tcPr>
            <w:tcW w:type="dxa" w:w="2778"/>
            <w:vAlign w:val="center"/>
          </w:tcPr>
          <w:p>
            <w:pPr>
              <w:spacing w:after="0" w:line="240" w:lineRule="auto"/>
              <w:jc w:val="left"/>
            </w:pPr>
            <w:r/>
            <w:r>
              <w:rPr>
                <w:b w:val="0"/>
                <w:i w:val="0"/>
                <w:sz w:val="15"/>
              </w:rPr>
              <w:t>Aucun enfant</w:t>
            </w:r>
          </w:p>
        </w:tc>
        <w:tc>
          <w:tcPr>
            <w:tcW w:type="dxa" w:w="737"/>
            <w:vAlign w:val="center"/>
          </w:tcPr>
          <w:p>
            <w:pPr>
              <w:spacing w:after="0" w:line="240" w:lineRule="auto"/>
              <w:jc w:val="center"/>
            </w:pPr>
            <w:r/>
            <w:r>
              <w:rPr>
                <w:b w:val="0"/>
                <w:i w:val="0"/>
                <w:sz w:val="15"/>
              </w:rPr>
              <w:t>1 836</w:t>
            </w:r>
          </w:p>
        </w:tc>
        <w:tc>
          <w:tcPr>
            <w:tcW w:type="dxa" w:w="567"/>
            <w:vAlign w:val="center"/>
          </w:tcPr>
          <w:p>
            <w:pPr>
              <w:spacing w:after="0" w:line="240" w:lineRule="auto"/>
              <w:jc w:val="center"/>
            </w:pPr>
            <w:r/>
            <w:r>
              <w:rPr>
                <w:b w:val="0"/>
                <w:i w:val="0"/>
                <w:sz w:val="15"/>
              </w:rPr>
              <w:t>43,7</w:t>
            </w:r>
          </w:p>
        </w:tc>
        <w:tc>
          <w:tcPr>
            <w:tcW w:type="dxa" w:w="3685"/>
            <w:vAlign w:val="center"/>
          </w:tcPr>
          <w:p>
            <w:pPr>
              <w:spacing w:after="0" w:line="240" w:lineRule="auto"/>
              <w:jc w:val="left"/>
            </w:pPr>
            <w:r/>
            <w:r>
              <w:rPr>
                <w:b w:val="0"/>
                <w:i w:val="0"/>
                <w:sz w:val="15"/>
              </w:rPr>
              <w:t>Contremaîtres, agents de maîtrise</w:t>
            </w:r>
          </w:p>
        </w:tc>
        <w:tc>
          <w:tcPr>
            <w:tcW w:type="dxa" w:w="737"/>
            <w:vAlign w:val="center"/>
          </w:tcPr>
          <w:p>
            <w:pPr>
              <w:spacing w:after="0" w:line="240" w:lineRule="auto"/>
              <w:jc w:val="center"/>
            </w:pPr>
            <w:r/>
            <w:r>
              <w:rPr>
                <w:b w:val="0"/>
                <w:i w:val="0"/>
                <w:sz w:val="15"/>
              </w:rPr>
              <w:t>115</w:t>
            </w:r>
          </w:p>
        </w:tc>
        <w:tc>
          <w:tcPr>
            <w:tcW w:type="dxa" w:w="567"/>
            <w:vAlign w:val="center"/>
          </w:tcPr>
          <w:p>
            <w:pPr>
              <w:spacing w:after="0" w:line="240" w:lineRule="auto"/>
              <w:jc w:val="center"/>
            </w:pPr>
            <w:r/>
            <w:r>
              <w:rPr>
                <w:b w:val="0"/>
                <w:i w:val="0"/>
                <w:sz w:val="15"/>
              </w:rPr>
              <w:t>2,7</w:t>
            </w:r>
          </w:p>
        </w:tc>
      </w:tr>
      <w:tr>
        <w:trPr>
          <w:cantSplit/>
        </w:trPr>
        <w:tc>
          <w:tcPr>
            <w:tcW w:type="dxa" w:w="2778"/>
            <w:vAlign w:val="center"/>
          </w:tcPr>
          <w:p>
            <w:pPr>
              <w:spacing w:after="0" w:line="240" w:lineRule="auto"/>
              <w:jc w:val="left"/>
            </w:pPr>
            <w:r/>
            <w:r>
              <w:rPr>
                <w:b w:val="0"/>
                <w:i w:val="0"/>
                <w:sz w:val="15"/>
              </w:rPr>
              <w:t>1 enfant</w:t>
            </w:r>
          </w:p>
        </w:tc>
        <w:tc>
          <w:tcPr>
            <w:tcW w:type="dxa" w:w="737"/>
            <w:vAlign w:val="center"/>
          </w:tcPr>
          <w:p>
            <w:pPr>
              <w:spacing w:after="0" w:line="240" w:lineRule="auto"/>
              <w:jc w:val="center"/>
            </w:pPr>
            <w:r/>
            <w:r>
              <w:rPr>
                <w:b w:val="0"/>
                <w:i w:val="0"/>
                <w:sz w:val="15"/>
              </w:rPr>
              <w:t>909</w:t>
            </w:r>
          </w:p>
        </w:tc>
        <w:tc>
          <w:tcPr>
            <w:tcW w:type="dxa" w:w="567"/>
            <w:vAlign w:val="center"/>
          </w:tcPr>
          <w:p>
            <w:pPr>
              <w:spacing w:after="0" w:line="240" w:lineRule="auto"/>
              <w:jc w:val="center"/>
            </w:pPr>
            <w:r/>
            <w:r>
              <w:rPr>
                <w:b w:val="0"/>
                <w:i w:val="0"/>
                <w:sz w:val="15"/>
              </w:rPr>
              <w:t>21,7</w:t>
            </w:r>
          </w:p>
        </w:tc>
        <w:tc>
          <w:tcPr>
            <w:tcW w:type="dxa" w:w="3685"/>
            <w:vAlign w:val="center"/>
          </w:tcPr>
          <w:p>
            <w:pPr>
              <w:spacing w:after="0" w:line="240" w:lineRule="auto"/>
              <w:jc w:val="left"/>
            </w:pPr>
            <w:r/>
            <w:r>
              <w:rPr>
                <w:b w:val="0"/>
                <w:i w:val="0"/>
                <w:sz w:val="15"/>
              </w:rPr>
              <w:t>Employés de la fonction publique</w:t>
            </w:r>
          </w:p>
        </w:tc>
        <w:tc>
          <w:tcPr>
            <w:tcW w:type="dxa" w:w="737"/>
            <w:vAlign w:val="center"/>
          </w:tcPr>
          <w:p>
            <w:pPr>
              <w:spacing w:after="0" w:line="240" w:lineRule="auto"/>
              <w:jc w:val="center"/>
            </w:pPr>
            <w:r/>
            <w:r>
              <w:rPr>
                <w:b w:val="0"/>
                <w:i w:val="0"/>
                <w:sz w:val="15"/>
              </w:rPr>
              <w:t>284</w:t>
            </w:r>
          </w:p>
        </w:tc>
        <w:tc>
          <w:tcPr>
            <w:tcW w:type="dxa" w:w="567"/>
            <w:vAlign w:val="center"/>
          </w:tcPr>
          <w:p>
            <w:pPr>
              <w:spacing w:after="0" w:line="240" w:lineRule="auto"/>
              <w:jc w:val="center"/>
            </w:pPr>
            <w:r/>
            <w:r>
              <w:rPr>
                <w:b w:val="0"/>
                <w:i w:val="0"/>
                <w:sz w:val="15"/>
              </w:rPr>
              <w:t>6,8</w:t>
            </w:r>
          </w:p>
        </w:tc>
      </w:tr>
      <w:tr>
        <w:trPr>
          <w:cantSplit/>
        </w:trPr>
        <w:tc>
          <w:tcPr>
            <w:tcW w:type="dxa" w:w="2778"/>
            <w:vAlign w:val="center"/>
          </w:tcPr>
          <w:p>
            <w:pPr>
              <w:spacing w:after="0" w:line="240" w:lineRule="auto"/>
              <w:jc w:val="left"/>
            </w:pPr>
            <w:r/>
            <w:r>
              <w:rPr>
                <w:b w:val="0"/>
                <w:i w:val="0"/>
                <w:sz w:val="15"/>
              </w:rPr>
              <w:t>2 enfants</w:t>
            </w:r>
          </w:p>
        </w:tc>
        <w:tc>
          <w:tcPr>
            <w:tcW w:type="dxa" w:w="737"/>
            <w:vAlign w:val="center"/>
          </w:tcPr>
          <w:p>
            <w:pPr>
              <w:spacing w:after="0" w:line="240" w:lineRule="auto"/>
              <w:jc w:val="center"/>
            </w:pPr>
            <w:r/>
            <w:r>
              <w:rPr>
                <w:b w:val="0"/>
                <w:i w:val="0"/>
                <w:sz w:val="15"/>
              </w:rPr>
              <w:t>1 003</w:t>
            </w:r>
          </w:p>
        </w:tc>
        <w:tc>
          <w:tcPr>
            <w:tcW w:type="dxa" w:w="567"/>
            <w:vAlign w:val="center"/>
          </w:tcPr>
          <w:p>
            <w:pPr>
              <w:spacing w:after="0" w:line="240" w:lineRule="auto"/>
              <w:jc w:val="center"/>
            </w:pPr>
            <w:r/>
            <w:r>
              <w:rPr>
                <w:b w:val="0"/>
                <w:i w:val="0"/>
                <w:sz w:val="15"/>
              </w:rPr>
              <w:t>23,9</w:t>
            </w:r>
          </w:p>
        </w:tc>
        <w:tc>
          <w:tcPr>
            <w:tcW w:type="dxa" w:w="3685"/>
            <w:vAlign w:val="center"/>
          </w:tcPr>
          <w:p>
            <w:pPr>
              <w:spacing w:after="0" w:line="240" w:lineRule="auto"/>
              <w:jc w:val="left"/>
            </w:pPr>
            <w:r/>
            <w:r>
              <w:rPr>
                <w:b w:val="0"/>
                <w:i w:val="0"/>
                <w:sz w:val="15"/>
              </w:rPr>
              <w:t>Employés administratifs d’entreprise</w:t>
            </w:r>
          </w:p>
        </w:tc>
        <w:tc>
          <w:tcPr>
            <w:tcW w:type="dxa" w:w="737"/>
            <w:vAlign w:val="center"/>
          </w:tcPr>
          <w:p>
            <w:pPr>
              <w:spacing w:after="0" w:line="240" w:lineRule="auto"/>
              <w:jc w:val="center"/>
            </w:pPr>
            <w:r/>
            <w:r>
              <w:rPr>
                <w:b w:val="0"/>
                <w:i w:val="0"/>
                <w:sz w:val="15"/>
              </w:rPr>
              <w:t>148</w:t>
            </w:r>
          </w:p>
        </w:tc>
        <w:tc>
          <w:tcPr>
            <w:tcW w:type="dxa" w:w="567"/>
            <w:vAlign w:val="center"/>
          </w:tcPr>
          <w:p>
            <w:pPr>
              <w:spacing w:after="0" w:line="240" w:lineRule="auto"/>
              <w:jc w:val="center"/>
            </w:pPr>
            <w:r/>
            <w:r>
              <w:rPr>
                <w:b w:val="0"/>
                <w:i w:val="0"/>
                <w:sz w:val="15"/>
              </w:rPr>
              <w:t>3,5</w:t>
            </w:r>
          </w:p>
        </w:tc>
      </w:tr>
      <w:tr>
        <w:trPr>
          <w:cantSplit/>
        </w:trPr>
        <w:tc>
          <w:tcPr>
            <w:tcW w:type="dxa" w:w="2778"/>
            <w:vAlign w:val="center"/>
          </w:tcPr>
          <w:p>
            <w:pPr>
              <w:spacing w:after="0" w:line="240" w:lineRule="auto"/>
              <w:jc w:val="left"/>
            </w:pPr>
            <w:r/>
            <w:r>
              <w:rPr>
                <w:b w:val="0"/>
                <w:i w:val="0"/>
                <w:sz w:val="15"/>
              </w:rPr>
              <w:t>3 enfants</w:t>
            </w:r>
          </w:p>
        </w:tc>
        <w:tc>
          <w:tcPr>
            <w:tcW w:type="dxa" w:w="737"/>
            <w:vAlign w:val="center"/>
          </w:tcPr>
          <w:p>
            <w:pPr>
              <w:spacing w:after="0" w:line="240" w:lineRule="auto"/>
              <w:jc w:val="center"/>
            </w:pPr>
            <w:r/>
            <w:r>
              <w:rPr>
                <w:b w:val="0"/>
                <w:i w:val="0"/>
                <w:sz w:val="15"/>
              </w:rPr>
              <w:t>351</w:t>
            </w:r>
          </w:p>
        </w:tc>
        <w:tc>
          <w:tcPr>
            <w:tcW w:type="dxa" w:w="567"/>
            <w:vAlign w:val="center"/>
          </w:tcPr>
          <w:p>
            <w:pPr>
              <w:spacing w:after="0" w:line="240" w:lineRule="auto"/>
              <w:jc w:val="center"/>
            </w:pPr>
            <w:r/>
            <w:r>
              <w:rPr>
                <w:b w:val="0"/>
                <w:i w:val="0"/>
                <w:sz w:val="15"/>
              </w:rPr>
              <w:t>8,4</w:t>
            </w:r>
          </w:p>
        </w:tc>
        <w:tc>
          <w:tcPr>
            <w:tcW w:type="dxa" w:w="3685"/>
            <w:vAlign w:val="center"/>
          </w:tcPr>
          <w:p>
            <w:pPr>
              <w:spacing w:after="0" w:line="240" w:lineRule="auto"/>
              <w:jc w:val="left"/>
            </w:pPr>
            <w:r/>
            <w:r>
              <w:rPr>
                <w:b w:val="0"/>
                <w:i w:val="0"/>
                <w:sz w:val="15"/>
              </w:rPr>
              <w:t>Employés de commerce</w:t>
            </w:r>
          </w:p>
        </w:tc>
        <w:tc>
          <w:tcPr>
            <w:tcW w:type="dxa" w:w="737"/>
            <w:vAlign w:val="center"/>
          </w:tcPr>
          <w:p>
            <w:pPr>
              <w:spacing w:after="0" w:line="240" w:lineRule="auto"/>
              <w:jc w:val="center"/>
            </w:pPr>
            <w:r/>
            <w:r>
              <w:rPr>
                <w:b w:val="0"/>
                <w:i w:val="0"/>
                <w:sz w:val="15"/>
              </w:rPr>
              <w:t>76</w:t>
            </w:r>
          </w:p>
        </w:tc>
        <w:tc>
          <w:tcPr>
            <w:tcW w:type="dxa" w:w="567"/>
            <w:vAlign w:val="center"/>
          </w:tcPr>
          <w:p>
            <w:pPr>
              <w:spacing w:after="0" w:line="240" w:lineRule="auto"/>
              <w:jc w:val="center"/>
            </w:pPr>
            <w:r/>
            <w:r>
              <w:rPr>
                <w:b w:val="0"/>
                <w:i w:val="0"/>
                <w:sz w:val="15"/>
              </w:rPr>
              <w:t>1,8</w:t>
            </w:r>
          </w:p>
        </w:tc>
      </w:tr>
      <w:tr>
        <w:trPr>
          <w:cantSplit/>
        </w:trPr>
        <w:tc>
          <w:tcPr>
            <w:tcW w:type="dxa" w:w="2778"/>
            <w:vAlign w:val="center"/>
          </w:tcPr>
          <w:p>
            <w:pPr>
              <w:spacing w:after="0" w:line="240" w:lineRule="auto"/>
              <w:jc w:val="left"/>
            </w:pPr>
            <w:r/>
            <w:r>
              <w:rPr>
                <w:b w:val="0"/>
                <w:i w:val="0"/>
                <w:sz w:val="15"/>
              </w:rPr>
              <w:t>4 enfants</w:t>
            </w:r>
          </w:p>
        </w:tc>
        <w:tc>
          <w:tcPr>
            <w:tcW w:type="dxa" w:w="737"/>
            <w:vAlign w:val="center"/>
          </w:tcPr>
          <w:p>
            <w:pPr>
              <w:spacing w:after="0" w:line="240" w:lineRule="auto"/>
              <w:jc w:val="center"/>
            </w:pPr>
            <w:r/>
            <w:r>
              <w:rPr>
                <w:b w:val="0"/>
                <w:i w:val="0"/>
                <w:sz w:val="15"/>
              </w:rPr>
              <w:t>80</w:t>
            </w:r>
          </w:p>
        </w:tc>
        <w:tc>
          <w:tcPr>
            <w:tcW w:type="dxa" w:w="567"/>
            <w:vAlign w:val="center"/>
          </w:tcPr>
          <w:p>
            <w:pPr>
              <w:spacing w:after="0" w:line="240" w:lineRule="auto"/>
              <w:jc w:val="center"/>
            </w:pPr>
            <w:r/>
            <w:r>
              <w:rPr>
                <w:b w:val="0"/>
                <w:i w:val="0"/>
                <w:sz w:val="15"/>
              </w:rPr>
              <w:t>1,9</w:t>
            </w:r>
          </w:p>
        </w:tc>
        <w:tc>
          <w:tcPr>
            <w:tcW w:type="dxa" w:w="3685"/>
            <w:vAlign w:val="center"/>
          </w:tcPr>
          <w:p>
            <w:pPr>
              <w:spacing w:after="0" w:line="240" w:lineRule="auto"/>
              <w:jc w:val="left"/>
            </w:pPr>
            <w:r/>
            <w:r>
              <w:rPr>
                <w:b w:val="0"/>
                <w:i w:val="0"/>
                <w:sz w:val="15"/>
              </w:rPr>
              <w:t>Personnels des services directs aux particuliers</w:t>
            </w:r>
          </w:p>
        </w:tc>
        <w:tc>
          <w:tcPr>
            <w:tcW w:type="dxa" w:w="737"/>
            <w:vAlign w:val="center"/>
          </w:tcPr>
          <w:p>
            <w:pPr>
              <w:spacing w:after="0" w:line="240" w:lineRule="auto"/>
              <w:jc w:val="center"/>
            </w:pPr>
            <w:r/>
            <w:r>
              <w:rPr>
                <w:b w:val="0"/>
                <w:i w:val="0"/>
                <w:sz w:val="15"/>
              </w:rPr>
              <w:t>104</w:t>
            </w:r>
          </w:p>
        </w:tc>
        <w:tc>
          <w:tcPr>
            <w:tcW w:type="dxa" w:w="567"/>
            <w:vAlign w:val="center"/>
          </w:tcPr>
          <w:p>
            <w:pPr>
              <w:spacing w:after="0" w:line="240" w:lineRule="auto"/>
              <w:jc w:val="center"/>
            </w:pPr>
            <w:r/>
            <w:r>
              <w:rPr>
                <w:b w:val="0"/>
                <w:i w:val="0"/>
                <w:sz w:val="15"/>
              </w:rPr>
              <w:t>2,5</w:t>
            </w:r>
          </w:p>
        </w:tc>
      </w:tr>
      <w:tr>
        <w:trPr>
          <w:cantSplit/>
        </w:trPr>
        <w:tc>
          <w:tcPr>
            <w:tcW w:type="dxa" w:w="2778"/>
            <w:vAlign w:val="center"/>
          </w:tcPr>
          <w:p>
            <w:pPr>
              <w:spacing w:after="0" w:line="240" w:lineRule="auto"/>
              <w:jc w:val="left"/>
            </w:pPr>
            <w:r/>
            <w:r>
              <w:rPr>
                <w:b w:val="0"/>
                <w:i w:val="0"/>
                <w:sz w:val="15"/>
              </w:rPr>
              <w:t>5 enfants</w:t>
            </w:r>
          </w:p>
        </w:tc>
        <w:tc>
          <w:tcPr>
            <w:tcW w:type="dxa" w:w="737"/>
            <w:vAlign w:val="center"/>
          </w:tcPr>
          <w:p>
            <w:pPr>
              <w:spacing w:after="0" w:line="240" w:lineRule="auto"/>
              <w:jc w:val="center"/>
            </w:pPr>
            <w:r/>
            <w:r>
              <w:rPr>
                <w:b w:val="0"/>
                <w:i w:val="0"/>
                <w:sz w:val="15"/>
              </w:rPr>
              <w:t>13</w:t>
            </w:r>
          </w:p>
        </w:tc>
        <w:tc>
          <w:tcPr>
            <w:tcW w:type="dxa" w:w="567"/>
            <w:vAlign w:val="center"/>
          </w:tcPr>
          <w:p>
            <w:pPr>
              <w:spacing w:after="0" w:line="240" w:lineRule="auto"/>
              <w:jc w:val="center"/>
            </w:pPr>
            <w:r/>
            <w:r>
              <w:rPr>
                <w:b w:val="0"/>
                <w:i w:val="0"/>
                <w:sz w:val="15"/>
              </w:rPr>
              <w:t>0,3</w:t>
            </w:r>
          </w:p>
        </w:tc>
        <w:tc>
          <w:tcPr>
            <w:tcW w:type="dxa" w:w="3685"/>
            <w:vAlign w:val="center"/>
          </w:tcPr>
          <w:p>
            <w:pPr>
              <w:spacing w:after="0" w:line="240" w:lineRule="auto"/>
              <w:jc w:val="left"/>
            </w:pPr>
            <w:r/>
            <w:r>
              <w:rPr>
                <w:b w:val="0"/>
                <w:i w:val="0"/>
                <w:sz w:val="15"/>
              </w:rPr>
              <w:t>Ouvriers qualifiés</w:t>
            </w:r>
          </w:p>
        </w:tc>
        <w:tc>
          <w:tcPr>
            <w:tcW w:type="dxa" w:w="737"/>
            <w:vAlign w:val="center"/>
          </w:tcPr>
          <w:p>
            <w:pPr>
              <w:spacing w:after="0" w:line="240" w:lineRule="auto"/>
              <w:jc w:val="center"/>
            </w:pPr>
            <w:r/>
            <w:r>
              <w:rPr>
                <w:b w:val="0"/>
                <w:i w:val="0"/>
                <w:sz w:val="15"/>
              </w:rPr>
              <w:t>587</w:t>
            </w:r>
          </w:p>
        </w:tc>
        <w:tc>
          <w:tcPr>
            <w:tcW w:type="dxa" w:w="567"/>
            <w:vAlign w:val="center"/>
          </w:tcPr>
          <w:p>
            <w:pPr>
              <w:spacing w:after="0" w:line="240" w:lineRule="auto"/>
              <w:jc w:val="center"/>
            </w:pPr>
            <w:r/>
            <w:r>
              <w:rPr>
                <w:b w:val="0"/>
                <w:i w:val="0"/>
                <w:sz w:val="15"/>
              </w:rPr>
              <w:t>14,0</w:t>
            </w:r>
          </w:p>
        </w:tc>
      </w:tr>
      <w:tr>
        <w:trPr>
          <w:cantSplit/>
        </w:trPr>
        <w:tc>
          <w:tcPr>
            <w:tcW w:type="dxa" w:w="2778"/>
            <w:vAlign w:val="center"/>
          </w:tcPr>
          <w:p>
            <w:pPr>
              <w:spacing w:after="0" w:line="240" w:lineRule="auto"/>
              <w:jc w:val="left"/>
            </w:pPr>
            <w:r/>
            <w:r>
              <w:rPr>
                <w:b w:val="0"/>
                <w:i w:val="0"/>
                <w:sz w:val="15"/>
              </w:rPr>
              <w:t>6 enfants</w:t>
            </w:r>
          </w:p>
        </w:tc>
        <w:tc>
          <w:tcPr>
            <w:tcW w:type="dxa" w:w="737"/>
            <w:vAlign w:val="center"/>
          </w:tcPr>
          <w:p>
            <w:pPr>
              <w:spacing w:after="0" w:line="240" w:lineRule="auto"/>
              <w:jc w:val="center"/>
            </w:pPr>
            <w:r/>
            <w:r>
              <w:rPr>
                <w:b w:val="0"/>
                <w:i w:val="0"/>
                <w:sz w:val="15"/>
              </w:rPr>
              <w:t>4</w:t>
            </w:r>
          </w:p>
        </w:tc>
        <w:tc>
          <w:tcPr>
            <w:tcW w:type="dxa" w:w="567"/>
            <w:vAlign w:val="center"/>
          </w:tcPr>
          <w:p>
            <w:pPr>
              <w:spacing w:after="0" w:line="240" w:lineRule="auto"/>
              <w:jc w:val="center"/>
            </w:pPr>
            <w:r/>
            <w:r>
              <w:rPr>
                <w:b w:val="0"/>
                <w:i w:val="0"/>
                <w:sz w:val="15"/>
              </w:rPr>
              <w:t>0,1</w:t>
            </w:r>
          </w:p>
        </w:tc>
        <w:tc>
          <w:tcPr>
            <w:tcW w:type="dxa" w:w="3685"/>
            <w:vAlign w:val="center"/>
          </w:tcPr>
          <w:p>
            <w:pPr>
              <w:spacing w:after="0" w:line="240" w:lineRule="auto"/>
              <w:jc w:val="left"/>
            </w:pPr>
            <w:r/>
            <w:r>
              <w:rPr>
                <w:b w:val="0"/>
                <w:i w:val="0"/>
                <w:sz w:val="15"/>
              </w:rPr>
              <w:t>Ouvriers non qualifiés</w:t>
            </w:r>
          </w:p>
        </w:tc>
        <w:tc>
          <w:tcPr>
            <w:tcW w:type="dxa" w:w="737"/>
            <w:vAlign w:val="center"/>
          </w:tcPr>
          <w:p>
            <w:pPr>
              <w:spacing w:after="0" w:line="240" w:lineRule="auto"/>
              <w:jc w:val="center"/>
            </w:pPr>
            <w:r/>
            <w:r>
              <w:rPr>
                <w:b w:val="0"/>
                <w:i w:val="0"/>
                <w:sz w:val="15"/>
              </w:rPr>
              <w:t>144</w:t>
            </w:r>
          </w:p>
        </w:tc>
        <w:tc>
          <w:tcPr>
            <w:tcW w:type="dxa" w:w="567"/>
            <w:vAlign w:val="center"/>
          </w:tcPr>
          <w:p>
            <w:pPr>
              <w:spacing w:after="0" w:line="240" w:lineRule="auto"/>
              <w:jc w:val="center"/>
            </w:pPr>
            <w:r/>
            <w:r>
              <w:rPr>
                <w:b w:val="0"/>
                <w:i w:val="0"/>
                <w:sz w:val="15"/>
              </w:rPr>
              <w:t>3,4</w:t>
            </w:r>
          </w:p>
        </w:tc>
      </w:tr>
      <w:tr>
        <w:trPr>
          <w:cantSplit/>
        </w:trPr>
        <w:tc>
          <w:tcPr>
            <w:tcW w:type="dxa" w:w="2778"/>
            <w:vAlign w:val="center"/>
          </w:tcPr>
          <w:p>
            <w:pPr>
              <w:spacing w:after="0" w:line="240" w:lineRule="auto"/>
              <w:jc w:val="left"/>
            </w:pPr>
            <w:r/>
            <w:r>
              <w:rPr>
                <w:b w:val="0"/>
                <w:i w:val="0"/>
                <w:sz w:val="15"/>
              </w:rPr>
              <w:t>7 enfants</w:t>
            </w:r>
          </w:p>
        </w:tc>
        <w:tc>
          <w:tcPr>
            <w:tcW w:type="dxa" w:w="737"/>
            <w:vAlign w:val="center"/>
          </w:tcPr>
          <w:p>
            <w:pPr>
              <w:spacing w:after="0" w:line="240" w:lineRule="auto"/>
              <w:jc w:val="center"/>
            </w:pPr>
            <w:r/>
            <w:r>
              <w:rPr>
                <w:b w:val="0"/>
                <w:i w:val="0"/>
                <w:sz w:val="15"/>
              </w:rPr>
              <w:t>2</w:t>
            </w:r>
          </w:p>
        </w:tc>
        <w:tc>
          <w:tcPr>
            <w:tcW w:type="dxa" w:w="567"/>
            <w:vAlign w:val="center"/>
          </w:tcPr>
          <w:p>
            <w:pPr>
              <w:spacing w:after="0" w:line="240" w:lineRule="auto"/>
              <w:jc w:val="center"/>
            </w:pPr>
            <w:r/>
            <w:r>
              <w:rPr>
                <w:b w:val="0"/>
                <w:i w:val="0"/>
                <w:sz w:val="15"/>
              </w:rPr>
              <w:t>0,0</w:t>
            </w:r>
          </w:p>
        </w:tc>
        <w:tc>
          <w:tcPr>
            <w:tcW w:type="dxa" w:w="3685"/>
            <w:vAlign w:val="center"/>
          </w:tcPr>
          <w:p>
            <w:pPr>
              <w:spacing w:after="0" w:line="240" w:lineRule="auto"/>
              <w:jc w:val="left"/>
            </w:pPr>
            <w:r/>
            <w:r>
              <w:rPr>
                <w:b w:val="0"/>
                <w:i w:val="0"/>
                <w:sz w:val="15"/>
              </w:rPr>
              <w:t>Ouvriers agricoles</w:t>
            </w:r>
          </w:p>
        </w:tc>
        <w:tc>
          <w:tcPr>
            <w:tcW w:type="dxa" w:w="737"/>
            <w:vAlign w:val="center"/>
          </w:tcPr>
          <w:p>
            <w:pPr>
              <w:spacing w:after="0" w:line="240" w:lineRule="auto"/>
              <w:jc w:val="center"/>
            </w:pPr>
            <w:r/>
            <w:r>
              <w:rPr>
                <w:b w:val="0"/>
                <w:i w:val="0"/>
                <w:sz w:val="15"/>
              </w:rPr>
              <w:t>15</w:t>
            </w:r>
          </w:p>
        </w:tc>
        <w:tc>
          <w:tcPr>
            <w:tcW w:type="dxa" w:w="567"/>
            <w:vAlign w:val="center"/>
          </w:tcPr>
          <w:p>
            <w:pPr>
              <w:spacing w:after="0" w:line="240" w:lineRule="auto"/>
              <w:jc w:val="center"/>
            </w:pPr>
            <w:r/>
            <w:r>
              <w:rPr>
                <w:b w:val="0"/>
                <w:i w:val="0"/>
                <w:sz w:val="15"/>
              </w:rPr>
              <w:t>0,4</w:t>
            </w:r>
          </w:p>
        </w:tc>
      </w:tr>
      <w:tr>
        <w:trPr>
          <w:cantSplit/>
        </w:trPr>
        <w:tc>
          <w:tcPr>
            <w:tcW w:type="dxa" w:w="4082"/>
            <w:gridSpan w:val="3"/>
            <w:shd w:val="clear" w:color="auto" w:fill="F4F6F9"/>
            <w:vAlign w:val="center"/>
          </w:tcPr>
          <w:p>
            <w:pPr>
              <w:spacing w:after="0" w:line="240" w:lineRule="auto"/>
              <w:jc w:val="left"/>
            </w:pPr>
            <w:r/>
            <w:r>
              <w:rPr>
                <w:b/>
                <w:i w:val="0"/>
                <w:sz w:val="15"/>
              </w:rPr>
              <w:t>Taille de l’unité urbaine</w:t>
            </w:r>
          </w:p>
        </w:tc>
        <w:tc>
          <w:tcPr>
            <w:tcW w:type="dxa" w:w="3685"/>
            <w:vAlign w:val="center"/>
          </w:tcPr>
          <w:p>
            <w:pPr>
              <w:spacing w:after="0" w:line="240" w:lineRule="auto"/>
              <w:jc w:val="left"/>
            </w:pPr>
            <w:r/>
            <w:r>
              <w:rPr>
                <w:b w:val="0"/>
                <w:i w:val="0"/>
                <w:sz w:val="15"/>
              </w:rPr>
              <w:t>Anciens agriculteurs exploitants</w:t>
            </w:r>
          </w:p>
        </w:tc>
        <w:tc>
          <w:tcPr>
            <w:tcW w:type="dxa" w:w="737"/>
            <w:vAlign w:val="center"/>
          </w:tcPr>
          <w:p>
            <w:pPr>
              <w:spacing w:after="0" w:line="240" w:lineRule="auto"/>
              <w:jc w:val="center"/>
            </w:pPr>
            <w:r/>
            <w:r>
              <w:rPr>
                <w:b w:val="0"/>
                <w:i w:val="0"/>
                <w:sz w:val="15"/>
              </w:rPr>
              <w:t>19</w:t>
            </w:r>
          </w:p>
        </w:tc>
        <w:tc>
          <w:tcPr>
            <w:tcW w:type="dxa" w:w="567"/>
            <w:vAlign w:val="center"/>
          </w:tcPr>
          <w:p>
            <w:pPr>
              <w:spacing w:after="0" w:line="240" w:lineRule="auto"/>
              <w:jc w:val="center"/>
            </w:pPr>
            <w:r/>
            <w:r>
              <w:rPr>
                <w:b w:val="0"/>
                <w:i w:val="0"/>
                <w:sz w:val="15"/>
              </w:rPr>
              <w:t>0,5</w:t>
            </w:r>
          </w:p>
        </w:tc>
      </w:tr>
      <w:tr>
        <w:trPr>
          <w:cantSplit/>
        </w:trPr>
        <w:tc>
          <w:tcPr>
            <w:tcW w:type="dxa" w:w="2778"/>
            <w:vAlign w:val="center"/>
          </w:tcPr>
          <w:p>
            <w:pPr>
              <w:spacing w:after="0" w:line="240" w:lineRule="auto"/>
              <w:jc w:val="left"/>
            </w:pPr>
            <w:r/>
            <w:r>
              <w:rPr>
                <w:b w:val="0"/>
                <w:i w:val="0"/>
                <w:sz w:val="15"/>
              </w:rPr>
              <w:t>Commune rurale</w:t>
            </w:r>
          </w:p>
        </w:tc>
        <w:tc>
          <w:tcPr>
            <w:tcW w:type="dxa" w:w="737"/>
            <w:vAlign w:val="center"/>
          </w:tcPr>
          <w:p>
            <w:pPr>
              <w:spacing w:after="0" w:line="240" w:lineRule="auto"/>
              <w:jc w:val="center"/>
            </w:pPr>
            <w:r/>
            <w:r>
              <w:rPr>
                <w:b w:val="0"/>
                <w:i w:val="0"/>
                <w:sz w:val="15"/>
              </w:rPr>
              <w:t>1 298</w:t>
            </w:r>
          </w:p>
        </w:tc>
        <w:tc>
          <w:tcPr>
            <w:tcW w:type="dxa" w:w="567"/>
            <w:vAlign w:val="center"/>
          </w:tcPr>
          <w:p>
            <w:pPr>
              <w:spacing w:after="0" w:line="240" w:lineRule="auto"/>
              <w:jc w:val="center"/>
            </w:pPr>
            <w:r/>
            <w:r>
              <w:rPr>
                <w:b w:val="0"/>
                <w:i w:val="0"/>
                <w:sz w:val="15"/>
              </w:rPr>
              <w:t>30,9</w:t>
            </w:r>
          </w:p>
        </w:tc>
        <w:tc>
          <w:tcPr>
            <w:tcW w:type="dxa" w:w="3685"/>
            <w:vAlign w:val="center"/>
          </w:tcPr>
          <w:p>
            <w:pPr>
              <w:spacing w:after="0" w:line="240" w:lineRule="auto"/>
              <w:jc w:val="left"/>
            </w:pPr>
            <w:r/>
            <w:r>
              <w:rPr>
                <w:b w:val="0"/>
                <w:i w:val="0"/>
                <w:sz w:val="15"/>
              </w:rPr>
              <w:t>Anciens artisans, commerçants, chefs d’entr.</w:t>
            </w:r>
          </w:p>
        </w:tc>
        <w:tc>
          <w:tcPr>
            <w:tcW w:type="dxa" w:w="737"/>
            <w:vAlign w:val="center"/>
          </w:tcPr>
          <w:p>
            <w:pPr>
              <w:spacing w:after="0" w:line="240" w:lineRule="auto"/>
              <w:jc w:val="center"/>
            </w:pPr>
            <w:r/>
            <w:r>
              <w:rPr>
                <w:b w:val="0"/>
                <w:i w:val="0"/>
                <w:sz w:val="15"/>
              </w:rPr>
              <w:t>49</w:t>
            </w:r>
          </w:p>
        </w:tc>
        <w:tc>
          <w:tcPr>
            <w:tcW w:type="dxa" w:w="567"/>
            <w:vAlign w:val="center"/>
          </w:tcPr>
          <w:p>
            <w:pPr>
              <w:spacing w:after="0" w:line="240" w:lineRule="auto"/>
              <w:jc w:val="center"/>
            </w:pPr>
            <w:r/>
            <w:r>
              <w:rPr>
                <w:b w:val="0"/>
                <w:i w:val="0"/>
                <w:sz w:val="15"/>
              </w:rPr>
              <w:t>1,2</w:t>
            </w:r>
          </w:p>
        </w:tc>
      </w:tr>
      <w:tr>
        <w:trPr>
          <w:cantSplit/>
        </w:trPr>
        <w:tc>
          <w:tcPr>
            <w:tcW w:type="dxa" w:w="2778"/>
            <w:vAlign w:val="center"/>
          </w:tcPr>
          <w:p>
            <w:pPr>
              <w:spacing w:after="0" w:line="240" w:lineRule="auto"/>
              <w:jc w:val="left"/>
            </w:pPr>
            <w:r/>
            <w:r>
              <w:rPr>
                <w:b w:val="0"/>
                <w:i w:val="0"/>
                <w:sz w:val="15"/>
              </w:rPr>
              <w:t>UU de 2 000 à 4 999 hab.</w:t>
            </w:r>
          </w:p>
        </w:tc>
        <w:tc>
          <w:tcPr>
            <w:tcW w:type="dxa" w:w="737"/>
            <w:vAlign w:val="center"/>
          </w:tcPr>
          <w:p>
            <w:pPr>
              <w:spacing w:after="0" w:line="240" w:lineRule="auto"/>
              <w:jc w:val="center"/>
            </w:pPr>
            <w:r/>
            <w:r>
              <w:rPr>
                <w:b w:val="0"/>
                <w:i w:val="0"/>
                <w:sz w:val="15"/>
              </w:rPr>
              <w:t>299</w:t>
            </w:r>
          </w:p>
        </w:tc>
        <w:tc>
          <w:tcPr>
            <w:tcW w:type="dxa" w:w="567"/>
            <w:vAlign w:val="center"/>
          </w:tcPr>
          <w:p>
            <w:pPr>
              <w:spacing w:after="0" w:line="240" w:lineRule="auto"/>
              <w:jc w:val="center"/>
            </w:pPr>
            <w:r/>
            <w:r>
              <w:rPr>
                <w:b w:val="0"/>
                <w:i w:val="0"/>
                <w:sz w:val="15"/>
              </w:rPr>
              <w:t>7,1</w:t>
            </w:r>
          </w:p>
        </w:tc>
        <w:tc>
          <w:tcPr>
            <w:tcW w:type="dxa" w:w="3685"/>
            <w:vAlign w:val="center"/>
          </w:tcPr>
          <w:p>
            <w:pPr>
              <w:spacing w:after="0" w:line="240" w:lineRule="auto"/>
              <w:jc w:val="left"/>
            </w:pPr>
            <w:r/>
            <w:r>
              <w:rPr>
                <w:b w:val="0"/>
                <w:i w:val="0"/>
                <w:sz w:val="15"/>
              </w:rPr>
              <w:t>Anciens cadres et prof. intermédiaires</w:t>
            </w:r>
          </w:p>
        </w:tc>
        <w:tc>
          <w:tcPr>
            <w:tcW w:type="dxa" w:w="737"/>
            <w:vAlign w:val="center"/>
          </w:tcPr>
          <w:p>
            <w:pPr>
              <w:spacing w:after="0" w:line="240" w:lineRule="auto"/>
              <w:jc w:val="center"/>
            </w:pPr>
            <w:r/>
            <w:r>
              <w:rPr>
                <w:b w:val="0"/>
                <w:i w:val="0"/>
                <w:sz w:val="15"/>
              </w:rPr>
              <w:t>340</w:t>
            </w:r>
          </w:p>
        </w:tc>
        <w:tc>
          <w:tcPr>
            <w:tcW w:type="dxa" w:w="567"/>
            <w:vAlign w:val="center"/>
          </w:tcPr>
          <w:p>
            <w:pPr>
              <w:spacing w:after="0" w:line="240" w:lineRule="auto"/>
              <w:jc w:val="center"/>
            </w:pPr>
            <w:r/>
            <w:r>
              <w:rPr>
                <w:b w:val="0"/>
                <w:i w:val="0"/>
                <w:sz w:val="15"/>
              </w:rPr>
              <w:t>8,1</w:t>
            </w:r>
          </w:p>
        </w:tc>
      </w:tr>
      <w:tr>
        <w:trPr>
          <w:cantSplit/>
        </w:trPr>
        <w:tc>
          <w:tcPr>
            <w:tcW w:type="dxa" w:w="2778"/>
            <w:vAlign w:val="center"/>
          </w:tcPr>
          <w:p>
            <w:pPr>
              <w:spacing w:after="0" w:line="240" w:lineRule="auto"/>
              <w:jc w:val="left"/>
            </w:pPr>
            <w:r/>
            <w:r>
              <w:rPr>
                <w:b w:val="0"/>
                <w:i w:val="0"/>
                <w:sz w:val="15"/>
              </w:rPr>
              <w:t>UU de 5 000 à 9 999 hab.</w:t>
            </w:r>
          </w:p>
        </w:tc>
        <w:tc>
          <w:tcPr>
            <w:tcW w:type="dxa" w:w="737"/>
            <w:vAlign w:val="center"/>
          </w:tcPr>
          <w:p>
            <w:pPr>
              <w:spacing w:after="0" w:line="240" w:lineRule="auto"/>
              <w:jc w:val="center"/>
            </w:pPr>
            <w:r/>
            <w:r>
              <w:rPr>
                <w:b w:val="0"/>
                <w:i w:val="0"/>
                <w:sz w:val="15"/>
              </w:rPr>
              <w:t>213</w:t>
            </w:r>
          </w:p>
        </w:tc>
        <w:tc>
          <w:tcPr>
            <w:tcW w:type="dxa" w:w="567"/>
            <w:vAlign w:val="center"/>
          </w:tcPr>
          <w:p>
            <w:pPr>
              <w:spacing w:after="0" w:line="240" w:lineRule="auto"/>
              <w:jc w:val="center"/>
            </w:pPr>
            <w:r/>
            <w:r>
              <w:rPr>
                <w:b w:val="0"/>
                <w:i w:val="0"/>
                <w:sz w:val="15"/>
              </w:rPr>
              <w:t>5,1</w:t>
            </w:r>
          </w:p>
        </w:tc>
        <w:tc>
          <w:tcPr>
            <w:tcW w:type="dxa" w:w="3685"/>
            <w:vAlign w:val="center"/>
          </w:tcPr>
          <w:p>
            <w:pPr>
              <w:spacing w:after="0" w:line="240" w:lineRule="auto"/>
              <w:jc w:val="left"/>
            </w:pPr>
            <w:r/>
            <w:r>
              <w:rPr>
                <w:b w:val="0"/>
                <w:i w:val="0"/>
                <w:sz w:val="15"/>
              </w:rPr>
              <w:t>Anciens employés et ouvriers</w:t>
            </w:r>
          </w:p>
        </w:tc>
        <w:tc>
          <w:tcPr>
            <w:tcW w:type="dxa" w:w="737"/>
            <w:vAlign w:val="center"/>
          </w:tcPr>
          <w:p>
            <w:pPr>
              <w:spacing w:after="0" w:line="240" w:lineRule="auto"/>
              <w:jc w:val="center"/>
            </w:pPr>
            <w:r/>
            <w:r>
              <w:rPr>
                <w:b w:val="0"/>
                <w:i w:val="0"/>
                <w:sz w:val="15"/>
              </w:rPr>
              <w:t>310</w:t>
            </w:r>
          </w:p>
        </w:tc>
        <w:tc>
          <w:tcPr>
            <w:tcW w:type="dxa" w:w="567"/>
            <w:vAlign w:val="center"/>
          </w:tcPr>
          <w:p>
            <w:pPr>
              <w:spacing w:after="0" w:line="240" w:lineRule="auto"/>
              <w:jc w:val="center"/>
            </w:pPr>
            <w:r/>
            <w:r>
              <w:rPr>
                <w:b w:val="0"/>
                <w:i w:val="0"/>
                <w:sz w:val="15"/>
              </w:rPr>
              <w:t>7,4</w:t>
            </w:r>
          </w:p>
        </w:tc>
      </w:tr>
      <w:tr>
        <w:trPr>
          <w:cantSplit/>
        </w:trPr>
        <w:tc>
          <w:tcPr>
            <w:tcW w:type="dxa" w:w="2778"/>
            <w:vAlign w:val="center"/>
          </w:tcPr>
          <w:p>
            <w:pPr>
              <w:spacing w:after="0" w:line="240" w:lineRule="auto"/>
              <w:jc w:val="left"/>
            </w:pPr>
            <w:r/>
            <w:r>
              <w:rPr>
                <w:b w:val="0"/>
                <w:i w:val="0"/>
                <w:sz w:val="15"/>
              </w:rPr>
              <w:t>UU de 10 000 à 19 999 hab.</w:t>
            </w:r>
          </w:p>
        </w:tc>
        <w:tc>
          <w:tcPr>
            <w:tcW w:type="dxa" w:w="737"/>
            <w:vAlign w:val="center"/>
          </w:tcPr>
          <w:p>
            <w:pPr>
              <w:spacing w:after="0" w:line="240" w:lineRule="auto"/>
              <w:jc w:val="center"/>
            </w:pPr>
            <w:r/>
            <w:r>
              <w:rPr>
                <w:b w:val="0"/>
                <w:i w:val="0"/>
                <w:sz w:val="15"/>
              </w:rPr>
              <w:t>225</w:t>
            </w:r>
          </w:p>
        </w:tc>
        <w:tc>
          <w:tcPr>
            <w:tcW w:type="dxa" w:w="567"/>
            <w:vAlign w:val="center"/>
          </w:tcPr>
          <w:p>
            <w:pPr>
              <w:spacing w:after="0" w:line="240" w:lineRule="auto"/>
              <w:jc w:val="center"/>
            </w:pPr>
            <w:r/>
            <w:r>
              <w:rPr>
                <w:b w:val="0"/>
                <w:i w:val="0"/>
                <w:sz w:val="15"/>
              </w:rPr>
              <w:t>5,4</w:t>
            </w:r>
          </w:p>
        </w:tc>
        <w:tc>
          <w:tcPr>
            <w:tcW w:type="dxa" w:w="3685"/>
            <w:vAlign w:val="center"/>
          </w:tcPr>
          <w:p>
            <w:pPr>
              <w:spacing w:after="0" w:line="240" w:lineRule="auto"/>
              <w:jc w:val="left"/>
            </w:pPr>
            <w:r/>
            <w:r>
              <w:rPr>
                <w:b w:val="0"/>
                <w:i w:val="0"/>
                <w:sz w:val="15"/>
              </w:rPr>
              <w:t>Chômeurs n’ayant jamais travaillé</w:t>
            </w:r>
          </w:p>
        </w:tc>
        <w:tc>
          <w:tcPr>
            <w:tcW w:type="dxa" w:w="737"/>
            <w:vAlign w:val="center"/>
          </w:tcPr>
          <w:p>
            <w:pPr>
              <w:spacing w:after="0" w:line="240" w:lineRule="auto"/>
              <w:jc w:val="center"/>
            </w:pPr>
            <w:r/>
            <w:r>
              <w:rPr>
                <w:b w:val="0"/>
                <w:i w:val="0"/>
                <w:sz w:val="15"/>
              </w:rPr>
              <w:t>5</w:t>
            </w:r>
          </w:p>
        </w:tc>
        <w:tc>
          <w:tcPr>
            <w:tcW w:type="dxa" w:w="567"/>
            <w:vAlign w:val="center"/>
          </w:tcPr>
          <w:p>
            <w:pPr>
              <w:spacing w:after="0" w:line="240" w:lineRule="auto"/>
              <w:jc w:val="center"/>
            </w:pPr>
            <w:r/>
            <w:r>
              <w:rPr>
                <w:b w:val="0"/>
                <w:i w:val="0"/>
                <w:sz w:val="15"/>
              </w:rPr>
              <w:t>0,1</w:t>
            </w:r>
          </w:p>
        </w:tc>
      </w:tr>
      <w:tr>
        <w:trPr>
          <w:cantSplit/>
        </w:trPr>
        <w:tc>
          <w:tcPr>
            <w:tcW w:type="dxa" w:w="2778"/>
            <w:vAlign w:val="center"/>
          </w:tcPr>
          <w:p>
            <w:pPr>
              <w:spacing w:after="0" w:line="240" w:lineRule="auto"/>
              <w:jc w:val="left"/>
            </w:pPr>
            <w:r/>
            <w:r>
              <w:rPr>
                <w:b w:val="0"/>
                <w:i w:val="0"/>
                <w:sz w:val="15"/>
              </w:rPr>
              <w:t>UU de 20 000 à 49 999 hab.</w:t>
            </w:r>
          </w:p>
        </w:tc>
        <w:tc>
          <w:tcPr>
            <w:tcW w:type="dxa" w:w="737"/>
            <w:vAlign w:val="center"/>
          </w:tcPr>
          <w:p>
            <w:pPr>
              <w:spacing w:after="0" w:line="240" w:lineRule="auto"/>
              <w:jc w:val="center"/>
            </w:pPr>
            <w:r/>
            <w:r>
              <w:rPr>
                <w:b w:val="0"/>
                <w:i w:val="0"/>
                <w:sz w:val="15"/>
              </w:rPr>
              <w:t>275</w:t>
            </w:r>
          </w:p>
        </w:tc>
        <w:tc>
          <w:tcPr>
            <w:tcW w:type="dxa" w:w="567"/>
            <w:vAlign w:val="center"/>
          </w:tcPr>
          <w:p>
            <w:pPr>
              <w:spacing w:after="0" w:line="240" w:lineRule="auto"/>
              <w:jc w:val="center"/>
            </w:pPr>
            <w:r/>
            <w:r>
              <w:rPr>
                <w:b w:val="0"/>
                <w:i w:val="0"/>
                <w:sz w:val="15"/>
              </w:rPr>
              <w:t>6,6</w:t>
            </w:r>
          </w:p>
        </w:tc>
        <w:tc>
          <w:tcPr>
            <w:tcW w:type="dxa" w:w="3685"/>
            <w:vAlign w:val="center"/>
          </w:tcPr>
          <w:p>
            <w:pPr>
              <w:spacing w:after="0" w:line="240" w:lineRule="auto"/>
              <w:jc w:val="left"/>
            </w:pPr>
            <w:r/>
            <w:r>
              <w:rPr>
                <w:b w:val="0"/>
                <w:i w:val="0"/>
                <w:sz w:val="15"/>
              </w:rPr>
              <w:t>Inactifs divers (autres que retraités)</w:t>
            </w:r>
          </w:p>
        </w:tc>
        <w:tc>
          <w:tcPr>
            <w:tcW w:type="dxa" w:w="737"/>
            <w:vAlign w:val="center"/>
          </w:tcPr>
          <w:p>
            <w:pPr>
              <w:spacing w:after="0" w:line="240" w:lineRule="auto"/>
              <w:jc w:val="center"/>
            </w:pPr>
            <w:r/>
            <w:r>
              <w:rPr>
                <w:b w:val="0"/>
                <w:i w:val="0"/>
                <w:sz w:val="15"/>
              </w:rPr>
              <w:t>122</w:t>
            </w:r>
          </w:p>
        </w:tc>
        <w:tc>
          <w:tcPr>
            <w:tcW w:type="dxa" w:w="567"/>
            <w:vAlign w:val="center"/>
          </w:tcPr>
          <w:p>
            <w:pPr>
              <w:spacing w:after="0" w:line="240" w:lineRule="auto"/>
              <w:jc w:val="center"/>
            </w:pPr>
            <w:r/>
            <w:r>
              <w:rPr>
                <w:b w:val="0"/>
                <w:i w:val="0"/>
                <w:sz w:val="15"/>
              </w:rPr>
              <w:t>2,9</w:t>
            </w:r>
          </w:p>
        </w:tc>
      </w:tr>
      <w:tr>
        <w:trPr>
          <w:cantSplit/>
        </w:trPr>
        <w:tc>
          <w:tcPr>
            <w:tcW w:type="dxa" w:w="2778"/>
            <w:vAlign w:val="center"/>
          </w:tcPr>
          <w:p>
            <w:pPr>
              <w:spacing w:after="0" w:line="240" w:lineRule="auto"/>
              <w:jc w:val="left"/>
            </w:pPr>
            <w:r/>
            <w:r>
              <w:rPr>
                <w:b w:val="0"/>
                <w:i w:val="0"/>
                <w:sz w:val="15"/>
              </w:rPr>
              <w:t>UU de 50 000 à 99 999 hab.</w:t>
            </w:r>
          </w:p>
        </w:tc>
        <w:tc>
          <w:tcPr>
            <w:tcW w:type="dxa" w:w="737"/>
            <w:vAlign w:val="center"/>
          </w:tcPr>
          <w:p>
            <w:pPr>
              <w:spacing w:after="0" w:line="240" w:lineRule="auto"/>
              <w:jc w:val="center"/>
            </w:pPr>
            <w:r/>
            <w:r>
              <w:rPr>
                <w:b w:val="0"/>
                <w:i w:val="0"/>
                <w:sz w:val="15"/>
              </w:rPr>
              <w:t>271</w:t>
            </w:r>
          </w:p>
        </w:tc>
        <w:tc>
          <w:tcPr>
            <w:tcW w:type="dxa" w:w="567"/>
            <w:vAlign w:val="center"/>
          </w:tcPr>
          <w:p>
            <w:pPr>
              <w:spacing w:after="0" w:line="240" w:lineRule="auto"/>
              <w:jc w:val="center"/>
            </w:pPr>
            <w:r/>
            <w:r>
              <w:rPr>
                <w:b w:val="0"/>
                <w:i w:val="0"/>
                <w:sz w:val="15"/>
              </w:rPr>
              <w:t>6,5</w:t>
            </w:r>
          </w:p>
        </w:tc>
        <w:tc>
          <w:tcPr>
            <w:tcW w:type="dxa" w:w="3685"/>
            <w:vAlign w:val="center"/>
          </w:tcPr>
          <w:p>
            <w:pPr>
              <w:spacing w:after="0" w:line="240" w:lineRule="auto"/>
              <w:jc w:val="left"/>
            </w:pPr>
            <w:r/>
            <w:r>
              <w:rPr>
                <w:b w:val="0"/>
                <w:i w:val="0"/>
                <w:sz w:val="15"/>
              </w:rPr>
              <w:t>Non renseigné</w:t>
            </w:r>
          </w:p>
        </w:tc>
        <w:tc>
          <w:tcPr>
            <w:tcW w:type="dxa" w:w="737"/>
            <w:vAlign w:val="center"/>
          </w:tcPr>
          <w:p>
            <w:pPr>
              <w:spacing w:after="0" w:line="240" w:lineRule="auto"/>
              <w:jc w:val="center"/>
            </w:pPr>
            <w:r/>
            <w:r>
              <w:rPr>
                <w:b w:val="0"/>
                <w:i w:val="0"/>
                <w:sz w:val="15"/>
              </w:rPr>
              <w:t>66</w:t>
            </w:r>
          </w:p>
        </w:tc>
        <w:tc>
          <w:tcPr>
            <w:tcW w:type="dxa" w:w="567"/>
            <w:vAlign w:val="center"/>
          </w:tcPr>
          <w:p>
            <w:pPr>
              <w:spacing w:after="0" w:line="240" w:lineRule="auto"/>
              <w:jc w:val="center"/>
            </w:pPr>
            <w:r/>
            <w:r>
              <w:rPr>
                <w:b w:val="0"/>
                <w:i w:val="0"/>
                <w:sz w:val="15"/>
              </w:rPr>
              <w:t>1,6</w:t>
            </w:r>
          </w:p>
        </w:tc>
      </w:tr>
      <w:tr>
        <w:trPr>
          <w:cantSplit/>
        </w:trPr>
        <w:tc>
          <w:tcPr>
            <w:tcW w:type="dxa" w:w="2778"/>
            <w:vAlign w:val="center"/>
          </w:tcPr>
          <w:p>
            <w:pPr>
              <w:spacing w:after="0" w:line="240" w:lineRule="auto"/>
              <w:jc w:val="left"/>
            </w:pPr>
            <w:r/>
            <w:r>
              <w:rPr>
                <w:b w:val="0"/>
                <w:i w:val="0"/>
                <w:sz w:val="15"/>
              </w:rPr>
              <w:t>UU de 100 000 à 199 999 hab.</w:t>
            </w:r>
          </w:p>
        </w:tc>
        <w:tc>
          <w:tcPr>
            <w:tcW w:type="dxa" w:w="737"/>
            <w:vAlign w:val="center"/>
          </w:tcPr>
          <w:p>
            <w:pPr>
              <w:spacing w:after="0" w:line="240" w:lineRule="auto"/>
              <w:jc w:val="center"/>
            </w:pPr>
            <w:r/>
            <w:r>
              <w:rPr>
                <w:b w:val="0"/>
                <w:i w:val="0"/>
                <w:sz w:val="15"/>
              </w:rPr>
              <w:t>247</w:t>
            </w:r>
          </w:p>
        </w:tc>
        <w:tc>
          <w:tcPr>
            <w:tcW w:type="dxa" w:w="567"/>
            <w:vAlign w:val="center"/>
          </w:tcPr>
          <w:p>
            <w:pPr>
              <w:spacing w:after="0" w:line="240" w:lineRule="auto"/>
              <w:jc w:val="center"/>
            </w:pPr>
            <w:r/>
            <w:r>
              <w:rPr>
                <w:b w:val="0"/>
                <w:i w:val="0"/>
                <w:sz w:val="15"/>
              </w:rPr>
              <w:t>5,9</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UU de 200 000 à 1 999 999 hab.</w:t>
            </w:r>
          </w:p>
        </w:tc>
        <w:tc>
          <w:tcPr>
            <w:tcW w:type="dxa" w:w="737"/>
            <w:vAlign w:val="center"/>
          </w:tcPr>
          <w:p>
            <w:pPr>
              <w:spacing w:after="0" w:line="240" w:lineRule="auto"/>
              <w:jc w:val="center"/>
            </w:pPr>
            <w:r/>
            <w:r>
              <w:rPr>
                <w:b w:val="0"/>
                <w:i w:val="0"/>
                <w:sz w:val="15"/>
              </w:rPr>
              <w:t>983</w:t>
            </w:r>
          </w:p>
        </w:tc>
        <w:tc>
          <w:tcPr>
            <w:tcW w:type="dxa" w:w="567"/>
            <w:vAlign w:val="center"/>
          </w:tcPr>
          <w:p>
            <w:pPr>
              <w:spacing w:after="0" w:line="240" w:lineRule="auto"/>
              <w:jc w:val="center"/>
            </w:pPr>
            <w:r/>
            <w:r>
              <w:rPr>
                <w:b w:val="0"/>
                <w:i w:val="0"/>
                <w:sz w:val="15"/>
              </w:rPr>
              <w:t>23,4</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Agglomération de Paris</w:t>
            </w:r>
          </w:p>
        </w:tc>
        <w:tc>
          <w:tcPr>
            <w:tcW w:type="dxa" w:w="737"/>
            <w:vAlign w:val="center"/>
          </w:tcPr>
          <w:p>
            <w:pPr>
              <w:spacing w:after="0" w:line="240" w:lineRule="auto"/>
              <w:jc w:val="center"/>
            </w:pPr>
            <w:r/>
            <w:r>
              <w:rPr>
                <w:b w:val="0"/>
                <w:i w:val="0"/>
                <w:sz w:val="15"/>
              </w:rPr>
              <w:t>387</w:t>
            </w:r>
          </w:p>
        </w:tc>
        <w:tc>
          <w:tcPr>
            <w:tcW w:type="dxa" w:w="567"/>
            <w:vAlign w:val="center"/>
          </w:tcPr>
          <w:p>
            <w:pPr>
              <w:spacing w:after="0" w:line="240" w:lineRule="auto"/>
              <w:jc w:val="center"/>
            </w:pPr>
            <w:r/>
            <w:r>
              <w:rPr>
                <w:b w:val="0"/>
                <w:i w:val="0"/>
                <w:sz w:val="15"/>
              </w:rPr>
              <w:t>9,2</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4082"/>
            <w:gridSpan w:val="3"/>
            <w:shd w:val="clear" w:color="auto" w:fill="F4F6F9"/>
            <w:vAlign w:val="center"/>
          </w:tcPr>
          <w:p>
            <w:pPr>
              <w:spacing w:after="0" w:line="240" w:lineRule="auto"/>
              <w:jc w:val="left"/>
            </w:pPr>
            <w:r/>
            <w:r>
              <w:rPr>
                <w:b/>
                <w:i w:val="0"/>
                <w:sz w:val="15"/>
              </w:rPr>
              <w:t>Type de logement</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Ferme, pavillon, maison indépendante</w:t>
            </w:r>
          </w:p>
        </w:tc>
        <w:tc>
          <w:tcPr>
            <w:tcW w:type="dxa" w:w="737"/>
            <w:vAlign w:val="center"/>
          </w:tcPr>
          <w:p>
            <w:pPr>
              <w:spacing w:after="0" w:line="240" w:lineRule="auto"/>
              <w:jc w:val="center"/>
            </w:pPr>
            <w:r/>
            <w:r>
              <w:rPr>
                <w:b w:val="0"/>
                <w:i w:val="0"/>
                <w:sz w:val="15"/>
              </w:rPr>
              <w:t>2 132</w:t>
            </w:r>
          </w:p>
        </w:tc>
        <w:tc>
          <w:tcPr>
            <w:tcW w:type="dxa" w:w="567"/>
            <w:vAlign w:val="center"/>
          </w:tcPr>
          <w:p>
            <w:pPr>
              <w:spacing w:after="0" w:line="240" w:lineRule="auto"/>
              <w:jc w:val="center"/>
            </w:pPr>
            <w:r/>
            <w:r>
              <w:rPr>
                <w:b w:val="0"/>
                <w:i w:val="0"/>
                <w:sz w:val="15"/>
              </w:rPr>
              <w:t>50,8</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Maison mitoyenne, jumelée, en bande</w:t>
            </w:r>
          </w:p>
        </w:tc>
        <w:tc>
          <w:tcPr>
            <w:tcW w:type="dxa" w:w="737"/>
            <w:vAlign w:val="center"/>
          </w:tcPr>
          <w:p>
            <w:pPr>
              <w:spacing w:after="0" w:line="240" w:lineRule="auto"/>
              <w:jc w:val="center"/>
            </w:pPr>
            <w:r/>
            <w:r>
              <w:rPr>
                <w:b w:val="0"/>
                <w:i w:val="0"/>
                <w:sz w:val="15"/>
              </w:rPr>
              <w:t>945</w:t>
            </w:r>
          </w:p>
        </w:tc>
        <w:tc>
          <w:tcPr>
            <w:tcW w:type="dxa" w:w="567"/>
            <w:vAlign w:val="center"/>
          </w:tcPr>
          <w:p>
            <w:pPr>
              <w:spacing w:after="0" w:line="240" w:lineRule="auto"/>
              <w:jc w:val="center"/>
            </w:pPr>
            <w:r/>
            <w:r>
              <w:rPr>
                <w:b w:val="0"/>
                <w:i w:val="0"/>
                <w:sz w:val="15"/>
              </w:rPr>
              <w:t>22,5</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Appart., immeuble de 2 logements</w:t>
            </w:r>
          </w:p>
        </w:tc>
        <w:tc>
          <w:tcPr>
            <w:tcW w:type="dxa" w:w="737"/>
            <w:vAlign w:val="center"/>
          </w:tcPr>
          <w:p>
            <w:pPr>
              <w:spacing w:after="0" w:line="240" w:lineRule="auto"/>
              <w:jc w:val="center"/>
            </w:pPr>
            <w:r/>
            <w:r>
              <w:rPr>
                <w:b w:val="0"/>
                <w:i w:val="0"/>
                <w:sz w:val="15"/>
              </w:rPr>
              <w:t>65</w:t>
            </w:r>
          </w:p>
        </w:tc>
        <w:tc>
          <w:tcPr>
            <w:tcW w:type="dxa" w:w="567"/>
            <w:vAlign w:val="center"/>
          </w:tcPr>
          <w:p>
            <w:pPr>
              <w:spacing w:after="0" w:line="240" w:lineRule="auto"/>
              <w:jc w:val="center"/>
            </w:pPr>
            <w:r/>
            <w:r>
              <w:rPr>
                <w:b w:val="0"/>
                <w:i w:val="0"/>
                <w:sz w:val="15"/>
              </w:rPr>
              <w:t>1,5</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Appart., immeuble de 3 à 9 logements</w:t>
            </w:r>
          </w:p>
        </w:tc>
        <w:tc>
          <w:tcPr>
            <w:tcW w:type="dxa" w:w="737"/>
            <w:vAlign w:val="center"/>
          </w:tcPr>
          <w:p>
            <w:pPr>
              <w:spacing w:after="0" w:line="240" w:lineRule="auto"/>
              <w:jc w:val="center"/>
            </w:pPr>
            <w:r/>
            <w:r>
              <w:rPr>
                <w:b w:val="0"/>
                <w:i w:val="0"/>
                <w:sz w:val="15"/>
              </w:rPr>
              <w:t>311</w:t>
            </w:r>
          </w:p>
        </w:tc>
        <w:tc>
          <w:tcPr>
            <w:tcW w:type="dxa" w:w="567"/>
            <w:vAlign w:val="center"/>
          </w:tcPr>
          <w:p>
            <w:pPr>
              <w:spacing w:after="0" w:line="240" w:lineRule="auto"/>
              <w:jc w:val="center"/>
            </w:pPr>
            <w:r/>
            <w:r>
              <w:rPr>
                <w:b w:val="0"/>
                <w:i w:val="0"/>
                <w:sz w:val="15"/>
              </w:rPr>
              <w:t>7,4</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Appart., immeuble de 10 logements ou +</w:t>
            </w:r>
          </w:p>
        </w:tc>
        <w:tc>
          <w:tcPr>
            <w:tcW w:type="dxa" w:w="737"/>
            <w:vAlign w:val="center"/>
          </w:tcPr>
          <w:p>
            <w:pPr>
              <w:spacing w:after="0" w:line="240" w:lineRule="auto"/>
              <w:jc w:val="center"/>
            </w:pPr>
            <w:r/>
            <w:r>
              <w:rPr>
                <w:b w:val="0"/>
                <w:i w:val="0"/>
                <w:sz w:val="15"/>
              </w:rPr>
              <w:t>657</w:t>
            </w:r>
          </w:p>
        </w:tc>
        <w:tc>
          <w:tcPr>
            <w:tcW w:type="dxa" w:w="567"/>
            <w:vAlign w:val="center"/>
          </w:tcPr>
          <w:p>
            <w:pPr>
              <w:spacing w:after="0" w:line="240" w:lineRule="auto"/>
              <w:jc w:val="center"/>
            </w:pPr>
            <w:r/>
            <w:r>
              <w:rPr>
                <w:b w:val="0"/>
                <w:i w:val="0"/>
                <w:sz w:val="15"/>
              </w:rPr>
              <w:t>15,7</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Habitation précaire</w:t>
            </w:r>
          </w:p>
        </w:tc>
        <w:tc>
          <w:tcPr>
            <w:tcW w:type="dxa" w:w="737"/>
            <w:vAlign w:val="center"/>
          </w:tcPr>
          <w:p>
            <w:pPr>
              <w:spacing w:after="0" w:line="240" w:lineRule="auto"/>
              <w:jc w:val="center"/>
            </w:pPr>
            <w:r/>
            <w:r>
              <w:rPr>
                <w:b w:val="0"/>
                <w:i w:val="0"/>
                <w:sz w:val="15"/>
              </w:rPr>
              <w:t>4</w:t>
            </w:r>
          </w:p>
        </w:tc>
        <w:tc>
          <w:tcPr>
            <w:tcW w:type="dxa" w:w="567"/>
            <w:vAlign w:val="center"/>
          </w:tcPr>
          <w:p>
            <w:pPr>
              <w:spacing w:after="0" w:line="240" w:lineRule="auto"/>
              <w:jc w:val="center"/>
            </w:pPr>
            <w:r/>
            <w:r>
              <w:rPr>
                <w:b w:val="0"/>
                <w:i w:val="0"/>
                <w:sz w:val="15"/>
              </w:rPr>
              <w:t>0,1</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Autre type de logement</w:t>
            </w:r>
          </w:p>
        </w:tc>
        <w:tc>
          <w:tcPr>
            <w:tcW w:type="dxa" w:w="737"/>
            <w:vAlign w:val="center"/>
          </w:tcPr>
          <w:p>
            <w:pPr>
              <w:spacing w:after="0" w:line="240" w:lineRule="auto"/>
              <w:jc w:val="center"/>
            </w:pPr>
            <w:r/>
            <w:r>
              <w:rPr>
                <w:b w:val="0"/>
                <w:i w:val="0"/>
                <w:sz w:val="15"/>
              </w:rPr>
              <w:t>4</w:t>
            </w:r>
          </w:p>
        </w:tc>
        <w:tc>
          <w:tcPr>
            <w:tcW w:type="dxa" w:w="567"/>
            <w:vAlign w:val="center"/>
          </w:tcPr>
          <w:p>
            <w:pPr>
              <w:spacing w:after="0" w:line="240" w:lineRule="auto"/>
              <w:jc w:val="center"/>
            </w:pPr>
            <w:r/>
            <w:r>
              <w:rPr>
                <w:b w:val="0"/>
                <w:i w:val="0"/>
                <w:sz w:val="15"/>
              </w:rPr>
              <w:t>0,1</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r>
        <w:trPr>
          <w:cantSplit/>
        </w:trPr>
        <w:tc>
          <w:tcPr>
            <w:tcW w:type="dxa" w:w="2778"/>
            <w:vAlign w:val="center"/>
          </w:tcPr>
          <w:p>
            <w:pPr>
              <w:spacing w:after="0" w:line="240" w:lineRule="auto"/>
              <w:jc w:val="left"/>
            </w:pPr>
            <w:r/>
            <w:r>
              <w:rPr>
                <w:b w:val="0"/>
                <w:i w:val="0"/>
                <w:sz w:val="15"/>
              </w:rPr>
              <w:t>Non renseigné</w:t>
            </w:r>
          </w:p>
        </w:tc>
        <w:tc>
          <w:tcPr>
            <w:tcW w:type="dxa" w:w="737"/>
            <w:vAlign w:val="center"/>
          </w:tcPr>
          <w:p>
            <w:pPr>
              <w:spacing w:after="0" w:line="240" w:lineRule="auto"/>
              <w:jc w:val="center"/>
            </w:pPr>
            <w:r/>
            <w:r>
              <w:rPr>
                <w:b w:val="0"/>
                <w:i w:val="0"/>
                <w:sz w:val="15"/>
              </w:rPr>
              <w:t>80</w:t>
            </w:r>
          </w:p>
        </w:tc>
        <w:tc>
          <w:tcPr>
            <w:tcW w:type="dxa" w:w="567"/>
            <w:vAlign w:val="center"/>
          </w:tcPr>
          <w:p>
            <w:pPr>
              <w:spacing w:after="0" w:line="240" w:lineRule="auto"/>
              <w:jc w:val="center"/>
            </w:pPr>
            <w:r/>
            <w:r>
              <w:rPr>
                <w:b w:val="0"/>
                <w:i w:val="0"/>
                <w:sz w:val="15"/>
              </w:rPr>
              <w:t>1,9</w:t>
            </w:r>
          </w:p>
        </w:tc>
        <w:tc>
          <w:tcPr>
            <w:tcW w:type="dxa" w:w="3685"/>
            <w:vAlign w:val="center"/>
          </w:tcPr>
          <w:p>
            <w:pPr>
              <w:spacing w:after="0" w:line="240" w:lineRule="auto"/>
              <w:jc w:val="left"/>
            </w:pPr>
            <w:r/>
            <w:r>
              <w:rPr>
                <w:b w:val="0"/>
                <w:i w:val="0"/>
                <w:sz w:val="15"/>
              </w:rPr>
            </w:r>
          </w:p>
        </w:tc>
        <w:tc>
          <w:tcPr>
            <w:tcW w:type="dxa" w:w="737"/>
            <w:vAlign w:val="center"/>
          </w:tcPr>
          <w:p>
            <w:pPr>
              <w:spacing w:after="0" w:line="240" w:lineRule="auto"/>
              <w:jc w:val="center"/>
            </w:pPr>
            <w:r/>
            <w:r>
              <w:rPr>
                <w:b w:val="0"/>
                <w:i w:val="0"/>
                <w:sz w:val="15"/>
              </w:rPr>
            </w:r>
          </w:p>
        </w:tc>
        <w:tc>
          <w:tcPr>
            <w:tcW w:type="dxa" w:w="567"/>
            <w:vAlign w:val="center"/>
          </w:tcPr>
          <w:p>
            <w:pPr>
              <w:spacing w:after="0" w:line="240" w:lineRule="auto"/>
              <w:jc w:val="center"/>
            </w:pPr>
            <w:r/>
            <w:r>
              <w:rPr>
                <w:b w:val="0"/>
                <w:i w:val="0"/>
                <w:sz w:val="15"/>
              </w:rPr>
            </w:r>
          </w:p>
        </w:tc>
      </w:tr>
    </w:tbl>
    <w:p>
      <w:pPr>
        <w:spacing w:after="200"/>
        <w:jc w:val="left"/>
      </w:pPr>
      <w:r>
        <w:rPr>
          <w:i/>
          <w:sz w:val="18"/>
        </w:rPr>
        <w:t>Source : INSEE, SRCV 2015 (base SRCV1_menage), base brute (4 198 ménages). Commande : tab1 nb_credits motif_a nenfants cs24pr tuu10 typlog, m. UU : unité urbaine.</w:t>
      </w:r>
    </w:p>
    <w:p>
      <w:pPr>
        <w:jc w:val="both"/>
      </w:pPr>
      <w:r>
        <w:t>Seules la CSP (66 ménages, 1,6 %) et le type de logement (80 ménages, 1,9 %) ont des valeurs manquantes ; ces proportions étant inférieures à 5 %, nous supprimons ces observations. Nous regroupons ensuite les modalités trop rares, pour que chacune représente autant que possible 10 % des ménages :</w:t>
      </w:r>
    </w:p>
    <w:p>
      <w:pPr>
        <w:spacing w:after="60"/>
        <w:ind w:left="340"/>
        <w:jc w:val="both"/>
      </w:pPr>
      <w:r>
        <w:t xml:space="preserve">– </w:t>
      </w:r>
      <w:r>
        <w:rPr>
          <w:i/>
        </w:rPr>
        <w:t>Statut d’occupation</w:t>
      </w:r>
      <w:r>
        <w:t xml:space="preserve"> : STO et CREDIT_IMMO sont emboîtées, puisque tous les ménages ayant un crédit immobilier sont propriétaires (tableau 3). Nous créons trois modalités : </w:t>
      </w:r>
      <w:r>
        <w:rPr>
          <w:b/>
        </w:rPr>
        <w:t>propriétaire accédant, propriétaire non accédant, locataire ou logé gratuitement</w:t>
      </w:r>
      <w:r>
        <w:t xml:space="preserve"> (les logés gratuitement, 1,8 %, sont rattachés aux locataires).</w:t>
      </w:r>
    </w:p>
    <w:p>
      <w:pPr>
        <w:spacing w:after="60"/>
        <w:ind w:left="340"/>
        <w:jc w:val="both"/>
      </w:pPr>
      <w:r>
        <w:t xml:space="preserve">– </w:t>
      </w:r>
      <w:r>
        <w:rPr>
          <w:i/>
        </w:rPr>
        <w:t>Nombre de crédits</w:t>
      </w:r>
      <w:r>
        <w:t xml:space="preserve"> : trois crédits ou plus ne concernent que 3,9 % des ménages ; nous opposons </w:t>
      </w:r>
      <w:r>
        <w:rPr>
          <w:b/>
        </w:rPr>
        <w:t>un seul crédit</w:t>
      </w:r>
      <w:r>
        <w:t xml:space="preserve"> à </w:t>
      </w:r>
      <w:r>
        <w:rPr>
          <w:b/>
        </w:rPr>
        <w:t>deux ou plus</w:t>
      </w:r>
      <w:r>
        <w:t>. Le crédit pour un autre bien immobilier, déjà binaire (13,7 % de « oui »), est conservé tel quel.</w:t>
      </w:r>
    </w:p>
    <w:p>
      <w:pPr>
        <w:spacing w:after="60"/>
        <w:ind w:left="340"/>
        <w:jc w:val="both"/>
      </w:pPr>
      <w:r>
        <w:t xml:space="preserve">– </w:t>
      </w:r>
      <w:r>
        <w:rPr>
          <w:i/>
        </w:rPr>
        <w:t>Nombre d’enfants</w:t>
      </w:r>
      <w:r>
        <w:t xml:space="preserve"> : quatre enfants ou plus représentent moins de 2,5 % des ménages ; nous retenons </w:t>
      </w:r>
      <w:r>
        <w:rPr>
          <w:b/>
        </w:rPr>
        <w:t>0, 1, 2, et 3 enfants ou plus</w:t>
      </w:r>
      <w:r>
        <w:t>.</w:t>
      </w:r>
    </w:p>
    <w:p>
      <w:pPr>
        <w:spacing w:after="60"/>
        <w:ind w:left="340"/>
        <w:jc w:val="both"/>
      </w:pPr>
      <w:r>
        <w:t xml:space="preserve">– </w:t>
      </w:r>
      <w:r>
        <w:rPr>
          <w:i/>
        </w:rPr>
        <w:t>CSP</w:t>
      </w:r>
      <w:r>
        <w:t xml:space="preserve"> : les 24 postes sont regroupés en </w:t>
      </w:r>
      <w:r>
        <w:rPr>
          <w:b/>
        </w:rPr>
        <w:t>6 groupes</w:t>
      </w:r>
      <w:r>
        <w:t xml:space="preserve"> selon le premier chiffre de la nomenclature des PCS, les inactifs non retraités (3 %) étant rattachés aux retraités. Les indépendants (6,1 %) restent sous 10 %, mais nous les gardons à part car leur comportement d’emprunt est spécifique (crédits professionnels).</w:t>
      </w:r>
    </w:p>
    <w:p>
      <w:pPr>
        <w:spacing w:after="60"/>
        <w:ind w:left="340"/>
        <w:jc w:val="both"/>
      </w:pPr>
      <w:r>
        <w:t xml:space="preserve">– </w:t>
      </w:r>
      <w:r>
        <w:rPr>
          <w:i/>
        </w:rPr>
        <w:t>Unité urbaine</w:t>
      </w:r>
      <w:r>
        <w:t xml:space="preserve"> : les 9 modalités sont réduites à </w:t>
      </w:r>
      <w:r>
        <w:rPr>
          <w:b/>
        </w:rPr>
        <w:t>5</w:t>
      </w:r>
      <w:r>
        <w:t>. L’agglomération parisienne (9,2 %) reste à part, car c’est là que l’immobilier est le plus cher.</w:t>
      </w:r>
    </w:p>
    <w:p>
      <w:pPr>
        <w:spacing w:after="160"/>
        <w:ind w:left="340"/>
        <w:jc w:val="both"/>
      </w:pPr>
      <w:r>
        <w:t xml:space="preserve">– </w:t>
      </w:r>
      <w:r>
        <w:rPr>
          <w:i/>
        </w:rPr>
        <w:t>Type de logement</w:t>
      </w:r>
      <w:r>
        <w:t xml:space="preserve"> : </w:t>
      </w:r>
      <w:r>
        <w:rPr>
          <w:b/>
        </w:rPr>
        <w:t>maison</w:t>
      </w:r>
      <w:r>
        <w:t xml:space="preserve"> (individuelle ou mitoyenne) ou </w:t>
      </w:r>
      <w:r>
        <w:rPr>
          <w:b/>
        </w:rPr>
        <w:t>appartement</w:t>
      </w:r>
      <w:r>
        <w:t xml:space="preserve"> ; les 8 habitations précaires ou « autres » (0,2 %) ne peuvent être rattachées à aucun des deux et sont supprimées.</w:t>
      </w:r>
    </w:p>
    <w:p>
      <w:pPr>
        <w:pStyle w:val="Heading3"/>
      </w:pPr>
      <w:r>
        <w:t>2.3. Échantillon de travail</w:t>
      </w:r>
    </w:p>
    <w:p>
      <w:pPr>
        <w:keepNext/>
        <w:spacing w:after="60"/>
        <w:jc w:val="left"/>
      </w:pPr>
      <w:r>
        <w:rPr>
          <w:b/>
          <w:sz w:val="21"/>
        </w:rPr>
        <w:t>Tableau 5 – Construction de l’échantillon de travail</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4762"/>
        <w:gridCol w:w="793"/>
        <w:gridCol w:w="1757"/>
        <w:gridCol w:w="1757"/>
      </w:tblGrid>
      <w:tr>
        <w:trPr>
          <w:cantSplit/>
          <w:tblHeader/>
        </w:trPr>
        <w:tc>
          <w:tcPr>
            <w:tcW w:type="dxa" w:w="4762"/>
            <w:shd w:val="clear" w:color="auto" w:fill="E8ECF2"/>
            <w:vAlign w:val="center"/>
          </w:tcPr>
          <w:p>
            <w:pPr>
              <w:keepNext/>
              <w:spacing w:after="0" w:line="240" w:lineRule="auto"/>
              <w:jc w:val="left"/>
            </w:pPr>
            <w:r/>
            <w:r>
              <w:rPr>
                <w:b/>
                <w:i w:val="0"/>
                <w:sz w:val="17"/>
              </w:rPr>
              <w:t>Motif de suppression</w:t>
            </w:r>
          </w:p>
        </w:tc>
        <w:tc>
          <w:tcPr>
            <w:tcW w:type="dxa" w:w="793"/>
            <w:shd w:val="clear" w:color="auto" w:fill="E8ECF2"/>
            <w:vAlign w:val="center"/>
          </w:tcPr>
          <w:p>
            <w:pPr>
              <w:keepNext/>
              <w:spacing w:after="0" w:line="240" w:lineRule="auto"/>
              <w:jc w:val="center"/>
            </w:pPr>
            <w:r/>
            <w:r>
              <w:rPr>
                <w:b/>
                <w:i w:val="0"/>
                <w:sz w:val="17"/>
              </w:rPr>
              <w:t>Étape</w:t>
            </w:r>
          </w:p>
        </w:tc>
        <w:tc>
          <w:tcPr>
            <w:tcW w:type="dxa" w:w="1757"/>
            <w:shd w:val="clear" w:color="auto" w:fill="E8ECF2"/>
            <w:vAlign w:val="center"/>
          </w:tcPr>
          <w:p>
            <w:pPr>
              <w:keepNext/>
              <w:spacing w:after="0" w:line="240" w:lineRule="auto"/>
              <w:jc w:val="center"/>
            </w:pPr>
            <w:r/>
            <w:r>
              <w:rPr>
                <w:b/>
                <w:i w:val="0"/>
                <w:sz w:val="17"/>
              </w:rPr>
              <w:t>Observations supprimées</w:t>
            </w:r>
          </w:p>
        </w:tc>
        <w:tc>
          <w:tcPr>
            <w:tcW w:type="dxa" w:w="1757"/>
            <w:shd w:val="clear" w:color="auto" w:fill="E8ECF2"/>
            <w:vAlign w:val="center"/>
          </w:tcPr>
          <w:p>
            <w:pPr>
              <w:keepNext/>
              <w:spacing w:after="0" w:line="240" w:lineRule="auto"/>
              <w:jc w:val="center"/>
            </w:pPr>
            <w:r/>
            <w:r>
              <w:rPr>
                <w:b/>
                <w:i w:val="0"/>
                <w:sz w:val="17"/>
              </w:rPr>
              <w:t>Observations restantes</w:t>
            </w:r>
          </w:p>
        </w:tc>
      </w:tr>
      <w:tr>
        <w:trPr>
          <w:cantSplit/>
        </w:trPr>
        <w:tc>
          <w:tcPr>
            <w:tcW w:type="dxa" w:w="4762"/>
            <w:vAlign w:val="center"/>
          </w:tcPr>
          <w:p>
            <w:pPr>
              <w:keepNext/>
              <w:spacing w:after="0" w:line="240" w:lineRule="auto"/>
              <w:jc w:val="left"/>
            </w:pPr>
            <w:r>
              <w:rPr>
                <w:b/>
              </w:rPr>
            </w:r>
            <w:r>
              <w:rPr>
                <w:b/>
                <w:i w:val="0"/>
                <w:sz w:val="17"/>
              </w:rPr>
              <w:t>Base initiale</w:t>
            </w:r>
          </w:p>
        </w:tc>
        <w:tc>
          <w:tcPr>
            <w:tcW w:type="dxa" w:w="793"/>
            <w:vAlign w:val="center"/>
          </w:tcPr>
          <w:p>
            <w:pPr>
              <w:keepNext/>
              <w:spacing w:after="0" w:line="240" w:lineRule="auto"/>
              <w:jc w:val="center"/>
            </w:pPr>
            <w:r>
              <w:rPr>
                <w:b/>
              </w:rPr>
            </w:r>
            <w:r>
              <w:rPr>
                <w:b/>
                <w:i w:val="0"/>
                <w:sz w:val="17"/>
              </w:rPr>
            </w:r>
          </w:p>
        </w:tc>
        <w:tc>
          <w:tcPr>
            <w:tcW w:type="dxa" w:w="1757"/>
            <w:vAlign w:val="center"/>
          </w:tcPr>
          <w:p>
            <w:pPr>
              <w:keepNext/>
              <w:spacing w:after="0" w:line="240" w:lineRule="auto"/>
              <w:jc w:val="center"/>
            </w:pPr>
            <w:r>
              <w:rPr>
                <w:b/>
              </w:rPr>
            </w:r>
            <w:r>
              <w:rPr>
                <w:b/>
                <w:i w:val="0"/>
                <w:sz w:val="17"/>
              </w:rPr>
              <w:t>–</w:t>
            </w:r>
          </w:p>
        </w:tc>
        <w:tc>
          <w:tcPr>
            <w:tcW w:type="dxa" w:w="1757"/>
            <w:vAlign w:val="center"/>
          </w:tcPr>
          <w:p>
            <w:pPr>
              <w:keepNext/>
              <w:spacing w:after="0" w:line="240" w:lineRule="auto"/>
              <w:jc w:val="center"/>
            </w:pPr>
            <w:r>
              <w:rPr>
                <w:b/>
              </w:rPr>
            </w:r>
            <w:r>
              <w:rPr>
                <w:b/>
                <w:i w:val="0"/>
                <w:sz w:val="17"/>
              </w:rPr>
              <w:t>4 198</w:t>
            </w:r>
          </w:p>
        </w:tc>
      </w:tr>
      <w:tr>
        <w:trPr>
          <w:cantSplit/>
        </w:trPr>
        <w:tc>
          <w:tcPr>
            <w:tcW w:type="dxa" w:w="4762"/>
            <w:vAlign w:val="center"/>
          </w:tcPr>
          <w:p>
            <w:pPr>
              <w:keepNext/>
              <w:spacing w:after="0" w:line="240" w:lineRule="auto"/>
              <w:jc w:val="left"/>
            </w:pPr>
            <w:r/>
            <w:r>
              <w:rPr>
                <w:b w:val="0"/>
                <w:i w:val="0"/>
                <w:sz w:val="17"/>
              </w:rPr>
              <w:t>Mensualités inférieures au 1er centile (35 €) ou supérieures au 99e centile (3 767 €)</w:t>
            </w:r>
          </w:p>
        </w:tc>
        <w:tc>
          <w:tcPr>
            <w:tcW w:type="dxa" w:w="793"/>
            <w:vAlign w:val="center"/>
          </w:tcPr>
          <w:p>
            <w:pPr>
              <w:keepNext/>
              <w:spacing w:after="0" w:line="240" w:lineRule="auto"/>
              <w:jc w:val="center"/>
            </w:pPr>
            <w:r/>
            <w:r>
              <w:rPr>
                <w:b w:val="0"/>
                <w:i w:val="0"/>
                <w:sz w:val="17"/>
              </w:rPr>
              <w:t>1</w:t>
            </w:r>
          </w:p>
        </w:tc>
        <w:tc>
          <w:tcPr>
            <w:tcW w:type="dxa" w:w="1757"/>
            <w:vAlign w:val="center"/>
          </w:tcPr>
          <w:p>
            <w:pPr>
              <w:keepNext/>
              <w:spacing w:after="0" w:line="240" w:lineRule="auto"/>
              <w:jc w:val="center"/>
            </w:pPr>
            <w:r/>
            <w:r>
              <w:rPr>
                <w:b w:val="0"/>
                <w:i w:val="0"/>
                <w:sz w:val="17"/>
              </w:rPr>
              <w:t>81</w:t>
            </w:r>
          </w:p>
        </w:tc>
        <w:tc>
          <w:tcPr>
            <w:tcW w:type="dxa" w:w="1757"/>
            <w:vAlign w:val="center"/>
          </w:tcPr>
          <w:p>
            <w:pPr>
              <w:keepNext/>
              <w:spacing w:after="0" w:line="240" w:lineRule="auto"/>
              <w:jc w:val="center"/>
            </w:pPr>
            <w:r/>
            <w:r>
              <w:rPr>
                <w:b w:val="0"/>
                <w:i w:val="0"/>
                <w:sz w:val="17"/>
              </w:rPr>
              <w:t>4 117</w:t>
            </w:r>
          </w:p>
        </w:tc>
      </w:tr>
      <w:tr>
        <w:trPr>
          <w:cantSplit/>
        </w:trPr>
        <w:tc>
          <w:tcPr>
            <w:tcW w:type="dxa" w:w="4762"/>
            <w:vAlign w:val="center"/>
          </w:tcPr>
          <w:p>
            <w:pPr>
              <w:keepNext/>
              <w:spacing w:after="0" w:line="240" w:lineRule="auto"/>
              <w:jc w:val="left"/>
            </w:pPr>
            <w:r/>
            <w:r>
              <w:rPr>
                <w:b w:val="0"/>
                <w:i w:val="0"/>
                <w:sz w:val="17"/>
              </w:rPr>
              <w:t>Âge de la personne de référence manquant</w:t>
            </w:r>
          </w:p>
        </w:tc>
        <w:tc>
          <w:tcPr>
            <w:tcW w:type="dxa" w:w="793"/>
            <w:vAlign w:val="center"/>
          </w:tcPr>
          <w:p>
            <w:pPr>
              <w:keepNext/>
              <w:spacing w:after="0" w:line="240" w:lineRule="auto"/>
              <w:jc w:val="center"/>
            </w:pPr>
            <w:r/>
            <w:r>
              <w:rPr>
                <w:b w:val="0"/>
                <w:i w:val="0"/>
                <w:sz w:val="17"/>
              </w:rPr>
              <w:t>2</w:t>
            </w:r>
          </w:p>
        </w:tc>
        <w:tc>
          <w:tcPr>
            <w:tcW w:type="dxa" w:w="1757"/>
            <w:vAlign w:val="center"/>
          </w:tcPr>
          <w:p>
            <w:pPr>
              <w:keepNext/>
              <w:spacing w:after="0" w:line="240" w:lineRule="auto"/>
              <w:jc w:val="center"/>
            </w:pPr>
            <w:r/>
            <w:r>
              <w:rPr>
                <w:b w:val="0"/>
                <w:i w:val="0"/>
                <w:sz w:val="17"/>
              </w:rPr>
              <w:t>2</w:t>
            </w:r>
          </w:p>
        </w:tc>
        <w:tc>
          <w:tcPr>
            <w:tcW w:type="dxa" w:w="1757"/>
            <w:vAlign w:val="center"/>
          </w:tcPr>
          <w:p>
            <w:pPr>
              <w:keepNext/>
              <w:spacing w:after="0" w:line="240" w:lineRule="auto"/>
              <w:jc w:val="center"/>
            </w:pPr>
            <w:r/>
            <w:r>
              <w:rPr>
                <w:b w:val="0"/>
                <w:i w:val="0"/>
                <w:sz w:val="17"/>
              </w:rPr>
              <w:t>4 115</w:t>
            </w:r>
          </w:p>
        </w:tc>
      </w:tr>
      <w:tr>
        <w:trPr>
          <w:cantSplit/>
        </w:trPr>
        <w:tc>
          <w:tcPr>
            <w:tcW w:type="dxa" w:w="4762"/>
            <w:vAlign w:val="center"/>
          </w:tcPr>
          <w:p>
            <w:pPr>
              <w:keepNext/>
              <w:spacing w:after="0" w:line="240" w:lineRule="auto"/>
              <w:jc w:val="left"/>
            </w:pPr>
            <w:r/>
            <w:r>
              <w:rPr>
                <w:b w:val="0"/>
                <w:i w:val="0"/>
                <w:sz w:val="17"/>
              </w:rPr>
              <w:t>Personne de référence âgée de moins de 18 ans</w:t>
            </w:r>
          </w:p>
        </w:tc>
        <w:tc>
          <w:tcPr>
            <w:tcW w:type="dxa" w:w="793"/>
            <w:vAlign w:val="center"/>
          </w:tcPr>
          <w:p>
            <w:pPr>
              <w:keepNext/>
              <w:spacing w:after="0" w:line="240" w:lineRule="auto"/>
              <w:jc w:val="center"/>
            </w:pPr>
            <w:r/>
            <w:r>
              <w:rPr>
                <w:b w:val="0"/>
                <w:i w:val="0"/>
                <w:sz w:val="17"/>
              </w:rPr>
              <w:t>2</w:t>
            </w:r>
          </w:p>
        </w:tc>
        <w:tc>
          <w:tcPr>
            <w:tcW w:type="dxa" w:w="1757"/>
            <w:vAlign w:val="center"/>
          </w:tcPr>
          <w:p>
            <w:pPr>
              <w:keepNext/>
              <w:spacing w:after="0" w:line="240" w:lineRule="auto"/>
              <w:jc w:val="center"/>
            </w:pPr>
            <w:r/>
            <w:r>
              <w:rPr>
                <w:b w:val="0"/>
                <w:i w:val="0"/>
                <w:sz w:val="17"/>
              </w:rPr>
              <w:t>1</w:t>
            </w:r>
          </w:p>
        </w:tc>
        <w:tc>
          <w:tcPr>
            <w:tcW w:type="dxa" w:w="1757"/>
            <w:vAlign w:val="center"/>
          </w:tcPr>
          <w:p>
            <w:pPr>
              <w:keepNext/>
              <w:spacing w:after="0" w:line="240" w:lineRule="auto"/>
              <w:jc w:val="center"/>
            </w:pPr>
            <w:r/>
            <w:r>
              <w:rPr>
                <w:b w:val="0"/>
                <w:i w:val="0"/>
                <w:sz w:val="17"/>
              </w:rPr>
              <w:t>4 114</w:t>
            </w:r>
          </w:p>
        </w:tc>
      </w:tr>
      <w:tr>
        <w:trPr>
          <w:cantSplit/>
        </w:trPr>
        <w:tc>
          <w:tcPr>
            <w:tcW w:type="dxa" w:w="4762"/>
            <w:vAlign w:val="center"/>
          </w:tcPr>
          <w:p>
            <w:pPr>
              <w:keepNext/>
              <w:spacing w:after="0" w:line="240" w:lineRule="auto"/>
              <w:jc w:val="left"/>
            </w:pPr>
            <w:r/>
            <w:r>
              <w:rPr>
                <w:b w:val="0"/>
                <w:i w:val="0"/>
                <w:sz w:val="17"/>
              </w:rPr>
              <w:t>Revenu mensuel inférieur à 500 €</w:t>
            </w:r>
          </w:p>
        </w:tc>
        <w:tc>
          <w:tcPr>
            <w:tcW w:type="dxa" w:w="793"/>
            <w:vAlign w:val="center"/>
          </w:tcPr>
          <w:p>
            <w:pPr>
              <w:keepNext/>
              <w:spacing w:after="0" w:line="240" w:lineRule="auto"/>
              <w:jc w:val="center"/>
            </w:pPr>
            <w:r/>
            <w:r>
              <w:rPr>
                <w:b w:val="0"/>
                <w:i w:val="0"/>
                <w:sz w:val="17"/>
              </w:rPr>
              <w:t>3</w:t>
            </w:r>
          </w:p>
        </w:tc>
        <w:tc>
          <w:tcPr>
            <w:tcW w:type="dxa" w:w="1757"/>
            <w:vAlign w:val="center"/>
          </w:tcPr>
          <w:p>
            <w:pPr>
              <w:keepNext/>
              <w:spacing w:after="0" w:line="240" w:lineRule="auto"/>
              <w:jc w:val="center"/>
            </w:pPr>
            <w:r/>
            <w:r>
              <w:rPr>
                <w:b w:val="0"/>
                <w:i w:val="0"/>
                <w:sz w:val="17"/>
              </w:rPr>
              <w:t>2</w:t>
            </w:r>
          </w:p>
        </w:tc>
        <w:tc>
          <w:tcPr>
            <w:tcW w:type="dxa" w:w="1757"/>
            <w:vAlign w:val="center"/>
          </w:tcPr>
          <w:p>
            <w:pPr>
              <w:keepNext/>
              <w:spacing w:after="0" w:line="240" w:lineRule="auto"/>
              <w:jc w:val="center"/>
            </w:pPr>
            <w:r/>
            <w:r>
              <w:rPr>
                <w:b w:val="0"/>
                <w:i w:val="0"/>
                <w:sz w:val="17"/>
              </w:rPr>
              <w:t>4 112</w:t>
            </w:r>
          </w:p>
        </w:tc>
      </w:tr>
      <w:tr>
        <w:trPr>
          <w:cantSplit/>
        </w:trPr>
        <w:tc>
          <w:tcPr>
            <w:tcW w:type="dxa" w:w="4762"/>
            <w:vAlign w:val="center"/>
          </w:tcPr>
          <w:p>
            <w:pPr>
              <w:keepNext/>
              <w:spacing w:after="0" w:line="240" w:lineRule="auto"/>
              <w:jc w:val="left"/>
            </w:pPr>
            <w:r/>
            <w:r>
              <w:rPr>
                <w:b w:val="0"/>
                <w:i w:val="0"/>
                <w:sz w:val="17"/>
              </w:rPr>
              <w:t>Mensualités supérieures au revenu mensuel</w:t>
            </w:r>
          </w:p>
        </w:tc>
        <w:tc>
          <w:tcPr>
            <w:tcW w:type="dxa" w:w="793"/>
            <w:vAlign w:val="center"/>
          </w:tcPr>
          <w:p>
            <w:pPr>
              <w:keepNext/>
              <w:spacing w:after="0" w:line="240" w:lineRule="auto"/>
              <w:jc w:val="center"/>
            </w:pPr>
            <w:r/>
            <w:r>
              <w:rPr>
                <w:b w:val="0"/>
                <w:i w:val="0"/>
                <w:sz w:val="17"/>
              </w:rPr>
              <w:t>3</w:t>
            </w:r>
          </w:p>
        </w:tc>
        <w:tc>
          <w:tcPr>
            <w:tcW w:type="dxa" w:w="1757"/>
            <w:vAlign w:val="center"/>
          </w:tcPr>
          <w:p>
            <w:pPr>
              <w:keepNext/>
              <w:spacing w:after="0" w:line="240" w:lineRule="auto"/>
              <w:jc w:val="center"/>
            </w:pPr>
            <w:r/>
            <w:r>
              <w:rPr>
                <w:b w:val="0"/>
                <w:i w:val="0"/>
                <w:sz w:val="17"/>
              </w:rPr>
              <w:t>3</w:t>
            </w:r>
          </w:p>
        </w:tc>
        <w:tc>
          <w:tcPr>
            <w:tcW w:type="dxa" w:w="1757"/>
            <w:vAlign w:val="center"/>
          </w:tcPr>
          <w:p>
            <w:pPr>
              <w:keepNext/>
              <w:spacing w:after="0" w:line="240" w:lineRule="auto"/>
              <w:jc w:val="center"/>
            </w:pPr>
            <w:r/>
            <w:r>
              <w:rPr>
                <w:b w:val="0"/>
                <w:i w:val="0"/>
                <w:sz w:val="17"/>
              </w:rPr>
              <w:t>4 109</w:t>
            </w:r>
          </w:p>
        </w:tc>
      </w:tr>
      <w:tr>
        <w:trPr>
          <w:cantSplit/>
        </w:trPr>
        <w:tc>
          <w:tcPr>
            <w:tcW w:type="dxa" w:w="4762"/>
            <w:vAlign w:val="center"/>
          </w:tcPr>
          <w:p>
            <w:pPr>
              <w:keepNext/>
              <w:spacing w:after="0" w:line="240" w:lineRule="auto"/>
              <w:jc w:val="left"/>
            </w:pPr>
            <w:r/>
            <w:r>
              <w:rPr>
                <w:b w:val="0"/>
                <w:i w:val="0"/>
                <w:sz w:val="17"/>
              </w:rPr>
              <w:t>CSP de la personne de référence manquante</w:t>
            </w:r>
          </w:p>
        </w:tc>
        <w:tc>
          <w:tcPr>
            <w:tcW w:type="dxa" w:w="793"/>
            <w:vAlign w:val="center"/>
          </w:tcPr>
          <w:p>
            <w:pPr>
              <w:keepNext/>
              <w:spacing w:after="0" w:line="240" w:lineRule="auto"/>
              <w:jc w:val="center"/>
            </w:pPr>
            <w:r/>
            <w:r>
              <w:rPr>
                <w:b w:val="0"/>
                <w:i w:val="0"/>
                <w:sz w:val="17"/>
              </w:rPr>
              <w:t>4</w:t>
            </w:r>
          </w:p>
        </w:tc>
        <w:tc>
          <w:tcPr>
            <w:tcW w:type="dxa" w:w="1757"/>
            <w:vAlign w:val="center"/>
          </w:tcPr>
          <w:p>
            <w:pPr>
              <w:keepNext/>
              <w:spacing w:after="0" w:line="240" w:lineRule="auto"/>
              <w:jc w:val="center"/>
            </w:pPr>
            <w:r/>
            <w:r>
              <w:rPr>
                <w:b w:val="0"/>
                <w:i w:val="0"/>
                <w:sz w:val="17"/>
              </w:rPr>
              <w:t>63</w:t>
            </w:r>
          </w:p>
        </w:tc>
        <w:tc>
          <w:tcPr>
            <w:tcW w:type="dxa" w:w="1757"/>
            <w:vAlign w:val="center"/>
          </w:tcPr>
          <w:p>
            <w:pPr>
              <w:keepNext/>
              <w:spacing w:after="0" w:line="240" w:lineRule="auto"/>
              <w:jc w:val="center"/>
            </w:pPr>
            <w:r/>
            <w:r>
              <w:rPr>
                <w:b w:val="0"/>
                <w:i w:val="0"/>
                <w:sz w:val="17"/>
              </w:rPr>
              <w:t>4 046</w:t>
            </w:r>
          </w:p>
        </w:tc>
      </w:tr>
      <w:tr>
        <w:trPr>
          <w:cantSplit/>
        </w:trPr>
        <w:tc>
          <w:tcPr>
            <w:tcW w:type="dxa" w:w="4762"/>
            <w:vAlign w:val="center"/>
          </w:tcPr>
          <w:p>
            <w:pPr>
              <w:keepNext/>
              <w:spacing w:after="0" w:line="240" w:lineRule="auto"/>
              <w:jc w:val="left"/>
            </w:pPr>
            <w:r/>
            <w:r>
              <w:rPr>
                <w:b w:val="0"/>
                <w:i w:val="0"/>
                <w:sz w:val="17"/>
              </w:rPr>
              <w:t>Type de logement manquant</w:t>
            </w:r>
          </w:p>
        </w:tc>
        <w:tc>
          <w:tcPr>
            <w:tcW w:type="dxa" w:w="793"/>
            <w:vAlign w:val="center"/>
          </w:tcPr>
          <w:p>
            <w:pPr>
              <w:keepNext/>
              <w:spacing w:after="0" w:line="240" w:lineRule="auto"/>
              <w:jc w:val="center"/>
            </w:pPr>
            <w:r/>
            <w:r>
              <w:rPr>
                <w:b w:val="0"/>
                <w:i w:val="0"/>
                <w:sz w:val="17"/>
              </w:rPr>
              <w:t>4</w:t>
            </w:r>
          </w:p>
        </w:tc>
        <w:tc>
          <w:tcPr>
            <w:tcW w:type="dxa" w:w="1757"/>
            <w:vAlign w:val="center"/>
          </w:tcPr>
          <w:p>
            <w:pPr>
              <w:keepNext/>
              <w:spacing w:after="0" w:line="240" w:lineRule="auto"/>
              <w:jc w:val="center"/>
            </w:pPr>
            <w:r/>
            <w:r>
              <w:rPr>
                <w:b w:val="0"/>
                <w:i w:val="0"/>
                <w:sz w:val="17"/>
              </w:rPr>
              <w:t>76</w:t>
            </w:r>
          </w:p>
        </w:tc>
        <w:tc>
          <w:tcPr>
            <w:tcW w:type="dxa" w:w="1757"/>
            <w:vAlign w:val="center"/>
          </w:tcPr>
          <w:p>
            <w:pPr>
              <w:keepNext/>
              <w:spacing w:after="0" w:line="240" w:lineRule="auto"/>
              <w:jc w:val="center"/>
            </w:pPr>
            <w:r/>
            <w:r>
              <w:rPr>
                <w:b w:val="0"/>
                <w:i w:val="0"/>
                <w:sz w:val="17"/>
              </w:rPr>
              <w:t>3 970</w:t>
            </w:r>
          </w:p>
        </w:tc>
      </w:tr>
      <w:tr>
        <w:trPr>
          <w:cantSplit/>
        </w:trPr>
        <w:tc>
          <w:tcPr>
            <w:tcW w:type="dxa" w:w="4762"/>
            <w:vAlign w:val="center"/>
          </w:tcPr>
          <w:p>
            <w:pPr>
              <w:keepNext/>
              <w:spacing w:after="0" w:line="240" w:lineRule="auto"/>
              <w:jc w:val="left"/>
            </w:pPr>
            <w:r/>
            <w:r>
              <w:rPr>
                <w:b w:val="0"/>
                <w:i w:val="0"/>
                <w:sz w:val="17"/>
              </w:rPr>
              <w:t>Habitation précaire ou autre type de logement</w:t>
            </w:r>
          </w:p>
        </w:tc>
        <w:tc>
          <w:tcPr>
            <w:tcW w:type="dxa" w:w="793"/>
            <w:vAlign w:val="center"/>
          </w:tcPr>
          <w:p>
            <w:pPr>
              <w:keepNext/>
              <w:spacing w:after="0" w:line="240" w:lineRule="auto"/>
              <w:jc w:val="center"/>
            </w:pPr>
            <w:r/>
            <w:r>
              <w:rPr>
                <w:b w:val="0"/>
                <w:i w:val="0"/>
                <w:sz w:val="17"/>
              </w:rPr>
              <w:t>4</w:t>
            </w:r>
          </w:p>
        </w:tc>
        <w:tc>
          <w:tcPr>
            <w:tcW w:type="dxa" w:w="1757"/>
            <w:vAlign w:val="center"/>
          </w:tcPr>
          <w:p>
            <w:pPr>
              <w:keepNext/>
              <w:spacing w:after="0" w:line="240" w:lineRule="auto"/>
              <w:jc w:val="center"/>
            </w:pPr>
            <w:r/>
            <w:r>
              <w:rPr>
                <w:b w:val="0"/>
                <w:i w:val="0"/>
                <w:sz w:val="17"/>
              </w:rPr>
              <w:t>8</w:t>
            </w:r>
          </w:p>
        </w:tc>
        <w:tc>
          <w:tcPr>
            <w:tcW w:type="dxa" w:w="1757"/>
            <w:vAlign w:val="center"/>
          </w:tcPr>
          <w:p>
            <w:pPr>
              <w:keepNext/>
              <w:spacing w:after="0" w:line="240" w:lineRule="auto"/>
              <w:jc w:val="center"/>
            </w:pPr>
            <w:r/>
            <w:r>
              <w:rPr>
                <w:b w:val="0"/>
                <w:i w:val="0"/>
                <w:sz w:val="17"/>
              </w:rPr>
              <w:t>3 962</w:t>
            </w:r>
          </w:p>
        </w:tc>
      </w:tr>
      <w:tr>
        <w:trPr>
          <w:cantSplit/>
        </w:trPr>
        <w:tc>
          <w:tcPr>
            <w:tcW w:type="dxa" w:w="4762"/>
            <w:vAlign w:val="center"/>
          </w:tcPr>
          <w:p>
            <w:pPr>
              <w:keepNext/>
              <w:spacing w:after="0" w:line="240" w:lineRule="auto"/>
              <w:jc w:val="left"/>
            </w:pPr>
            <w:r>
              <w:rPr>
                <w:b/>
              </w:rPr>
            </w:r>
            <w:r>
              <w:rPr>
                <w:b/>
                <w:i w:val="0"/>
                <w:sz w:val="17"/>
              </w:rPr>
              <w:t>Échantillon de travail</w:t>
            </w:r>
          </w:p>
        </w:tc>
        <w:tc>
          <w:tcPr>
            <w:tcW w:type="dxa" w:w="793"/>
            <w:vAlign w:val="center"/>
          </w:tcPr>
          <w:p>
            <w:pPr>
              <w:keepNext/>
              <w:spacing w:after="0" w:line="240" w:lineRule="auto"/>
              <w:jc w:val="center"/>
            </w:pPr>
            <w:r>
              <w:rPr>
                <w:b/>
              </w:rPr>
            </w:r>
            <w:r>
              <w:rPr>
                <w:b/>
                <w:i w:val="0"/>
                <w:sz w:val="17"/>
              </w:rPr>
            </w:r>
          </w:p>
        </w:tc>
        <w:tc>
          <w:tcPr>
            <w:tcW w:type="dxa" w:w="1757"/>
            <w:vAlign w:val="center"/>
          </w:tcPr>
          <w:p>
            <w:pPr>
              <w:keepNext/>
              <w:spacing w:after="0" w:line="240" w:lineRule="auto"/>
              <w:jc w:val="center"/>
            </w:pPr>
            <w:r>
              <w:rPr>
                <w:b/>
              </w:rPr>
            </w:r>
            <w:r>
              <w:rPr>
                <w:b/>
                <w:i w:val="0"/>
                <w:sz w:val="17"/>
              </w:rPr>
              <w:t>236</w:t>
            </w:r>
          </w:p>
        </w:tc>
        <w:tc>
          <w:tcPr>
            <w:tcW w:type="dxa" w:w="1757"/>
            <w:vAlign w:val="center"/>
          </w:tcPr>
          <w:p>
            <w:pPr>
              <w:keepNext/>
              <w:spacing w:after="0" w:line="240" w:lineRule="auto"/>
              <w:jc w:val="center"/>
            </w:pPr>
            <w:r>
              <w:rPr>
                <w:b/>
              </w:rPr>
            </w:r>
            <w:r>
              <w:rPr>
                <w:b/>
                <w:i w:val="0"/>
                <w:sz w:val="17"/>
              </w:rPr>
              <w:t>3 962</w:t>
            </w:r>
          </w:p>
        </w:tc>
      </w:tr>
    </w:tbl>
    <w:p>
      <w:pPr>
        <w:spacing w:after="200"/>
        <w:jc w:val="left"/>
      </w:pPr>
      <w:r>
        <w:rPr>
          <w:i/>
          <w:sz w:val="18"/>
        </w:rPr>
        <w:t>Lecture : les nombres supprimés peuvent être inférieurs aux valeurs manquantes de la base brute, car certains ménages avaient déjà été supprimés à une étape précédente.</w:t>
      </w:r>
    </w:p>
    <w:p>
      <w:pPr>
        <w:jc w:val="both"/>
      </w:pPr>
      <w:r>
        <w:rPr>
          <w:b/>
        </w:rPr>
        <w:t>L’échantillon de travail compte 3 962 ménages</w:t>
      </w:r>
      <w:r>
        <w:t>, soit 94,4 % de la base initiale ; toute la suite de l’analyse porte sur cet échantillon. Le revenu n’y est pas déclaré pour 460 ménages (11,6 %).</w:t>
      </w:r>
    </w:p>
    <w:p>
      <w:pPr>
        <w:pStyle w:val="Heading2"/>
      </w:pPr>
      <w:r>
        <w:t>3. Statistiques descriptives univariées</w:t>
      </w:r>
    </w:p>
    <w:p>
      <w:pPr>
        <w:pStyle w:val="Heading3"/>
      </w:pPr>
      <w:r>
        <w:t>3.1. La variable expliquée : mensualités ou logarithme ?</w:t>
      </w:r>
    </w:p>
    <w:p>
      <w:pPr>
        <w:keepNext/>
        <w:spacing w:after="60"/>
        <w:jc w:val="left"/>
      </w:pPr>
      <w:r>
        <w:rPr>
          <w:b/>
          <w:sz w:val="21"/>
        </w:rPr>
        <w:t>Tableau 6 – Distribution et normalité des mensualités et de leur logarithme</w:t>
      </w:r>
    </w:p>
    <w:tbl>
      <w:tblPr>
        <w:tblW w:type="dxa" w:w="7938"/>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3742"/>
        <w:gridCol w:w="2097"/>
        <w:gridCol w:w="2097"/>
      </w:tblGrid>
      <w:tr>
        <w:trPr>
          <w:cantSplit/>
          <w:tblHeader/>
        </w:trPr>
        <w:tc>
          <w:tcPr>
            <w:tcW w:type="dxa" w:w="3742"/>
            <w:shd w:val="clear" w:color="auto" w:fill="E8ECF2"/>
            <w:vAlign w:val="center"/>
          </w:tcPr>
          <w:p>
            <w:pPr>
              <w:keepNext/>
              <w:spacing w:after="0" w:line="240" w:lineRule="auto"/>
              <w:jc w:val="left"/>
            </w:pPr>
            <w:r/>
            <w:r>
              <w:rPr>
                <w:b/>
                <w:i w:val="0"/>
                <w:sz w:val="17"/>
              </w:rPr>
              <w:t>Statistique</w:t>
            </w:r>
          </w:p>
        </w:tc>
        <w:tc>
          <w:tcPr>
            <w:tcW w:type="dxa" w:w="2097"/>
            <w:shd w:val="clear" w:color="auto" w:fill="E8ECF2"/>
            <w:vAlign w:val="center"/>
          </w:tcPr>
          <w:p>
            <w:pPr>
              <w:keepNext/>
              <w:spacing w:after="0" w:line="240" w:lineRule="auto"/>
              <w:jc w:val="center"/>
            </w:pPr>
            <w:r/>
            <w:r>
              <w:rPr>
                <w:b/>
                <w:i w:val="0"/>
                <w:sz w:val="17"/>
              </w:rPr>
              <w:t>Mensualités (euros)</w:t>
            </w:r>
          </w:p>
        </w:tc>
        <w:tc>
          <w:tcPr>
            <w:tcW w:type="dxa" w:w="2097"/>
            <w:shd w:val="clear" w:color="auto" w:fill="E8ECF2"/>
            <w:vAlign w:val="center"/>
          </w:tcPr>
          <w:p>
            <w:pPr>
              <w:keepNext/>
              <w:spacing w:after="0" w:line="240" w:lineRule="auto"/>
              <w:jc w:val="center"/>
            </w:pPr>
            <w:r/>
            <w:r>
              <w:rPr>
                <w:b/>
                <w:i w:val="0"/>
                <w:sz w:val="17"/>
              </w:rPr>
              <w:t>Logarithme des mensualités</w:t>
            </w:r>
          </w:p>
        </w:tc>
      </w:tr>
      <w:tr>
        <w:trPr>
          <w:cantSplit/>
        </w:trPr>
        <w:tc>
          <w:tcPr>
            <w:tcW w:type="dxa" w:w="3742"/>
            <w:vAlign w:val="center"/>
          </w:tcPr>
          <w:p>
            <w:pPr>
              <w:keepNext/>
              <w:spacing w:after="0" w:line="240" w:lineRule="auto"/>
              <w:jc w:val="left"/>
            </w:pPr>
            <w:r/>
            <w:r>
              <w:rPr>
                <w:b w:val="0"/>
                <w:i w:val="0"/>
                <w:sz w:val="17"/>
              </w:rPr>
              <w:t>Observations</w:t>
            </w:r>
          </w:p>
        </w:tc>
        <w:tc>
          <w:tcPr>
            <w:tcW w:type="dxa" w:w="2097"/>
            <w:vAlign w:val="center"/>
          </w:tcPr>
          <w:p>
            <w:pPr>
              <w:keepNext/>
              <w:spacing w:after="0" w:line="240" w:lineRule="auto"/>
              <w:jc w:val="center"/>
            </w:pPr>
            <w:r/>
            <w:r>
              <w:rPr>
                <w:b w:val="0"/>
                <w:i w:val="0"/>
                <w:sz w:val="17"/>
              </w:rPr>
              <w:t>3 962</w:t>
            </w:r>
          </w:p>
        </w:tc>
        <w:tc>
          <w:tcPr>
            <w:tcW w:type="dxa" w:w="2097"/>
            <w:vAlign w:val="center"/>
          </w:tcPr>
          <w:p>
            <w:pPr>
              <w:keepNext/>
              <w:spacing w:after="0" w:line="240" w:lineRule="auto"/>
              <w:jc w:val="center"/>
            </w:pPr>
            <w:r/>
            <w:r>
              <w:rPr>
                <w:b w:val="0"/>
                <w:i w:val="0"/>
                <w:sz w:val="17"/>
              </w:rPr>
              <w:t>3 962</w:t>
            </w:r>
          </w:p>
        </w:tc>
      </w:tr>
      <w:tr>
        <w:trPr>
          <w:cantSplit/>
        </w:trPr>
        <w:tc>
          <w:tcPr>
            <w:tcW w:type="dxa" w:w="3742"/>
            <w:vAlign w:val="center"/>
          </w:tcPr>
          <w:p>
            <w:pPr>
              <w:keepNext/>
              <w:spacing w:after="0" w:line="240" w:lineRule="auto"/>
              <w:jc w:val="left"/>
            </w:pPr>
            <w:r/>
            <w:r>
              <w:rPr>
                <w:b w:val="0"/>
                <w:i w:val="0"/>
                <w:sz w:val="17"/>
              </w:rPr>
              <w:t>Moyenne</w:t>
            </w:r>
          </w:p>
        </w:tc>
        <w:tc>
          <w:tcPr>
            <w:tcW w:type="dxa" w:w="2097"/>
            <w:vAlign w:val="center"/>
          </w:tcPr>
          <w:p>
            <w:pPr>
              <w:keepNext/>
              <w:spacing w:after="0" w:line="240" w:lineRule="auto"/>
              <w:jc w:val="center"/>
            </w:pPr>
            <w:r/>
            <w:r>
              <w:rPr>
                <w:b w:val="0"/>
                <w:i w:val="0"/>
                <w:sz w:val="17"/>
              </w:rPr>
              <w:t>690,1</w:t>
            </w:r>
          </w:p>
        </w:tc>
        <w:tc>
          <w:tcPr>
            <w:tcW w:type="dxa" w:w="2097"/>
            <w:vAlign w:val="center"/>
          </w:tcPr>
          <w:p>
            <w:pPr>
              <w:keepNext/>
              <w:spacing w:after="0" w:line="240" w:lineRule="auto"/>
              <w:jc w:val="center"/>
            </w:pPr>
            <w:r/>
            <w:r>
              <w:rPr>
                <w:b w:val="0"/>
                <w:i w:val="0"/>
                <w:sz w:val="17"/>
              </w:rPr>
              <w:t>6,189</w:t>
            </w:r>
          </w:p>
        </w:tc>
      </w:tr>
      <w:tr>
        <w:trPr>
          <w:cantSplit/>
        </w:trPr>
        <w:tc>
          <w:tcPr>
            <w:tcW w:type="dxa" w:w="3742"/>
            <w:vAlign w:val="center"/>
          </w:tcPr>
          <w:p>
            <w:pPr>
              <w:keepNext/>
              <w:spacing w:after="0" w:line="240" w:lineRule="auto"/>
              <w:jc w:val="left"/>
            </w:pPr>
            <w:r/>
            <w:r>
              <w:rPr>
                <w:b w:val="0"/>
                <w:i w:val="0"/>
                <w:sz w:val="17"/>
              </w:rPr>
              <w:t>Écart-type</w:t>
            </w:r>
          </w:p>
        </w:tc>
        <w:tc>
          <w:tcPr>
            <w:tcW w:type="dxa" w:w="2097"/>
            <w:vAlign w:val="center"/>
          </w:tcPr>
          <w:p>
            <w:pPr>
              <w:keepNext/>
              <w:spacing w:after="0" w:line="240" w:lineRule="auto"/>
              <w:jc w:val="center"/>
            </w:pPr>
            <w:r/>
            <w:r>
              <w:rPr>
                <w:b w:val="0"/>
                <w:i w:val="0"/>
                <w:sz w:val="17"/>
              </w:rPr>
              <w:t>562,1</w:t>
            </w:r>
          </w:p>
        </w:tc>
        <w:tc>
          <w:tcPr>
            <w:tcW w:type="dxa" w:w="2097"/>
            <w:vAlign w:val="center"/>
          </w:tcPr>
          <w:p>
            <w:pPr>
              <w:keepNext/>
              <w:spacing w:after="0" w:line="240" w:lineRule="auto"/>
              <w:jc w:val="center"/>
            </w:pPr>
            <w:r/>
            <w:r>
              <w:rPr>
                <w:b w:val="0"/>
                <w:i w:val="0"/>
                <w:sz w:val="17"/>
              </w:rPr>
              <w:t>0,899</w:t>
            </w:r>
          </w:p>
        </w:tc>
      </w:tr>
      <w:tr>
        <w:trPr>
          <w:cantSplit/>
        </w:trPr>
        <w:tc>
          <w:tcPr>
            <w:tcW w:type="dxa" w:w="3742"/>
            <w:vAlign w:val="center"/>
          </w:tcPr>
          <w:p>
            <w:pPr>
              <w:keepNext/>
              <w:spacing w:after="0" w:line="240" w:lineRule="auto"/>
              <w:jc w:val="left"/>
            </w:pPr>
            <w:r/>
            <w:r>
              <w:rPr>
                <w:b w:val="0"/>
                <w:i w:val="0"/>
                <w:sz w:val="17"/>
              </w:rPr>
              <w:t>Minimum</w:t>
            </w:r>
          </w:p>
        </w:tc>
        <w:tc>
          <w:tcPr>
            <w:tcW w:type="dxa" w:w="2097"/>
            <w:vAlign w:val="center"/>
          </w:tcPr>
          <w:p>
            <w:pPr>
              <w:keepNext/>
              <w:spacing w:after="0" w:line="240" w:lineRule="auto"/>
              <w:jc w:val="center"/>
            </w:pPr>
            <w:r/>
            <w:r>
              <w:rPr>
                <w:b w:val="0"/>
                <w:i w:val="0"/>
                <w:sz w:val="17"/>
              </w:rPr>
              <w:t>35</w:t>
            </w:r>
          </w:p>
        </w:tc>
        <w:tc>
          <w:tcPr>
            <w:tcW w:type="dxa" w:w="2097"/>
            <w:vAlign w:val="center"/>
          </w:tcPr>
          <w:p>
            <w:pPr>
              <w:keepNext/>
              <w:spacing w:after="0" w:line="240" w:lineRule="auto"/>
              <w:jc w:val="center"/>
            </w:pPr>
            <w:r/>
            <w:r>
              <w:rPr>
                <w:b w:val="0"/>
                <w:i w:val="0"/>
                <w:sz w:val="17"/>
              </w:rPr>
              <w:t>3,555</w:t>
            </w:r>
          </w:p>
        </w:tc>
      </w:tr>
      <w:tr>
        <w:trPr>
          <w:cantSplit/>
        </w:trPr>
        <w:tc>
          <w:tcPr>
            <w:tcW w:type="dxa" w:w="3742"/>
            <w:vAlign w:val="center"/>
          </w:tcPr>
          <w:p>
            <w:pPr>
              <w:keepNext/>
              <w:spacing w:after="0" w:line="240" w:lineRule="auto"/>
              <w:jc w:val="left"/>
            </w:pPr>
            <w:r/>
            <w:r>
              <w:rPr>
                <w:b w:val="0"/>
                <w:i w:val="0"/>
                <w:sz w:val="17"/>
              </w:rPr>
              <w:t>1er quartile</w:t>
            </w:r>
          </w:p>
        </w:tc>
        <w:tc>
          <w:tcPr>
            <w:tcW w:type="dxa" w:w="2097"/>
            <w:vAlign w:val="center"/>
          </w:tcPr>
          <w:p>
            <w:pPr>
              <w:keepNext/>
              <w:spacing w:after="0" w:line="240" w:lineRule="auto"/>
              <w:jc w:val="center"/>
            </w:pPr>
            <w:r/>
            <w:r>
              <w:rPr>
                <w:b w:val="0"/>
                <w:i w:val="0"/>
                <w:sz w:val="17"/>
              </w:rPr>
              <w:t>260</w:t>
            </w:r>
          </w:p>
        </w:tc>
        <w:tc>
          <w:tcPr>
            <w:tcW w:type="dxa" w:w="2097"/>
            <w:vAlign w:val="center"/>
          </w:tcPr>
          <w:p>
            <w:pPr>
              <w:keepNext/>
              <w:spacing w:after="0" w:line="240" w:lineRule="auto"/>
              <w:jc w:val="center"/>
            </w:pPr>
            <w:r/>
            <w:r>
              <w:rPr>
                <w:b w:val="0"/>
                <w:i w:val="0"/>
                <w:sz w:val="17"/>
              </w:rPr>
              <w:t>5,561</w:t>
            </w:r>
          </w:p>
        </w:tc>
      </w:tr>
      <w:tr>
        <w:trPr>
          <w:cantSplit/>
        </w:trPr>
        <w:tc>
          <w:tcPr>
            <w:tcW w:type="dxa" w:w="3742"/>
            <w:vAlign w:val="center"/>
          </w:tcPr>
          <w:p>
            <w:pPr>
              <w:keepNext/>
              <w:spacing w:after="0" w:line="240" w:lineRule="auto"/>
              <w:jc w:val="left"/>
            </w:pPr>
            <w:r/>
            <w:r>
              <w:rPr>
                <w:b w:val="0"/>
                <w:i w:val="0"/>
                <w:sz w:val="17"/>
              </w:rPr>
              <w:t>Médiane</w:t>
            </w:r>
          </w:p>
        </w:tc>
        <w:tc>
          <w:tcPr>
            <w:tcW w:type="dxa" w:w="2097"/>
            <w:vAlign w:val="center"/>
          </w:tcPr>
          <w:p>
            <w:pPr>
              <w:keepNext/>
              <w:spacing w:after="0" w:line="240" w:lineRule="auto"/>
              <w:jc w:val="center"/>
            </w:pPr>
            <w:r/>
            <w:r>
              <w:rPr>
                <w:b w:val="0"/>
                <w:i w:val="0"/>
                <w:sz w:val="17"/>
              </w:rPr>
              <w:t>560</w:t>
            </w:r>
          </w:p>
        </w:tc>
        <w:tc>
          <w:tcPr>
            <w:tcW w:type="dxa" w:w="2097"/>
            <w:vAlign w:val="center"/>
          </w:tcPr>
          <w:p>
            <w:pPr>
              <w:keepNext/>
              <w:spacing w:after="0" w:line="240" w:lineRule="auto"/>
              <w:jc w:val="center"/>
            </w:pPr>
            <w:r/>
            <w:r>
              <w:rPr>
                <w:b w:val="0"/>
                <w:i w:val="0"/>
                <w:sz w:val="17"/>
              </w:rPr>
              <w:t>6,328</w:t>
            </w:r>
          </w:p>
        </w:tc>
      </w:tr>
      <w:tr>
        <w:trPr>
          <w:cantSplit/>
        </w:trPr>
        <w:tc>
          <w:tcPr>
            <w:tcW w:type="dxa" w:w="3742"/>
            <w:vAlign w:val="center"/>
          </w:tcPr>
          <w:p>
            <w:pPr>
              <w:keepNext/>
              <w:spacing w:after="0" w:line="240" w:lineRule="auto"/>
              <w:jc w:val="left"/>
            </w:pPr>
            <w:r/>
            <w:r>
              <w:rPr>
                <w:b w:val="0"/>
                <w:i w:val="0"/>
                <w:sz w:val="17"/>
              </w:rPr>
              <w:t>3e quartile</w:t>
            </w:r>
          </w:p>
        </w:tc>
        <w:tc>
          <w:tcPr>
            <w:tcW w:type="dxa" w:w="2097"/>
            <w:vAlign w:val="center"/>
          </w:tcPr>
          <w:p>
            <w:pPr>
              <w:keepNext/>
              <w:spacing w:after="0" w:line="240" w:lineRule="auto"/>
              <w:jc w:val="center"/>
            </w:pPr>
            <w:r/>
            <w:r>
              <w:rPr>
                <w:b w:val="0"/>
                <w:i w:val="0"/>
                <w:sz w:val="17"/>
              </w:rPr>
              <w:t>961</w:t>
            </w:r>
          </w:p>
        </w:tc>
        <w:tc>
          <w:tcPr>
            <w:tcW w:type="dxa" w:w="2097"/>
            <w:vAlign w:val="center"/>
          </w:tcPr>
          <w:p>
            <w:pPr>
              <w:keepNext/>
              <w:spacing w:after="0" w:line="240" w:lineRule="auto"/>
              <w:jc w:val="center"/>
            </w:pPr>
            <w:r/>
            <w:r>
              <w:rPr>
                <w:b w:val="0"/>
                <w:i w:val="0"/>
                <w:sz w:val="17"/>
              </w:rPr>
              <w:t>6,868</w:t>
            </w:r>
          </w:p>
        </w:tc>
      </w:tr>
      <w:tr>
        <w:trPr>
          <w:cantSplit/>
        </w:trPr>
        <w:tc>
          <w:tcPr>
            <w:tcW w:type="dxa" w:w="3742"/>
            <w:vAlign w:val="center"/>
          </w:tcPr>
          <w:p>
            <w:pPr>
              <w:keepNext/>
              <w:spacing w:after="0" w:line="240" w:lineRule="auto"/>
              <w:jc w:val="left"/>
            </w:pPr>
            <w:r/>
            <w:r>
              <w:rPr>
                <w:b w:val="0"/>
                <w:i w:val="0"/>
                <w:sz w:val="17"/>
              </w:rPr>
              <w:t>9e décile</w:t>
            </w:r>
          </w:p>
        </w:tc>
        <w:tc>
          <w:tcPr>
            <w:tcW w:type="dxa" w:w="2097"/>
            <w:vAlign w:val="center"/>
          </w:tcPr>
          <w:p>
            <w:pPr>
              <w:keepNext/>
              <w:spacing w:after="0" w:line="240" w:lineRule="auto"/>
              <w:jc w:val="center"/>
            </w:pPr>
            <w:r/>
            <w:r>
              <w:rPr>
                <w:b w:val="0"/>
                <w:i w:val="0"/>
                <w:sz w:val="17"/>
              </w:rPr>
              <w:t>1 370</w:t>
            </w:r>
          </w:p>
        </w:tc>
        <w:tc>
          <w:tcPr>
            <w:tcW w:type="dxa" w:w="2097"/>
            <w:vAlign w:val="center"/>
          </w:tcPr>
          <w:p>
            <w:pPr>
              <w:keepNext/>
              <w:spacing w:after="0" w:line="240" w:lineRule="auto"/>
              <w:jc w:val="center"/>
            </w:pPr>
            <w:r/>
            <w:r>
              <w:rPr>
                <w:b w:val="0"/>
                <w:i w:val="0"/>
                <w:sz w:val="17"/>
              </w:rPr>
              <w:t>7,223</w:t>
            </w:r>
          </w:p>
        </w:tc>
      </w:tr>
      <w:tr>
        <w:trPr>
          <w:cantSplit/>
        </w:trPr>
        <w:tc>
          <w:tcPr>
            <w:tcW w:type="dxa" w:w="3742"/>
            <w:vAlign w:val="center"/>
          </w:tcPr>
          <w:p>
            <w:pPr>
              <w:keepNext/>
              <w:spacing w:after="0" w:line="240" w:lineRule="auto"/>
              <w:jc w:val="left"/>
            </w:pPr>
            <w:r/>
            <w:r>
              <w:rPr>
                <w:b w:val="0"/>
                <w:i w:val="0"/>
                <w:sz w:val="17"/>
              </w:rPr>
              <w:t>Maximum</w:t>
            </w:r>
          </w:p>
        </w:tc>
        <w:tc>
          <w:tcPr>
            <w:tcW w:type="dxa" w:w="2097"/>
            <w:vAlign w:val="center"/>
          </w:tcPr>
          <w:p>
            <w:pPr>
              <w:keepNext/>
              <w:spacing w:after="0" w:line="240" w:lineRule="auto"/>
              <w:jc w:val="center"/>
            </w:pPr>
            <w:r/>
            <w:r>
              <w:rPr>
                <w:b w:val="0"/>
                <w:i w:val="0"/>
                <w:sz w:val="17"/>
              </w:rPr>
              <w:t>3 767</w:t>
            </w:r>
          </w:p>
        </w:tc>
        <w:tc>
          <w:tcPr>
            <w:tcW w:type="dxa" w:w="2097"/>
            <w:vAlign w:val="center"/>
          </w:tcPr>
          <w:p>
            <w:pPr>
              <w:keepNext/>
              <w:spacing w:after="0" w:line="240" w:lineRule="auto"/>
              <w:jc w:val="center"/>
            </w:pPr>
            <w:r/>
            <w:r>
              <w:rPr>
                <w:b w:val="0"/>
                <w:i w:val="0"/>
                <w:sz w:val="17"/>
              </w:rPr>
              <w:t>8,234</w:t>
            </w:r>
          </w:p>
        </w:tc>
      </w:tr>
      <w:tr>
        <w:trPr>
          <w:cantSplit/>
        </w:trPr>
        <w:tc>
          <w:tcPr>
            <w:tcW w:type="dxa" w:w="3742"/>
            <w:vAlign w:val="center"/>
          </w:tcPr>
          <w:p>
            <w:pPr>
              <w:keepNext/>
              <w:spacing w:after="0" w:line="240" w:lineRule="auto"/>
              <w:jc w:val="left"/>
            </w:pPr>
            <w:r/>
            <w:r>
              <w:rPr>
                <w:b w:val="0"/>
                <w:i w:val="0"/>
                <w:sz w:val="17"/>
              </w:rPr>
              <w:t>Skewness</w:t>
            </w:r>
          </w:p>
        </w:tc>
        <w:tc>
          <w:tcPr>
            <w:tcW w:type="dxa" w:w="2097"/>
            <w:vAlign w:val="center"/>
          </w:tcPr>
          <w:p>
            <w:pPr>
              <w:keepNext/>
              <w:spacing w:after="0" w:line="240" w:lineRule="auto"/>
              <w:jc w:val="center"/>
            </w:pPr>
            <w:r/>
            <w:r>
              <w:rPr>
                <w:b w:val="0"/>
                <w:i w:val="0"/>
                <w:sz w:val="17"/>
              </w:rPr>
              <w:t>1,70</w:t>
            </w:r>
          </w:p>
        </w:tc>
        <w:tc>
          <w:tcPr>
            <w:tcW w:type="dxa" w:w="2097"/>
            <w:vAlign w:val="center"/>
          </w:tcPr>
          <w:p>
            <w:pPr>
              <w:keepNext/>
              <w:spacing w:after="0" w:line="240" w:lineRule="auto"/>
              <w:jc w:val="center"/>
            </w:pPr>
            <w:r/>
            <w:r>
              <w:rPr>
                <w:b w:val="0"/>
                <w:i w:val="0"/>
                <w:sz w:val="17"/>
              </w:rPr>
              <w:t>–0,45</w:t>
            </w:r>
          </w:p>
        </w:tc>
      </w:tr>
      <w:tr>
        <w:trPr>
          <w:cantSplit/>
        </w:trPr>
        <w:tc>
          <w:tcPr>
            <w:tcW w:type="dxa" w:w="3742"/>
            <w:vAlign w:val="center"/>
          </w:tcPr>
          <w:p>
            <w:pPr>
              <w:keepNext/>
              <w:spacing w:after="0" w:line="240" w:lineRule="auto"/>
              <w:jc w:val="left"/>
            </w:pPr>
            <w:r/>
            <w:r>
              <w:rPr>
                <w:b w:val="0"/>
                <w:i w:val="0"/>
                <w:sz w:val="17"/>
              </w:rPr>
              <w:t>Kurtosis</w:t>
            </w:r>
          </w:p>
        </w:tc>
        <w:tc>
          <w:tcPr>
            <w:tcW w:type="dxa" w:w="2097"/>
            <w:vAlign w:val="center"/>
          </w:tcPr>
          <w:p>
            <w:pPr>
              <w:keepNext/>
              <w:spacing w:after="0" w:line="240" w:lineRule="auto"/>
              <w:jc w:val="center"/>
            </w:pPr>
            <w:r/>
            <w:r>
              <w:rPr>
                <w:b w:val="0"/>
                <w:i w:val="0"/>
                <w:sz w:val="17"/>
              </w:rPr>
              <w:t>7,29</w:t>
            </w:r>
          </w:p>
        </w:tc>
        <w:tc>
          <w:tcPr>
            <w:tcW w:type="dxa" w:w="2097"/>
            <w:vAlign w:val="center"/>
          </w:tcPr>
          <w:p>
            <w:pPr>
              <w:keepNext/>
              <w:spacing w:after="0" w:line="240" w:lineRule="auto"/>
              <w:jc w:val="center"/>
            </w:pPr>
            <w:r/>
            <w:r>
              <w:rPr>
                <w:b w:val="0"/>
                <w:i w:val="0"/>
                <w:sz w:val="17"/>
              </w:rPr>
              <w:t>2,67</w:t>
            </w:r>
          </w:p>
        </w:tc>
      </w:tr>
      <w:tr>
        <w:trPr>
          <w:cantSplit/>
        </w:trPr>
        <w:tc>
          <w:tcPr>
            <w:tcW w:type="dxa" w:w="7938"/>
            <w:gridSpan w:val="3"/>
            <w:shd w:val="clear" w:color="auto" w:fill="F4F6F9"/>
            <w:vAlign w:val="center"/>
          </w:tcPr>
          <w:p>
            <w:pPr>
              <w:keepNext/>
              <w:spacing w:after="0" w:line="240" w:lineRule="auto"/>
              <w:jc w:val="left"/>
            </w:pPr>
            <w:r/>
            <w:r>
              <w:rPr>
                <w:b/>
                <w:i w:val="0"/>
                <w:sz w:val="17"/>
              </w:rPr>
              <w:t>Tests de normalité (H0 : la variable suit une loi normale)</w:t>
            </w:r>
          </w:p>
        </w:tc>
      </w:tr>
      <w:tr>
        <w:trPr>
          <w:cantSplit/>
        </w:trPr>
        <w:tc>
          <w:tcPr>
            <w:tcW w:type="dxa" w:w="3742"/>
            <w:vAlign w:val="center"/>
          </w:tcPr>
          <w:p>
            <w:pPr>
              <w:keepNext/>
              <w:spacing w:after="0" w:line="240" w:lineRule="auto"/>
              <w:jc w:val="left"/>
            </w:pPr>
            <w:r/>
            <w:r>
              <w:rPr>
                <w:b w:val="0"/>
                <w:i w:val="0"/>
                <w:sz w:val="17"/>
              </w:rPr>
              <w:t>Test skewness-kurtosis : khi-deux (2 ddl)</w:t>
            </w:r>
          </w:p>
        </w:tc>
        <w:tc>
          <w:tcPr>
            <w:tcW w:type="dxa" w:w="2097"/>
            <w:vAlign w:val="center"/>
          </w:tcPr>
          <w:p>
            <w:pPr>
              <w:keepNext/>
              <w:spacing w:after="0" w:line="240" w:lineRule="auto"/>
              <w:jc w:val="center"/>
            </w:pPr>
            <w:r/>
            <w:r>
              <w:rPr>
                <w:b w:val="0"/>
                <w:i w:val="0"/>
                <w:sz w:val="17"/>
              </w:rPr>
              <w:t>1 357,84</w:t>
            </w:r>
          </w:p>
        </w:tc>
        <w:tc>
          <w:tcPr>
            <w:tcW w:type="dxa" w:w="2097"/>
            <w:vAlign w:val="center"/>
          </w:tcPr>
          <w:p>
            <w:pPr>
              <w:keepNext/>
              <w:spacing w:after="0" w:line="240" w:lineRule="auto"/>
              <w:jc w:val="center"/>
            </w:pPr>
            <w:r/>
            <w:r>
              <w:rPr>
                <w:b w:val="0"/>
                <w:i w:val="0"/>
                <w:sz w:val="17"/>
              </w:rPr>
              <w:t>149,07</w:t>
            </w:r>
          </w:p>
        </w:tc>
      </w:tr>
      <w:tr>
        <w:trPr>
          <w:cantSplit/>
        </w:trPr>
        <w:tc>
          <w:tcPr>
            <w:tcW w:type="dxa" w:w="3742"/>
            <w:vAlign w:val="center"/>
          </w:tcPr>
          <w:p>
            <w:pPr>
              <w:keepNext/>
              <w:spacing w:after="0" w:line="240" w:lineRule="auto"/>
              <w:jc w:val="left"/>
            </w:pPr>
            <w:r/>
            <w:r>
              <w:rPr>
                <w:b w:val="0"/>
                <w:i w:val="0"/>
                <w:sz w:val="17"/>
              </w:rPr>
              <w:t xml:space="preserve">   probabilité critique</w:t>
            </w:r>
          </w:p>
        </w:tc>
        <w:tc>
          <w:tcPr>
            <w:tcW w:type="dxa" w:w="2097"/>
            <w:vAlign w:val="center"/>
          </w:tcPr>
          <w:p>
            <w:pPr>
              <w:keepNext/>
              <w:spacing w:after="0" w:line="240" w:lineRule="auto"/>
              <w:jc w:val="center"/>
            </w:pPr>
            <w:r/>
            <w:r>
              <w:rPr>
                <w:b w:val="0"/>
                <w:i w:val="0"/>
                <w:sz w:val="17"/>
              </w:rPr>
              <w:t>&lt; 0,001</w:t>
            </w:r>
          </w:p>
        </w:tc>
        <w:tc>
          <w:tcPr>
            <w:tcW w:type="dxa" w:w="2097"/>
            <w:vAlign w:val="center"/>
          </w:tcPr>
          <w:p>
            <w:pPr>
              <w:keepNext/>
              <w:spacing w:after="0" w:line="240" w:lineRule="auto"/>
              <w:jc w:val="center"/>
            </w:pPr>
            <w:r/>
            <w:r>
              <w:rPr>
                <w:b w:val="0"/>
                <w:i w:val="0"/>
                <w:sz w:val="17"/>
              </w:rPr>
              <w:t>&lt; 0,001</w:t>
            </w:r>
          </w:p>
        </w:tc>
      </w:tr>
      <w:tr>
        <w:trPr>
          <w:cantSplit/>
        </w:trPr>
        <w:tc>
          <w:tcPr>
            <w:tcW w:type="dxa" w:w="3742"/>
            <w:vAlign w:val="center"/>
          </w:tcPr>
          <w:p>
            <w:pPr>
              <w:keepNext/>
              <w:spacing w:after="0" w:line="240" w:lineRule="auto"/>
              <w:jc w:val="left"/>
            </w:pPr>
            <w:r/>
            <w:r>
              <w:rPr>
                <w:b w:val="0"/>
                <w:i w:val="0"/>
                <w:sz w:val="17"/>
              </w:rPr>
              <w:t>Test de Shapiro-Wilk : W</w:t>
            </w:r>
          </w:p>
        </w:tc>
        <w:tc>
          <w:tcPr>
            <w:tcW w:type="dxa" w:w="2097"/>
            <w:vAlign w:val="center"/>
          </w:tcPr>
          <w:p>
            <w:pPr>
              <w:keepNext/>
              <w:spacing w:after="0" w:line="240" w:lineRule="auto"/>
              <w:jc w:val="center"/>
            </w:pPr>
            <w:r/>
            <w:r>
              <w:rPr>
                <w:b w:val="0"/>
                <w:i w:val="0"/>
                <w:sz w:val="17"/>
              </w:rPr>
              <w:t>0,861</w:t>
            </w:r>
          </w:p>
        </w:tc>
        <w:tc>
          <w:tcPr>
            <w:tcW w:type="dxa" w:w="2097"/>
            <w:vAlign w:val="center"/>
          </w:tcPr>
          <w:p>
            <w:pPr>
              <w:keepNext/>
              <w:spacing w:after="0" w:line="240" w:lineRule="auto"/>
              <w:jc w:val="center"/>
            </w:pPr>
            <w:r/>
            <w:r>
              <w:rPr>
                <w:b w:val="0"/>
                <w:i w:val="0"/>
                <w:sz w:val="17"/>
              </w:rPr>
              <w:t>0,978</w:t>
            </w:r>
          </w:p>
        </w:tc>
      </w:tr>
      <w:tr>
        <w:trPr>
          <w:cantSplit/>
        </w:trPr>
        <w:tc>
          <w:tcPr>
            <w:tcW w:type="dxa" w:w="3742"/>
            <w:vAlign w:val="center"/>
          </w:tcPr>
          <w:p>
            <w:pPr>
              <w:keepNext/>
              <w:spacing w:after="0" w:line="240" w:lineRule="auto"/>
              <w:jc w:val="left"/>
            </w:pPr>
            <w:r/>
            <w:r>
              <w:rPr>
                <w:b w:val="0"/>
                <w:i w:val="0"/>
                <w:sz w:val="17"/>
              </w:rPr>
              <w:t xml:space="preserve">   probabilité critique</w:t>
            </w:r>
          </w:p>
        </w:tc>
        <w:tc>
          <w:tcPr>
            <w:tcW w:type="dxa" w:w="2097"/>
            <w:vAlign w:val="center"/>
          </w:tcPr>
          <w:p>
            <w:pPr>
              <w:keepNext/>
              <w:spacing w:after="0" w:line="240" w:lineRule="auto"/>
              <w:jc w:val="center"/>
            </w:pPr>
            <w:r/>
            <w:r>
              <w:rPr>
                <w:b w:val="0"/>
                <w:i w:val="0"/>
                <w:sz w:val="17"/>
              </w:rPr>
              <w:t>&lt; 0,001</w:t>
            </w:r>
          </w:p>
        </w:tc>
        <w:tc>
          <w:tcPr>
            <w:tcW w:type="dxa" w:w="2097"/>
            <w:vAlign w:val="center"/>
          </w:tcPr>
          <w:p>
            <w:pPr>
              <w:keepNext/>
              <w:spacing w:after="0" w:line="240" w:lineRule="auto"/>
              <w:jc w:val="center"/>
            </w:pPr>
            <w:r/>
            <w:r>
              <w:rPr>
                <w:b w:val="0"/>
                <w:i w:val="0"/>
                <w:sz w:val="17"/>
              </w:rPr>
              <w:t>&lt; 0,001</w:t>
            </w:r>
          </w:p>
        </w:tc>
      </w:tr>
    </w:tbl>
    <w:p>
      <w:pPr>
        <w:spacing w:after="200"/>
        <w:jc w:val="left"/>
      </w:pPr>
      <w:r>
        <w:rPr>
          <w:i/>
          <w:sz w:val="18"/>
        </w:rPr>
        <w:t>Source : INSEE, SRCV 2015 (base SRCV1_menage), échantillon de travail (3 962 ménages). Calculs des auteurs sous Stata. Commandes : sum credits, d ; sum lncredits, d ; sktest credits lncredits, noadjust ; swilk credits lncredits.</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7082"/>
                  <wp:docPr id="1" name="Picture 1"/>
                  <wp:cNvGraphicFramePr>
                    <a:graphicFrameLocks noChangeAspect="1"/>
                  </wp:cNvGraphicFramePr>
                  <a:graphic>
                    <a:graphicData uri="http://schemas.openxmlformats.org/drawingml/2006/picture">
                      <pic:pic>
                        <pic:nvPicPr>
                          <pic:cNvPr id="0" name="fig01_hist_credits.png"/>
                          <pic:cNvPicPr/>
                        </pic:nvPicPr>
                        <pic:blipFill>
                          <a:blip r:embed="rId10"/>
                          <a:stretch>
                            <a:fillRect/>
                          </a:stretch>
                        </pic:blipFill>
                        <pic:spPr>
                          <a:xfrm>
                            <a:off x="0" y="0"/>
                            <a:ext cx="2682000" cy="1847082"/>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1843875"/>
                  <wp:docPr id="2" name="Picture 2"/>
                  <wp:cNvGraphicFramePr>
                    <a:graphicFrameLocks noChangeAspect="1"/>
                  </wp:cNvGraphicFramePr>
                  <a:graphic>
                    <a:graphicData uri="http://schemas.openxmlformats.org/drawingml/2006/picture">
                      <pic:pic>
                        <pic:nvPicPr>
                          <pic:cNvPr id="0" name="fig02_hist_lncredits.png"/>
                          <pic:cNvPicPr/>
                        </pic:nvPicPr>
                        <pic:blipFill>
                          <a:blip r:embed="rId11"/>
                          <a:stretch>
                            <a:fillRect/>
                          </a:stretch>
                        </pic:blipFill>
                        <pic:spPr>
                          <a:xfrm>
                            <a:off x="0" y="0"/>
                            <a:ext cx="2682000" cy="1843875"/>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1 – Mensualités</w:t>
            </w:r>
          </w:p>
        </w:tc>
        <w:tc>
          <w:tcPr>
            <w:tcW w:type="dxa" w:w="4536"/>
            <w:vAlign w:val="center"/>
          </w:tcPr>
          <w:p>
            <w:pPr>
              <w:spacing w:after="0" w:line="240" w:lineRule="auto"/>
              <w:jc w:val="center"/>
            </w:pPr>
            <w:r/>
            <w:r>
              <w:rPr>
                <w:b/>
                <w:i w:val="0"/>
                <w:sz w:val="19"/>
              </w:rPr>
              <w:t>Figure 2 – Logarithme des mensualités</w:t>
            </w:r>
          </w:p>
        </w:tc>
      </w:tr>
    </w:tbl>
    <w:p>
      <w:pPr>
        <w:spacing w:after="200"/>
        <w:jc w:val="left"/>
      </w:pPr>
      <w:r>
        <w:rPr>
          <w:i/>
          <w:sz w:val="18"/>
        </w:rPr>
        <w:t>Source : INSEE, SRCV 2015 (base SRCV1_menage), échantillon de travail (3 962 ménages). Calculs des auteurs sous Stata.</w:t>
      </w:r>
    </w:p>
    <w:p>
      <w:pPr>
        <w:jc w:val="both"/>
      </w:pPr>
      <w:r>
        <w:t xml:space="preserve">Les ménages remboursent en moyenne </w:t>
      </w:r>
      <w:r>
        <w:rPr>
          <w:b/>
        </w:rPr>
        <w:t>690 € par mois</w:t>
      </w:r>
      <w:r>
        <w:t xml:space="preserve">, pour une médiane de </w:t>
      </w:r>
      <w:r>
        <w:rPr>
          <w:b/>
        </w:rPr>
        <w:t>560 €</w:t>
      </w:r>
      <w:r>
        <w:t xml:space="preserve"> ; un quart rembourse moins de 260 € et 10 % plus de 1 370 €. La distribution est très étalée vers la droite (figure 1) : beaucoup de petites mensualités, souvent des crédits à la consommation ou automobiles, et une minorité de montants élevés, liés en général à un prêt immobilier. Le skewness (1,70) et le kurtosis (7,29, contre 3 pour une loi normale) le confirment. Le logarithme est beaucoup plus symétrique (figure 2) : moyenne et médiane sont proches (6,19 et 6,33), le skewness vaut –0,45 et le kurtosis 2,67. Les pics de l’histogramme viennent des montants ronds : 32 % des mensualités sont des multiples de 50 €.</w:t>
      </w:r>
    </w:p>
    <w:p>
      <w:pPr>
        <w:jc w:val="both"/>
      </w:pPr>
      <w:r>
        <w:t xml:space="preserve">Sous H0, la statistique du test skewness-kurtosis suit une loi du khi-deux à 2 degrés de liberté, de valeur critique 5,99 au seuil de 5 %. Avec 1 357,84 et 149,07, </w:t>
      </w:r>
      <w:r>
        <w:rPr>
          <w:b/>
        </w:rPr>
        <w:t>on rejette la normalité pour les deux variables</w:t>
      </w:r>
      <w:r>
        <w:t xml:space="preserve">, comme avec le test de Shapiro-Wilk ; c’est fréquent avec près de 4 000 observations, car le moindre écart devient significatif. Mais la statistique est divisée par neuf en logarithme, et W se rapproche de 1 (0,978 contre 0,861). </w:t>
      </w:r>
      <w:r>
        <w:rPr>
          <w:b/>
        </w:rPr>
        <w:t>Nous modéliserons donc ln(CREDITS)</w:t>
      </w:r>
      <w:r>
        <w:t xml:space="preserve"> : les coefficients s’interpréteront comme des variations en pourcentage des mensualités.</w:t>
      </w:r>
    </w:p>
    <w:p>
      <w:pPr>
        <w:pStyle w:val="Heading3"/>
      </w:pPr>
      <w:r>
        <w:t>3.2. Variables explicatives continues</w:t>
      </w:r>
    </w:p>
    <w:p>
      <w:pPr>
        <w:keepNext/>
        <w:spacing w:after="60"/>
        <w:jc w:val="left"/>
      </w:pPr>
      <w:r>
        <w:rPr>
          <w:b/>
          <w:sz w:val="21"/>
        </w:rPr>
        <w:t>Tableau 7 – Distribution de l’âge et du revenu</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2268"/>
        <w:gridCol w:w="2268"/>
        <w:gridCol w:w="2268"/>
        <w:gridCol w:w="2268"/>
      </w:tblGrid>
      <w:tr>
        <w:trPr>
          <w:cantSplit/>
          <w:tblHeader/>
        </w:trPr>
        <w:tc>
          <w:tcPr>
            <w:tcW w:type="dxa" w:w="2268"/>
            <w:shd w:val="clear" w:color="auto" w:fill="E8ECF2"/>
            <w:vAlign w:val="center"/>
          </w:tcPr>
          <w:p>
            <w:pPr>
              <w:keepNext/>
              <w:spacing w:after="0" w:line="240" w:lineRule="auto"/>
              <w:jc w:val="left"/>
            </w:pPr>
            <w:r/>
            <w:r>
              <w:rPr>
                <w:b/>
                <w:i w:val="0"/>
                <w:sz w:val="17"/>
              </w:rPr>
              <w:t>Statistique</w:t>
            </w:r>
          </w:p>
        </w:tc>
        <w:tc>
          <w:tcPr>
            <w:tcW w:type="dxa" w:w="2268"/>
            <w:shd w:val="clear" w:color="auto" w:fill="E8ECF2"/>
            <w:vAlign w:val="center"/>
          </w:tcPr>
          <w:p>
            <w:pPr>
              <w:keepNext/>
              <w:spacing w:after="0" w:line="240" w:lineRule="auto"/>
              <w:jc w:val="center"/>
            </w:pPr>
            <w:r/>
            <w:r>
              <w:rPr>
                <w:b/>
                <w:i w:val="0"/>
                <w:sz w:val="17"/>
              </w:rPr>
              <w:t>Âge de la personne de référence</w:t>
            </w:r>
          </w:p>
        </w:tc>
        <w:tc>
          <w:tcPr>
            <w:tcW w:type="dxa" w:w="2268"/>
            <w:shd w:val="clear" w:color="auto" w:fill="E8ECF2"/>
            <w:vAlign w:val="center"/>
          </w:tcPr>
          <w:p>
            <w:pPr>
              <w:keepNext/>
              <w:spacing w:after="0" w:line="240" w:lineRule="auto"/>
              <w:jc w:val="center"/>
            </w:pPr>
            <w:r/>
            <w:r>
              <w:rPr>
                <w:b/>
                <w:i w:val="0"/>
                <w:sz w:val="17"/>
              </w:rPr>
              <w:t>Revenu mensuel (euros)</w:t>
            </w:r>
          </w:p>
        </w:tc>
        <w:tc>
          <w:tcPr>
            <w:tcW w:type="dxa" w:w="2268"/>
            <w:shd w:val="clear" w:color="auto" w:fill="E8ECF2"/>
            <w:vAlign w:val="center"/>
          </w:tcPr>
          <w:p>
            <w:pPr>
              <w:keepNext/>
              <w:spacing w:after="0" w:line="240" w:lineRule="auto"/>
              <w:jc w:val="center"/>
            </w:pPr>
            <w:r/>
            <w:r>
              <w:rPr>
                <w:b/>
                <w:i w:val="0"/>
                <w:sz w:val="17"/>
              </w:rPr>
              <w:t>Logarithme du revenu</w:t>
            </w:r>
          </w:p>
        </w:tc>
      </w:tr>
      <w:tr>
        <w:trPr>
          <w:cantSplit/>
        </w:trPr>
        <w:tc>
          <w:tcPr>
            <w:tcW w:type="dxa" w:w="2268"/>
            <w:vAlign w:val="center"/>
          </w:tcPr>
          <w:p>
            <w:pPr>
              <w:keepNext/>
              <w:spacing w:after="0" w:line="240" w:lineRule="auto"/>
              <w:jc w:val="left"/>
            </w:pPr>
            <w:r/>
            <w:r>
              <w:rPr>
                <w:b w:val="0"/>
                <w:i w:val="0"/>
                <w:sz w:val="17"/>
              </w:rPr>
              <w:t>Observations</w:t>
            </w:r>
          </w:p>
        </w:tc>
        <w:tc>
          <w:tcPr>
            <w:tcW w:type="dxa" w:w="2268"/>
            <w:vAlign w:val="center"/>
          </w:tcPr>
          <w:p>
            <w:pPr>
              <w:keepNext/>
              <w:spacing w:after="0" w:line="240" w:lineRule="auto"/>
              <w:jc w:val="center"/>
            </w:pPr>
            <w:r/>
            <w:r>
              <w:rPr>
                <w:b w:val="0"/>
                <w:i w:val="0"/>
                <w:sz w:val="17"/>
              </w:rPr>
              <w:t>3 962</w:t>
            </w:r>
          </w:p>
        </w:tc>
        <w:tc>
          <w:tcPr>
            <w:tcW w:type="dxa" w:w="2268"/>
            <w:vAlign w:val="center"/>
          </w:tcPr>
          <w:p>
            <w:pPr>
              <w:keepNext/>
              <w:spacing w:after="0" w:line="240" w:lineRule="auto"/>
              <w:jc w:val="center"/>
            </w:pPr>
            <w:r/>
            <w:r>
              <w:rPr>
                <w:b w:val="0"/>
                <w:i w:val="0"/>
                <w:sz w:val="17"/>
              </w:rPr>
              <w:t>3 502</w:t>
            </w:r>
          </w:p>
        </w:tc>
        <w:tc>
          <w:tcPr>
            <w:tcW w:type="dxa" w:w="2268"/>
            <w:vAlign w:val="center"/>
          </w:tcPr>
          <w:p>
            <w:pPr>
              <w:keepNext/>
              <w:spacing w:after="0" w:line="240" w:lineRule="auto"/>
              <w:jc w:val="center"/>
            </w:pPr>
            <w:r/>
            <w:r>
              <w:rPr>
                <w:b w:val="0"/>
                <w:i w:val="0"/>
                <w:sz w:val="17"/>
              </w:rPr>
              <w:t>3 502</w:t>
            </w:r>
          </w:p>
        </w:tc>
      </w:tr>
      <w:tr>
        <w:trPr>
          <w:cantSplit/>
        </w:trPr>
        <w:tc>
          <w:tcPr>
            <w:tcW w:type="dxa" w:w="2268"/>
            <w:vAlign w:val="center"/>
          </w:tcPr>
          <w:p>
            <w:pPr>
              <w:keepNext/>
              <w:spacing w:after="0" w:line="240" w:lineRule="auto"/>
              <w:jc w:val="left"/>
            </w:pPr>
            <w:r/>
            <w:r>
              <w:rPr>
                <w:b w:val="0"/>
                <w:i w:val="0"/>
                <w:sz w:val="17"/>
              </w:rPr>
              <w:t>Moyenne</w:t>
            </w:r>
          </w:p>
        </w:tc>
        <w:tc>
          <w:tcPr>
            <w:tcW w:type="dxa" w:w="2268"/>
            <w:vAlign w:val="center"/>
          </w:tcPr>
          <w:p>
            <w:pPr>
              <w:keepNext/>
              <w:spacing w:after="0" w:line="240" w:lineRule="auto"/>
              <w:jc w:val="center"/>
            </w:pPr>
            <w:r/>
            <w:r>
              <w:rPr>
                <w:b w:val="0"/>
                <w:i w:val="0"/>
                <w:sz w:val="17"/>
              </w:rPr>
              <w:t>48,6</w:t>
            </w:r>
          </w:p>
        </w:tc>
        <w:tc>
          <w:tcPr>
            <w:tcW w:type="dxa" w:w="2268"/>
            <w:vAlign w:val="center"/>
          </w:tcPr>
          <w:p>
            <w:pPr>
              <w:keepNext/>
              <w:spacing w:after="0" w:line="240" w:lineRule="auto"/>
              <w:jc w:val="center"/>
            </w:pPr>
            <w:r/>
            <w:r>
              <w:rPr>
                <w:b w:val="0"/>
                <w:i w:val="0"/>
                <w:sz w:val="17"/>
              </w:rPr>
              <w:t>3 299</w:t>
            </w:r>
          </w:p>
        </w:tc>
        <w:tc>
          <w:tcPr>
            <w:tcW w:type="dxa" w:w="2268"/>
            <w:vAlign w:val="center"/>
          </w:tcPr>
          <w:p>
            <w:pPr>
              <w:keepNext/>
              <w:spacing w:after="0" w:line="240" w:lineRule="auto"/>
              <w:jc w:val="center"/>
            </w:pPr>
            <w:r/>
            <w:r>
              <w:rPr>
                <w:b w:val="0"/>
                <w:i w:val="0"/>
                <w:sz w:val="17"/>
              </w:rPr>
              <w:t>7,980</w:t>
            </w:r>
          </w:p>
        </w:tc>
      </w:tr>
      <w:tr>
        <w:trPr>
          <w:cantSplit/>
        </w:trPr>
        <w:tc>
          <w:tcPr>
            <w:tcW w:type="dxa" w:w="2268"/>
            <w:vAlign w:val="center"/>
          </w:tcPr>
          <w:p>
            <w:pPr>
              <w:keepNext/>
              <w:spacing w:after="0" w:line="240" w:lineRule="auto"/>
              <w:jc w:val="left"/>
            </w:pPr>
            <w:r/>
            <w:r>
              <w:rPr>
                <w:b w:val="0"/>
                <w:i w:val="0"/>
                <w:sz w:val="17"/>
              </w:rPr>
              <w:t>Écart-type</w:t>
            </w:r>
          </w:p>
        </w:tc>
        <w:tc>
          <w:tcPr>
            <w:tcW w:type="dxa" w:w="2268"/>
            <w:vAlign w:val="center"/>
          </w:tcPr>
          <w:p>
            <w:pPr>
              <w:keepNext/>
              <w:spacing w:after="0" w:line="240" w:lineRule="auto"/>
              <w:jc w:val="center"/>
            </w:pPr>
            <w:r/>
            <w:r>
              <w:rPr>
                <w:b w:val="0"/>
                <w:i w:val="0"/>
                <w:sz w:val="17"/>
              </w:rPr>
              <w:t>13,1</w:t>
            </w:r>
          </w:p>
        </w:tc>
        <w:tc>
          <w:tcPr>
            <w:tcW w:type="dxa" w:w="2268"/>
            <w:vAlign w:val="center"/>
          </w:tcPr>
          <w:p>
            <w:pPr>
              <w:keepNext/>
              <w:spacing w:after="0" w:line="240" w:lineRule="auto"/>
              <w:jc w:val="center"/>
            </w:pPr>
            <w:r/>
            <w:r>
              <w:rPr>
                <w:b w:val="0"/>
                <w:i w:val="0"/>
                <w:sz w:val="17"/>
              </w:rPr>
              <w:t>1 765</w:t>
            </w:r>
          </w:p>
        </w:tc>
        <w:tc>
          <w:tcPr>
            <w:tcW w:type="dxa" w:w="2268"/>
            <w:vAlign w:val="center"/>
          </w:tcPr>
          <w:p>
            <w:pPr>
              <w:keepNext/>
              <w:spacing w:after="0" w:line="240" w:lineRule="auto"/>
              <w:jc w:val="center"/>
            </w:pPr>
            <w:r/>
            <w:r>
              <w:rPr>
                <w:b w:val="0"/>
                <w:i w:val="0"/>
                <w:sz w:val="17"/>
              </w:rPr>
              <w:t>0,495</w:t>
            </w:r>
          </w:p>
        </w:tc>
      </w:tr>
      <w:tr>
        <w:trPr>
          <w:cantSplit/>
        </w:trPr>
        <w:tc>
          <w:tcPr>
            <w:tcW w:type="dxa" w:w="2268"/>
            <w:vAlign w:val="center"/>
          </w:tcPr>
          <w:p>
            <w:pPr>
              <w:keepNext/>
              <w:spacing w:after="0" w:line="240" w:lineRule="auto"/>
              <w:jc w:val="left"/>
            </w:pPr>
            <w:r/>
            <w:r>
              <w:rPr>
                <w:b w:val="0"/>
                <w:i w:val="0"/>
                <w:sz w:val="17"/>
              </w:rPr>
              <w:t>Minimum</w:t>
            </w:r>
          </w:p>
        </w:tc>
        <w:tc>
          <w:tcPr>
            <w:tcW w:type="dxa" w:w="2268"/>
            <w:vAlign w:val="center"/>
          </w:tcPr>
          <w:p>
            <w:pPr>
              <w:keepNext/>
              <w:spacing w:after="0" w:line="240" w:lineRule="auto"/>
              <w:jc w:val="center"/>
            </w:pPr>
            <w:r/>
            <w:r>
              <w:rPr>
                <w:b w:val="0"/>
                <w:i w:val="0"/>
                <w:sz w:val="17"/>
              </w:rPr>
              <w:t>20</w:t>
            </w:r>
          </w:p>
        </w:tc>
        <w:tc>
          <w:tcPr>
            <w:tcW w:type="dxa" w:w="2268"/>
            <w:vAlign w:val="center"/>
          </w:tcPr>
          <w:p>
            <w:pPr>
              <w:keepNext/>
              <w:spacing w:after="0" w:line="240" w:lineRule="auto"/>
              <w:jc w:val="center"/>
            </w:pPr>
            <w:r/>
            <w:r>
              <w:rPr>
                <w:b w:val="0"/>
                <w:i w:val="0"/>
                <w:sz w:val="17"/>
              </w:rPr>
              <w:t>500</w:t>
            </w:r>
          </w:p>
        </w:tc>
        <w:tc>
          <w:tcPr>
            <w:tcW w:type="dxa" w:w="2268"/>
            <w:vAlign w:val="center"/>
          </w:tcPr>
          <w:p>
            <w:pPr>
              <w:keepNext/>
              <w:spacing w:after="0" w:line="240" w:lineRule="auto"/>
              <w:jc w:val="center"/>
            </w:pPr>
            <w:r/>
            <w:r>
              <w:rPr>
                <w:b w:val="0"/>
                <w:i w:val="0"/>
                <w:sz w:val="17"/>
              </w:rPr>
              <w:t>6,215</w:t>
            </w:r>
          </w:p>
        </w:tc>
      </w:tr>
      <w:tr>
        <w:trPr>
          <w:cantSplit/>
        </w:trPr>
        <w:tc>
          <w:tcPr>
            <w:tcW w:type="dxa" w:w="2268"/>
            <w:vAlign w:val="center"/>
          </w:tcPr>
          <w:p>
            <w:pPr>
              <w:keepNext/>
              <w:spacing w:after="0" w:line="240" w:lineRule="auto"/>
              <w:jc w:val="left"/>
            </w:pPr>
            <w:r/>
            <w:r>
              <w:rPr>
                <w:b w:val="0"/>
                <w:i w:val="0"/>
                <w:sz w:val="17"/>
              </w:rPr>
              <w:t>1er décile</w:t>
            </w:r>
          </w:p>
        </w:tc>
        <w:tc>
          <w:tcPr>
            <w:tcW w:type="dxa" w:w="2268"/>
            <w:vAlign w:val="center"/>
          </w:tcPr>
          <w:p>
            <w:pPr>
              <w:keepNext/>
              <w:spacing w:after="0" w:line="240" w:lineRule="auto"/>
              <w:jc w:val="center"/>
            </w:pPr>
            <w:r/>
            <w:r>
              <w:rPr>
                <w:b w:val="0"/>
                <w:i w:val="0"/>
                <w:sz w:val="17"/>
              </w:rPr>
              <w:t>32</w:t>
            </w:r>
          </w:p>
        </w:tc>
        <w:tc>
          <w:tcPr>
            <w:tcW w:type="dxa" w:w="2268"/>
            <w:vAlign w:val="center"/>
          </w:tcPr>
          <w:p>
            <w:pPr>
              <w:keepNext/>
              <w:spacing w:after="0" w:line="240" w:lineRule="auto"/>
              <w:jc w:val="center"/>
            </w:pPr>
            <w:r/>
            <w:r>
              <w:rPr>
                <w:b w:val="0"/>
                <w:i w:val="0"/>
                <w:sz w:val="17"/>
              </w:rPr>
              <w:t>1 500</w:t>
            </w:r>
          </w:p>
        </w:tc>
        <w:tc>
          <w:tcPr>
            <w:tcW w:type="dxa" w:w="2268"/>
            <w:vAlign w:val="center"/>
          </w:tcPr>
          <w:p>
            <w:pPr>
              <w:keepNext/>
              <w:spacing w:after="0" w:line="240" w:lineRule="auto"/>
              <w:jc w:val="center"/>
            </w:pPr>
            <w:r/>
            <w:r>
              <w:rPr>
                <w:b w:val="0"/>
                <w:i w:val="0"/>
                <w:sz w:val="17"/>
              </w:rPr>
              <w:t>7,313</w:t>
            </w:r>
          </w:p>
        </w:tc>
      </w:tr>
      <w:tr>
        <w:trPr>
          <w:cantSplit/>
        </w:trPr>
        <w:tc>
          <w:tcPr>
            <w:tcW w:type="dxa" w:w="2268"/>
            <w:vAlign w:val="center"/>
          </w:tcPr>
          <w:p>
            <w:pPr>
              <w:keepNext/>
              <w:spacing w:after="0" w:line="240" w:lineRule="auto"/>
              <w:jc w:val="left"/>
            </w:pPr>
            <w:r/>
            <w:r>
              <w:rPr>
                <w:b w:val="0"/>
                <w:i w:val="0"/>
                <w:sz w:val="17"/>
              </w:rPr>
              <w:t>Médiane</w:t>
            </w:r>
          </w:p>
        </w:tc>
        <w:tc>
          <w:tcPr>
            <w:tcW w:type="dxa" w:w="2268"/>
            <w:vAlign w:val="center"/>
          </w:tcPr>
          <w:p>
            <w:pPr>
              <w:keepNext/>
              <w:spacing w:after="0" w:line="240" w:lineRule="auto"/>
              <w:jc w:val="center"/>
            </w:pPr>
            <w:r/>
            <w:r>
              <w:rPr>
                <w:b w:val="0"/>
                <w:i w:val="0"/>
                <w:sz w:val="17"/>
              </w:rPr>
              <w:t>48</w:t>
            </w:r>
          </w:p>
        </w:tc>
        <w:tc>
          <w:tcPr>
            <w:tcW w:type="dxa" w:w="2268"/>
            <w:vAlign w:val="center"/>
          </w:tcPr>
          <w:p>
            <w:pPr>
              <w:keepNext/>
              <w:spacing w:after="0" w:line="240" w:lineRule="auto"/>
              <w:jc w:val="center"/>
            </w:pPr>
            <w:r/>
            <w:r>
              <w:rPr>
                <w:b w:val="0"/>
                <w:i w:val="0"/>
                <w:sz w:val="17"/>
              </w:rPr>
              <w:t>3 000</w:t>
            </w:r>
          </w:p>
        </w:tc>
        <w:tc>
          <w:tcPr>
            <w:tcW w:type="dxa" w:w="2268"/>
            <w:vAlign w:val="center"/>
          </w:tcPr>
          <w:p>
            <w:pPr>
              <w:keepNext/>
              <w:spacing w:after="0" w:line="240" w:lineRule="auto"/>
              <w:jc w:val="center"/>
            </w:pPr>
            <w:r/>
            <w:r>
              <w:rPr>
                <w:b w:val="0"/>
                <w:i w:val="0"/>
                <w:sz w:val="17"/>
              </w:rPr>
              <w:t>8,006</w:t>
            </w:r>
          </w:p>
        </w:tc>
      </w:tr>
      <w:tr>
        <w:trPr>
          <w:cantSplit/>
        </w:trPr>
        <w:tc>
          <w:tcPr>
            <w:tcW w:type="dxa" w:w="2268"/>
            <w:vAlign w:val="center"/>
          </w:tcPr>
          <w:p>
            <w:pPr>
              <w:keepNext/>
              <w:spacing w:after="0" w:line="240" w:lineRule="auto"/>
              <w:jc w:val="left"/>
            </w:pPr>
            <w:r/>
            <w:r>
              <w:rPr>
                <w:b w:val="0"/>
                <w:i w:val="0"/>
                <w:sz w:val="17"/>
              </w:rPr>
              <w:t>9e décile</w:t>
            </w:r>
          </w:p>
        </w:tc>
        <w:tc>
          <w:tcPr>
            <w:tcW w:type="dxa" w:w="2268"/>
            <w:vAlign w:val="center"/>
          </w:tcPr>
          <w:p>
            <w:pPr>
              <w:keepNext/>
              <w:spacing w:after="0" w:line="240" w:lineRule="auto"/>
              <w:jc w:val="center"/>
            </w:pPr>
            <w:r/>
            <w:r>
              <w:rPr>
                <w:b w:val="0"/>
                <w:i w:val="0"/>
                <w:sz w:val="17"/>
              </w:rPr>
              <w:t>67</w:t>
            </w:r>
          </w:p>
        </w:tc>
        <w:tc>
          <w:tcPr>
            <w:tcW w:type="dxa" w:w="2268"/>
            <w:vAlign w:val="center"/>
          </w:tcPr>
          <w:p>
            <w:pPr>
              <w:keepNext/>
              <w:spacing w:after="0" w:line="240" w:lineRule="auto"/>
              <w:jc w:val="center"/>
            </w:pPr>
            <w:r/>
            <w:r>
              <w:rPr>
                <w:b w:val="0"/>
                <w:i w:val="0"/>
                <w:sz w:val="17"/>
              </w:rPr>
              <w:t>5 200</w:t>
            </w:r>
          </w:p>
        </w:tc>
        <w:tc>
          <w:tcPr>
            <w:tcW w:type="dxa" w:w="2268"/>
            <w:vAlign w:val="center"/>
          </w:tcPr>
          <w:p>
            <w:pPr>
              <w:keepNext/>
              <w:spacing w:after="0" w:line="240" w:lineRule="auto"/>
              <w:jc w:val="center"/>
            </w:pPr>
            <w:r/>
            <w:r>
              <w:rPr>
                <w:b w:val="0"/>
                <w:i w:val="0"/>
                <w:sz w:val="17"/>
              </w:rPr>
              <w:t>8,556</w:t>
            </w:r>
          </w:p>
        </w:tc>
      </w:tr>
      <w:tr>
        <w:trPr>
          <w:cantSplit/>
        </w:trPr>
        <w:tc>
          <w:tcPr>
            <w:tcW w:type="dxa" w:w="2268"/>
            <w:vAlign w:val="center"/>
          </w:tcPr>
          <w:p>
            <w:pPr>
              <w:keepNext/>
              <w:spacing w:after="0" w:line="240" w:lineRule="auto"/>
              <w:jc w:val="left"/>
            </w:pPr>
            <w:r/>
            <w:r>
              <w:rPr>
                <w:b w:val="0"/>
                <w:i w:val="0"/>
                <w:sz w:val="17"/>
              </w:rPr>
              <w:t>Maximum</w:t>
            </w:r>
          </w:p>
        </w:tc>
        <w:tc>
          <w:tcPr>
            <w:tcW w:type="dxa" w:w="2268"/>
            <w:vAlign w:val="center"/>
          </w:tcPr>
          <w:p>
            <w:pPr>
              <w:keepNext/>
              <w:spacing w:after="0" w:line="240" w:lineRule="auto"/>
              <w:jc w:val="center"/>
            </w:pPr>
            <w:r/>
            <w:r>
              <w:rPr>
                <w:b w:val="0"/>
                <w:i w:val="0"/>
                <w:sz w:val="17"/>
              </w:rPr>
              <w:t>93</w:t>
            </w:r>
          </w:p>
        </w:tc>
        <w:tc>
          <w:tcPr>
            <w:tcW w:type="dxa" w:w="2268"/>
            <w:vAlign w:val="center"/>
          </w:tcPr>
          <w:p>
            <w:pPr>
              <w:keepNext/>
              <w:spacing w:after="0" w:line="240" w:lineRule="auto"/>
              <w:jc w:val="center"/>
            </w:pPr>
            <w:r/>
            <w:r>
              <w:rPr>
                <w:b w:val="0"/>
                <w:i w:val="0"/>
                <w:sz w:val="17"/>
              </w:rPr>
              <w:t>25 284</w:t>
            </w:r>
          </w:p>
        </w:tc>
        <w:tc>
          <w:tcPr>
            <w:tcW w:type="dxa" w:w="2268"/>
            <w:vAlign w:val="center"/>
          </w:tcPr>
          <w:p>
            <w:pPr>
              <w:keepNext/>
              <w:spacing w:after="0" w:line="240" w:lineRule="auto"/>
              <w:jc w:val="center"/>
            </w:pPr>
            <w:r/>
            <w:r>
              <w:rPr>
                <w:b w:val="0"/>
                <w:i w:val="0"/>
                <w:sz w:val="17"/>
              </w:rPr>
              <w:t>10,138</w:t>
            </w:r>
          </w:p>
        </w:tc>
      </w:tr>
      <w:tr>
        <w:trPr>
          <w:cantSplit/>
        </w:trPr>
        <w:tc>
          <w:tcPr>
            <w:tcW w:type="dxa" w:w="2268"/>
            <w:vAlign w:val="center"/>
          </w:tcPr>
          <w:p>
            <w:pPr>
              <w:keepNext/>
              <w:spacing w:after="0" w:line="240" w:lineRule="auto"/>
              <w:jc w:val="left"/>
            </w:pPr>
            <w:r/>
            <w:r>
              <w:rPr>
                <w:b w:val="0"/>
                <w:i w:val="0"/>
                <w:sz w:val="17"/>
              </w:rPr>
              <w:t>Skewness</w:t>
            </w:r>
          </w:p>
        </w:tc>
        <w:tc>
          <w:tcPr>
            <w:tcW w:type="dxa" w:w="2268"/>
            <w:vAlign w:val="center"/>
          </w:tcPr>
          <w:p>
            <w:pPr>
              <w:keepNext/>
              <w:spacing w:after="0" w:line="240" w:lineRule="auto"/>
              <w:jc w:val="center"/>
            </w:pPr>
            <w:r/>
            <w:r>
              <w:rPr>
                <w:b w:val="0"/>
                <w:i w:val="0"/>
                <w:sz w:val="17"/>
              </w:rPr>
              <w:t>0,28</w:t>
            </w:r>
          </w:p>
        </w:tc>
        <w:tc>
          <w:tcPr>
            <w:tcW w:type="dxa" w:w="2268"/>
            <w:vAlign w:val="center"/>
          </w:tcPr>
          <w:p>
            <w:pPr>
              <w:keepNext/>
              <w:spacing w:after="0" w:line="240" w:lineRule="auto"/>
              <w:jc w:val="center"/>
            </w:pPr>
            <w:r/>
            <w:r>
              <w:rPr>
                <w:b w:val="0"/>
                <w:i w:val="0"/>
                <w:sz w:val="17"/>
              </w:rPr>
              <w:t>2,39</w:t>
            </w:r>
          </w:p>
        </w:tc>
        <w:tc>
          <w:tcPr>
            <w:tcW w:type="dxa" w:w="2268"/>
            <w:vAlign w:val="center"/>
          </w:tcPr>
          <w:p>
            <w:pPr>
              <w:keepNext/>
              <w:spacing w:after="0" w:line="240" w:lineRule="auto"/>
              <w:jc w:val="center"/>
            </w:pPr>
            <w:r/>
            <w:r>
              <w:rPr>
                <w:b w:val="0"/>
                <w:i w:val="0"/>
                <w:sz w:val="17"/>
              </w:rPr>
              <w:t>–0,08</w:t>
            </w:r>
          </w:p>
        </w:tc>
      </w:tr>
      <w:tr>
        <w:trPr>
          <w:cantSplit/>
        </w:trPr>
        <w:tc>
          <w:tcPr>
            <w:tcW w:type="dxa" w:w="2268"/>
            <w:vAlign w:val="center"/>
          </w:tcPr>
          <w:p>
            <w:pPr>
              <w:keepNext/>
              <w:spacing w:after="0" w:line="240" w:lineRule="auto"/>
              <w:jc w:val="left"/>
            </w:pPr>
            <w:r/>
            <w:r>
              <w:rPr>
                <w:b w:val="0"/>
                <w:i w:val="0"/>
                <w:sz w:val="17"/>
              </w:rPr>
              <w:t>Kurtosis</w:t>
            </w:r>
          </w:p>
        </w:tc>
        <w:tc>
          <w:tcPr>
            <w:tcW w:type="dxa" w:w="2268"/>
            <w:vAlign w:val="center"/>
          </w:tcPr>
          <w:p>
            <w:pPr>
              <w:keepNext/>
              <w:spacing w:after="0" w:line="240" w:lineRule="auto"/>
              <w:jc w:val="center"/>
            </w:pPr>
            <w:r/>
            <w:r>
              <w:rPr>
                <w:b w:val="0"/>
                <w:i w:val="0"/>
                <w:sz w:val="17"/>
              </w:rPr>
              <w:t>2,49</w:t>
            </w:r>
          </w:p>
        </w:tc>
        <w:tc>
          <w:tcPr>
            <w:tcW w:type="dxa" w:w="2268"/>
            <w:vAlign w:val="center"/>
          </w:tcPr>
          <w:p>
            <w:pPr>
              <w:keepNext/>
              <w:spacing w:after="0" w:line="240" w:lineRule="auto"/>
              <w:jc w:val="center"/>
            </w:pPr>
            <w:r/>
            <w:r>
              <w:rPr>
                <w:b w:val="0"/>
                <w:i w:val="0"/>
                <w:sz w:val="17"/>
              </w:rPr>
              <w:t>16,81</w:t>
            </w:r>
          </w:p>
        </w:tc>
        <w:tc>
          <w:tcPr>
            <w:tcW w:type="dxa" w:w="2268"/>
            <w:vAlign w:val="center"/>
          </w:tcPr>
          <w:p>
            <w:pPr>
              <w:keepNext/>
              <w:spacing w:after="0" w:line="240" w:lineRule="auto"/>
              <w:jc w:val="center"/>
            </w:pPr>
            <w:r/>
            <w:r>
              <w:rPr>
                <w:b w:val="0"/>
                <w:i w:val="0"/>
                <w:sz w:val="17"/>
              </w:rPr>
              <w:t>3,24</w:t>
            </w:r>
          </w:p>
        </w:tc>
      </w:tr>
    </w:tbl>
    <w:p>
      <w:pPr>
        <w:spacing w:after="200"/>
        <w:jc w:val="left"/>
      </w:pPr>
      <w:r>
        <w:rPr>
          <w:i/>
          <w:sz w:val="18"/>
        </w:rPr>
        <w:t>Source : INSEE, SRCV 2015 (base SRCV1_menage), échantillon de travail (3 962 ménages). Calculs des auteurs sous Stata. Revenu : 3 502 ménages l’ayant déclaré. Commande : tabstat agepr totreven lnrevenu.</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3875"/>
                  <wp:docPr id="3" name="Picture 3"/>
                  <wp:cNvGraphicFramePr>
                    <a:graphicFrameLocks noChangeAspect="1"/>
                  </wp:cNvGraphicFramePr>
                  <a:graphic>
                    <a:graphicData uri="http://schemas.openxmlformats.org/drawingml/2006/picture">
                      <pic:pic>
                        <pic:nvPicPr>
                          <pic:cNvPr id="0" name="fig03_hist_age.png"/>
                          <pic:cNvPicPr/>
                        </pic:nvPicPr>
                        <pic:blipFill>
                          <a:blip r:embed="rId12"/>
                          <a:stretch>
                            <a:fillRect/>
                          </a:stretch>
                        </pic:blipFill>
                        <pic:spPr>
                          <a:xfrm>
                            <a:off x="0" y="0"/>
                            <a:ext cx="2682000" cy="1843875"/>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1800122"/>
                  <wp:docPr id="4" name="Picture 4"/>
                  <wp:cNvGraphicFramePr>
                    <a:graphicFrameLocks noChangeAspect="1"/>
                  </wp:cNvGraphicFramePr>
                  <a:graphic>
                    <a:graphicData uri="http://schemas.openxmlformats.org/drawingml/2006/picture">
                      <pic:pic>
                        <pic:nvPicPr>
                          <pic:cNvPr id="0" name="fig04_hist_revenu.png"/>
                          <pic:cNvPicPr/>
                        </pic:nvPicPr>
                        <pic:blipFill>
                          <a:blip r:embed="rId13"/>
                          <a:stretch>
                            <a:fillRect/>
                          </a:stretch>
                        </pic:blipFill>
                        <pic:spPr>
                          <a:xfrm>
                            <a:off x="0" y="0"/>
                            <a:ext cx="2682000" cy="1800122"/>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3 – Âge de la personne de référence</w:t>
            </w:r>
          </w:p>
        </w:tc>
        <w:tc>
          <w:tcPr>
            <w:tcW w:type="dxa" w:w="4536"/>
            <w:vAlign w:val="center"/>
          </w:tcPr>
          <w:p>
            <w:pPr>
              <w:spacing w:after="0" w:line="240" w:lineRule="auto"/>
              <w:jc w:val="center"/>
            </w:pPr>
            <w:r/>
            <w:r>
              <w:rPr>
                <w:b/>
                <w:i w:val="0"/>
                <w:sz w:val="19"/>
              </w:rPr>
              <w:t>Figure 4 – Revenu mensuel du ménage</w:t>
            </w:r>
          </w:p>
        </w:tc>
      </w:tr>
    </w:tbl>
    <w:p>
      <w:pPr>
        <w:spacing w:after="200"/>
        <w:jc w:val="left"/>
      </w:pPr>
      <w:r>
        <w:rPr>
          <w:i/>
          <w:sz w:val="18"/>
        </w:rPr>
        <w:t>Source : INSEE, SRCV 2015 (base SRCV1_menage), échantillon de travail (3 962 ménages). Calculs des auteurs sous Stata. Figure 4 : 3 502 ménages ayant déclaré leur revenu.</w:t>
      </w:r>
    </w:p>
    <w:p>
      <w:pPr>
        <w:jc w:val="both"/>
      </w:pPr>
      <w:r>
        <w:t xml:space="preserve">La personne de référence a en moyenne </w:t>
      </w:r>
      <w:r>
        <w:rPr>
          <w:b/>
        </w:rPr>
        <w:t>48,6 ans</w:t>
      </w:r>
      <w:r>
        <w:t xml:space="preserve"> (médiane : 48 ans), et la distribution est à peu près symétrique (skewness de 0,28). 54 % des ménages ont une personne de référence de 35 à 55 ans, contre seulement 49 ménages de moins de 25 ans et 25 de plus de 80 ans (figure 3) : les ménages endettés sont surtout d’âge actif.</w:t>
      </w:r>
    </w:p>
    <w:p>
      <w:pPr>
        <w:jc w:val="both"/>
      </w:pPr>
      <w:r>
        <w:t xml:space="preserve">Pour les 3 502 ménages qui l’ont déclaré, le revenu moyen est de </w:t>
      </w:r>
      <w:r>
        <w:rPr>
          <w:b/>
        </w:rPr>
        <w:t>3 299 €</w:t>
      </w:r>
      <w:r>
        <w:t xml:space="preserve"> et le revenu médian de </w:t>
      </w:r>
      <w:r>
        <w:rPr>
          <w:b/>
        </w:rPr>
        <w:t>3 000 €</w:t>
      </w:r>
      <w:r>
        <w:t>. Comme toute distribution de revenus, elle est très asymétrique (skewness de 2,39, figure 4), alors qu’elle est presque symétrique en logarithme (skewness de –0,08) : sous forme continue, le revenu devrait être pris en logarithme. Le taux d’effort médian (mensualités / revenu) est de 19,1 %, mais il atteint au moins 37,5 % pour 10 % des ménages, au-delà de la règle du tiers des revenus.</w:t>
      </w:r>
    </w:p>
    <w:p>
      <w:pPr>
        <w:pStyle w:val="Heading3"/>
      </w:pPr>
      <w:r>
        <w:t>3.3. Variables explicatives qualitatives</w:t>
      </w:r>
    </w:p>
    <w:p>
      <w:pPr>
        <w:keepNext/>
        <w:jc w:val="both"/>
      </w:pPr>
      <w:r>
        <w:t>Le tableau 8 donne la répartition des ménages selon chaque variable qualitative regroupée ; ses deux dernières colonnes sont commentées dans la section 4.</w:t>
      </w:r>
    </w:p>
    <w:p>
      <w:pPr>
        <w:keepNext/>
        <w:spacing w:after="60"/>
        <w:jc w:val="left"/>
      </w:pPr>
      <w:r>
        <w:rPr>
          <w:b/>
          <w:sz w:val="21"/>
        </w:rPr>
        <w:t>Tableau 8 – Variables qualitatives : répartition des ménages et mensualités (euros)</w:t>
      </w:r>
    </w:p>
    <w:tbl>
      <w:tblPr>
        <w:tblW w:type="dxa" w:w="9015"/>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4195"/>
        <w:gridCol w:w="1020"/>
        <w:gridCol w:w="850"/>
        <w:gridCol w:w="1474"/>
        <w:gridCol w:w="1474"/>
      </w:tblGrid>
      <w:tr>
        <w:trPr>
          <w:cantSplit/>
          <w:tblHeader/>
        </w:trPr>
        <w:tc>
          <w:tcPr>
            <w:tcW w:type="dxa" w:w="4195"/>
            <w:shd w:val="clear" w:color="auto" w:fill="E8ECF2"/>
            <w:vAlign w:val="center"/>
          </w:tcPr>
          <w:p>
            <w:pPr>
              <w:spacing w:after="0" w:line="240" w:lineRule="auto"/>
              <w:jc w:val="left"/>
            </w:pPr>
            <w:r/>
            <w:r>
              <w:rPr>
                <w:b/>
                <w:i w:val="0"/>
                <w:sz w:val="16"/>
              </w:rPr>
              <w:t>Modalité</w:t>
            </w:r>
          </w:p>
        </w:tc>
        <w:tc>
          <w:tcPr>
            <w:tcW w:type="dxa" w:w="1020"/>
            <w:shd w:val="clear" w:color="auto" w:fill="E8ECF2"/>
            <w:vAlign w:val="center"/>
          </w:tcPr>
          <w:p>
            <w:pPr>
              <w:spacing w:after="0" w:line="240" w:lineRule="auto"/>
              <w:jc w:val="center"/>
            </w:pPr>
            <w:r/>
            <w:r>
              <w:rPr>
                <w:b/>
                <w:i w:val="0"/>
                <w:sz w:val="16"/>
              </w:rPr>
              <w:t>Effectif</w:t>
            </w:r>
          </w:p>
        </w:tc>
        <w:tc>
          <w:tcPr>
            <w:tcW w:type="dxa" w:w="850"/>
            <w:shd w:val="clear" w:color="auto" w:fill="E8ECF2"/>
            <w:vAlign w:val="center"/>
          </w:tcPr>
          <w:p>
            <w:pPr>
              <w:spacing w:after="0" w:line="240" w:lineRule="auto"/>
              <w:jc w:val="center"/>
            </w:pPr>
            <w:r/>
            <w:r>
              <w:rPr>
                <w:b/>
                <w:i w:val="0"/>
                <w:sz w:val="16"/>
              </w:rPr>
              <w:t>%</w:t>
            </w:r>
          </w:p>
        </w:tc>
        <w:tc>
          <w:tcPr>
            <w:tcW w:type="dxa" w:w="1474"/>
            <w:shd w:val="clear" w:color="auto" w:fill="E8ECF2"/>
            <w:vAlign w:val="center"/>
          </w:tcPr>
          <w:p>
            <w:pPr>
              <w:spacing w:after="0" w:line="240" w:lineRule="auto"/>
              <w:jc w:val="center"/>
            </w:pPr>
            <w:r/>
            <w:r>
              <w:rPr>
                <w:b/>
                <w:i w:val="0"/>
                <w:sz w:val="16"/>
              </w:rPr>
              <w:t>Mensualité moyenne</w:t>
            </w:r>
          </w:p>
        </w:tc>
        <w:tc>
          <w:tcPr>
            <w:tcW w:type="dxa" w:w="1474"/>
            <w:shd w:val="clear" w:color="auto" w:fill="E8ECF2"/>
            <w:vAlign w:val="center"/>
          </w:tcPr>
          <w:p>
            <w:pPr>
              <w:spacing w:after="0" w:line="240" w:lineRule="auto"/>
              <w:jc w:val="center"/>
            </w:pPr>
            <w:r/>
            <w:r>
              <w:rPr>
                <w:b/>
                <w:i w:val="0"/>
                <w:sz w:val="16"/>
              </w:rPr>
              <w:t>Mensualité médiane</w:t>
            </w:r>
          </w:p>
        </w:tc>
      </w:tr>
      <w:tr>
        <w:trPr>
          <w:cantSplit/>
        </w:trPr>
        <w:tc>
          <w:tcPr>
            <w:tcW w:type="dxa" w:w="9015"/>
            <w:gridSpan w:val="5"/>
            <w:shd w:val="clear" w:color="auto" w:fill="F4F6F9"/>
            <w:vAlign w:val="center"/>
          </w:tcPr>
          <w:p>
            <w:pPr>
              <w:spacing w:after="0" w:line="240" w:lineRule="auto"/>
              <w:jc w:val="left"/>
            </w:pPr>
            <w:r/>
            <w:r>
              <w:rPr>
                <w:b/>
                <w:i w:val="0"/>
                <w:sz w:val="16"/>
              </w:rPr>
              <w:t>Revenu mensuel du ménage</w:t>
            </w:r>
          </w:p>
        </w:tc>
      </w:tr>
      <w:tr>
        <w:trPr>
          <w:cantSplit/>
        </w:trPr>
        <w:tc>
          <w:tcPr>
            <w:tcW w:type="dxa" w:w="4195"/>
            <w:vAlign w:val="center"/>
          </w:tcPr>
          <w:p>
            <w:pPr>
              <w:spacing w:after="0" w:line="240" w:lineRule="auto"/>
              <w:jc w:val="left"/>
            </w:pPr>
            <w:r/>
            <w:r>
              <w:rPr>
                <w:b w:val="0"/>
                <w:i w:val="0"/>
                <w:sz w:val="16"/>
              </w:rPr>
              <w:t>Moins de 2 000 €</w:t>
            </w:r>
          </w:p>
        </w:tc>
        <w:tc>
          <w:tcPr>
            <w:tcW w:type="dxa" w:w="1020"/>
            <w:vAlign w:val="center"/>
          </w:tcPr>
          <w:p>
            <w:pPr>
              <w:spacing w:after="0" w:line="240" w:lineRule="auto"/>
              <w:jc w:val="center"/>
            </w:pPr>
            <w:r/>
            <w:r>
              <w:rPr>
                <w:b w:val="0"/>
                <w:i w:val="0"/>
                <w:sz w:val="16"/>
              </w:rPr>
              <w:t>731</w:t>
            </w:r>
          </w:p>
        </w:tc>
        <w:tc>
          <w:tcPr>
            <w:tcW w:type="dxa" w:w="850"/>
            <w:vAlign w:val="center"/>
          </w:tcPr>
          <w:p>
            <w:pPr>
              <w:spacing w:after="0" w:line="240" w:lineRule="auto"/>
              <w:jc w:val="center"/>
            </w:pPr>
            <w:r/>
            <w:r>
              <w:rPr>
                <w:b w:val="0"/>
                <w:i w:val="0"/>
                <w:sz w:val="16"/>
              </w:rPr>
              <w:t>18,5</w:t>
            </w:r>
          </w:p>
        </w:tc>
        <w:tc>
          <w:tcPr>
            <w:tcW w:type="dxa" w:w="1474"/>
            <w:vAlign w:val="center"/>
          </w:tcPr>
          <w:p>
            <w:pPr>
              <w:spacing w:after="0" w:line="240" w:lineRule="auto"/>
              <w:jc w:val="center"/>
            </w:pPr>
            <w:r/>
            <w:r>
              <w:rPr>
                <w:b w:val="0"/>
                <w:i w:val="0"/>
                <w:sz w:val="16"/>
              </w:rPr>
              <w:t>294</w:t>
            </w:r>
          </w:p>
        </w:tc>
        <w:tc>
          <w:tcPr>
            <w:tcW w:type="dxa" w:w="1474"/>
            <w:vAlign w:val="center"/>
          </w:tcPr>
          <w:p>
            <w:pPr>
              <w:spacing w:after="0" w:line="240" w:lineRule="auto"/>
              <w:jc w:val="center"/>
            </w:pPr>
            <w:r/>
            <w:r>
              <w:rPr>
                <w:b w:val="0"/>
                <w:i w:val="0"/>
                <w:sz w:val="16"/>
              </w:rPr>
              <w:t>236</w:t>
            </w:r>
          </w:p>
        </w:tc>
      </w:tr>
      <w:tr>
        <w:trPr>
          <w:cantSplit/>
        </w:trPr>
        <w:tc>
          <w:tcPr>
            <w:tcW w:type="dxa" w:w="4195"/>
            <w:vAlign w:val="center"/>
          </w:tcPr>
          <w:p>
            <w:pPr>
              <w:spacing w:after="0" w:line="240" w:lineRule="auto"/>
              <w:jc w:val="left"/>
            </w:pPr>
            <w:r/>
            <w:r>
              <w:rPr>
                <w:b w:val="0"/>
                <w:i w:val="0"/>
                <w:sz w:val="16"/>
              </w:rPr>
              <w:t>2 000 à 2 999 €</w:t>
            </w:r>
          </w:p>
        </w:tc>
        <w:tc>
          <w:tcPr>
            <w:tcW w:type="dxa" w:w="1020"/>
            <w:vAlign w:val="center"/>
          </w:tcPr>
          <w:p>
            <w:pPr>
              <w:spacing w:after="0" w:line="240" w:lineRule="auto"/>
              <w:jc w:val="center"/>
            </w:pPr>
            <w:r/>
            <w:r>
              <w:rPr>
                <w:b w:val="0"/>
                <w:i w:val="0"/>
                <w:sz w:val="16"/>
              </w:rPr>
              <w:t>895</w:t>
            </w:r>
          </w:p>
        </w:tc>
        <w:tc>
          <w:tcPr>
            <w:tcW w:type="dxa" w:w="850"/>
            <w:vAlign w:val="center"/>
          </w:tcPr>
          <w:p>
            <w:pPr>
              <w:spacing w:after="0" w:line="240" w:lineRule="auto"/>
              <w:jc w:val="center"/>
            </w:pPr>
            <w:r/>
            <w:r>
              <w:rPr>
                <w:b w:val="0"/>
                <w:i w:val="0"/>
                <w:sz w:val="16"/>
              </w:rPr>
              <w:t>22,6</w:t>
            </w:r>
          </w:p>
        </w:tc>
        <w:tc>
          <w:tcPr>
            <w:tcW w:type="dxa" w:w="1474"/>
            <w:vAlign w:val="center"/>
          </w:tcPr>
          <w:p>
            <w:pPr>
              <w:spacing w:after="0" w:line="240" w:lineRule="auto"/>
              <w:jc w:val="center"/>
            </w:pPr>
            <w:r/>
            <w:r>
              <w:rPr>
                <w:b w:val="0"/>
                <w:i w:val="0"/>
                <w:sz w:val="16"/>
              </w:rPr>
              <w:t>497</w:t>
            </w:r>
          </w:p>
        </w:tc>
        <w:tc>
          <w:tcPr>
            <w:tcW w:type="dxa" w:w="1474"/>
            <w:vAlign w:val="center"/>
          </w:tcPr>
          <w:p>
            <w:pPr>
              <w:spacing w:after="0" w:line="240" w:lineRule="auto"/>
              <w:jc w:val="center"/>
            </w:pPr>
            <w:r/>
            <w:r>
              <w:rPr>
                <w:b w:val="0"/>
                <w:i w:val="0"/>
                <w:sz w:val="16"/>
              </w:rPr>
              <w:t>415</w:t>
            </w:r>
          </w:p>
        </w:tc>
      </w:tr>
      <w:tr>
        <w:trPr>
          <w:cantSplit/>
        </w:trPr>
        <w:tc>
          <w:tcPr>
            <w:tcW w:type="dxa" w:w="4195"/>
            <w:vAlign w:val="center"/>
          </w:tcPr>
          <w:p>
            <w:pPr>
              <w:spacing w:after="0" w:line="240" w:lineRule="auto"/>
              <w:jc w:val="left"/>
            </w:pPr>
            <w:r/>
            <w:r>
              <w:rPr>
                <w:b w:val="0"/>
                <w:i w:val="0"/>
                <w:sz w:val="16"/>
              </w:rPr>
              <w:t>3 000 à 3 999 €</w:t>
            </w:r>
          </w:p>
        </w:tc>
        <w:tc>
          <w:tcPr>
            <w:tcW w:type="dxa" w:w="1020"/>
            <w:vAlign w:val="center"/>
          </w:tcPr>
          <w:p>
            <w:pPr>
              <w:spacing w:after="0" w:line="240" w:lineRule="auto"/>
              <w:jc w:val="center"/>
            </w:pPr>
            <w:r/>
            <w:r>
              <w:rPr>
                <w:b w:val="0"/>
                <w:i w:val="0"/>
                <w:sz w:val="16"/>
              </w:rPr>
              <w:t>885</w:t>
            </w:r>
          </w:p>
        </w:tc>
        <w:tc>
          <w:tcPr>
            <w:tcW w:type="dxa" w:w="850"/>
            <w:vAlign w:val="center"/>
          </w:tcPr>
          <w:p>
            <w:pPr>
              <w:spacing w:after="0" w:line="240" w:lineRule="auto"/>
              <w:jc w:val="center"/>
            </w:pPr>
            <w:r/>
            <w:r>
              <w:rPr>
                <w:b w:val="0"/>
                <w:i w:val="0"/>
                <w:sz w:val="16"/>
              </w:rPr>
              <w:t>22,3</w:t>
            </w:r>
          </w:p>
        </w:tc>
        <w:tc>
          <w:tcPr>
            <w:tcW w:type="dxa" w:w="1474"/>
            <w:vAlign w:val="center"/>
          </w:tcPr>
          <w:p>
            <w:pPr>
              <w:spacing w:after="0" w:line="240" w:lineRule="auto"/>
              <w:jc w:val="center"/>
            </w:pPr>
            <w:r/>
            <w:r>
              <w:rPr>
                <w:b w:val="0"/>
                <w:i w:val="0"/>
                <w:sz w:val="16"/>
              </w:rPr>
              <w:t>724</w:t>
            </w:r>
          </w:p>
        </w:tc>
        <w:tc>
          <w:tcPr>
            <w:tcW w:type="dxa" w:w="1474"/>
            <w:vAlign w:val="center"/>
          </w:tcPr>
          <w:p>
            <w:pPr>
              <w:spacing w:after="0" w:line="240" w:lineRule="auto"/>
              <w:jc w:val="center"/>
            </w:pPr>
            <w:r/>
            <w:r>
              <w:rPr>
                <w:b w:val="0"/>
                <w:i w:val="0"/>
                <w:sz w:val="16"/>
              </w:rPr>
              <w:t>744</w:t>
            </w:r>
          </w:p>
        </w:tc>
      </w:tr>
      <w:tr>
        <w:trPr>
          <w:cantSplit/>
        </w:trPr>
        <w:tc>
          <w:tcPr>
            <w:tcW w:type="dxa" w:w="4195"/>
            <w:vAlign w:val="center"/>
          </w:tcPr>
          <w:p>
            <w:pPr>
              <w:spacing w:after="0" w:line="240" w:lineRule="auto"/>
              <w:jc w:val="left"/>
            </w:pPr>
            <w:r/>
            <w:r>
              <w:rPr>
                <w:b w:val="0"/>
                <w:i w:val="0"/>
                <w:sz w:val="16"/>
              </w:rPr>
              <w:t>4 000 à 4 999 €</w:t>
            </w:r>
          </w:p>
        </w:tc>
        <w:tc>
          <w:tcPr>
            <w:tcW w:type="dxa" w:w="1020"/>
            <w:vAlign w:val="center"/>
          </w:tcPr>
          <w:p>
            <w:pPr>
              <w:spacing w:after="0" w:line="240" w:lineRule="auto"/>
              <w:jc w:val="center"/>
            </w:pPr>
            <w:r/>
            <w:r>
              <w:rPr>
                <w:b w:val="0"/>
                <w:i w:val="0"/>
                <w:sz w:val="16"/>
              </w:rPr>
              <w:t>526</w:t>
            </w:r>
          </w:p>
        </w:tc>
        <w:tc>
          <w:tcPr>
            <w:tcW w:type="dxa" w:w="850"/>
            <w:vAlign w:val="center"/>
          </w:tcPr>
          <w:p>
            <w:pPr>
              <w:spacing w:after="0" w:line="240" w:lineRule="auto"/>
              <w:jc w:val="center"/>
            </w:pPr>
            <w:r/>
            <w:r>
              <w:rPr>
                <w:b w:val="0"/>
                <w:i w:val="0"/>
                <w:sz w:val="16"/>
              </w:rPr>
              <w:t>13,3</w:t>
            </w:r>
          </w:p>
        </w:tc>
        <w:tc>
          <w:tcPr>
            <w:tcW w:type="dxa" w:w="1474"/>
            <w:vAlign w:val="center"/>
          </w:tcPr>
          <w:p>
            <w:pPr>
              <w:spacing w:after="0" w:line="240" w:lineRule="auto"/>
              <w:jc w:val="center"/>
            </w:pPr>
            <w:r/>
            <w:r>
              <w:rPr>
                <w:b w:val="0"/>
                <w:i w:val="0"/>
                <w:sz w:val="16"/>
              </w:rPr>
              <w:t>909</w:t>
            </w:r>
          </w:p>
        </w:tc>
        <w:tc>
          <w:tcPr>
            <w:tcW w:type="dxa" w:w="1474"/>
            <w:vAlign w:val="center"/>
          </w:tcPr>
          <w:p>
            <w:pPr>
              <w:spacing w:after="0" w:line="240" w:lineRule="auto"/>
              <w:jc w:val="center"/>
            </w:pPr>
            <w:r/>
            <w:r>
              <w:rPr>
                <w:b w:val="0"/>
                <w:i w:val="0"/>
                <w:sz w:val="16"/>
              </w:rPr>
              <w:t>880</w:t>
            </w:r>
          </w:p>
        </w:tc>
      </w:tr>
      <w:tr>
        <w:trPr>
          <w:cantSplit/>
        </w:trPr>
        <w:tc>
          <w:tcPr>
            <w:tcW w:type="dxa" w:w="4195"/>
            <w:vAlign w:val="center"/>
          </w:tcPr>
          <w:p>
            <w:pPr>
              <w:spacing w:after="0" w:line="240" w:lineRule="auto"/>
              <w:jc w:val="left"/>
            </w:pPr>
            <w:r/>
            <w:r>
              <w:rPr>
                <w:b w:val="0"/>
                <w:i w:val="0"/>
                <w:sz w:val="16"/>
              </w:rPr>
              <w:t>5 000 € et plus</w:t>
            </w:r>
          </w:p>
        </w:tc>
        <w:tc>
          <w:tcPr>
            <w:tcW w:type="dxa" w:w="1020"/>
            <w:vAlign w:val="center"/>
          </w:tcPr>
          <w:p>
            <w:pPr>
              <w:spacing w:after="0" w:line="240" w:lineRule="auto"/>
              <w:jc w:val="center"/>
            </w:pPr>
            <w:r/>
            <w:r>
              <w:rPr>
                <w:b w:val="0"/>
                <w:i w:val="0"/>
                <w:sz w:val="16"/>
              </w:rPr>
              <w:t>465</w:t>
            </w:r>
          </w:p>
        </w:tc>
        <w:tc>
          <w:tcPr>
            <w:tcW w:type="dxa" w:w="850"/>
            <w:vAlign w:val="center"/>
          </w:tcPr>
          <w:p>
            <w:pPr>
              <w:spacing w:after="0" w:line="240" w:lineRule="auto"/>
              <w:jc w:val="center"/>
            </w:pPr>
            <w:r/>
            <w:r>
              <w:rPr>
                <w:b w:val="0"/>
                <w:i w:val="0"/>
                <w:sz w:val="16"/>
              </w:rPr>
              <w:t>11,7</w:t>
            </w:r>
          </w:p>
        </w:tc>
        <w:tc>
          <w:tcPr>
            <w:tcW w:type="dxa" w:w="1474"/>
            <w:vAlign w:val="center"/>
          </w:tcPr>
          <w:p>
            <w:pPr>
              <w:spacing w:after="0" w:line="240" w:lineRule="auto"/>
              <w:jc w:val="center"/>
            </w:pPr>
            <w:r/>
            <w:r>
              <w:rPr>
                <w:b w:val="0"/>
                <w:i w:val="0"/>
                <w:sz w:val="16"/>
              </w:rPr>
              <w:t>1 277</w:t>
            </w:r>
          </w:p>
        </w:tc>
        <w:tc>
          <w:tcPr>
            <w:tcW w:type="dxa" w:w="1474"/>
            <w:vAlign w:val="center"/>
          </w:tcPr>
          <w:p>
            <w:pPr>
              <w:spacing w:after="0" w:line="240" w:lineRule="auto"/>
              <w:jc w:val="center"/>
            </w:pPr>
            <w:r/>
            <w:r>
              <w:rPr>
                <w:b w:val="0"/>
                <w:i w:val="0"/>
                <w:sz w:val="16"/>
              </w:rPr>
              <w:t>1 180</w:t>
            </w:r>
          </w:p>
        </w:tc>
      </w:tr>
      <w:tr>
        <w:trPr>
          <w:cantSplit/>
        </w:trPr>
        <w:tc>
          <w:tcPr>
            <w:tcW w:type="dxa" w:w="4195"/>
            <w:vAlign w:val="center"/>
          </w:tcPr>
          <w:p>
            <w:pPr>
              <w:spacing w:after="0" w:line="240" w:lineRule="auto"/>
              <w:jc w:val="left"/>
            </w:pPr>
            <w:r/>
            <w:r>
              <w:rPr>
                <w:b w:val="0"/>
                <w:i w:val="0"/>
                <w:sz w:val="16"/>
              </w:rPr>
              <w:t>Revenu non déclaré</w:t>
            </w:r>
          </w:p>
        </w:tc>
        <w:tc>
          <w:tcPr>
            <w:tcW w:type="dxa" w:w="1020"/>
            <w:vAlign w:val="center"/>
          </w:tcPr>
          <w:p>
            <w:pPr>
              <w:spacing w:after="0" w:line="240" w:lineRule="auto"/>
              <w:jc w:val="center"/>
            </w:pPr>
            <w:r/>
            <w:r>
              <w:rPr>
                <w:b w:val="0"/>
                <w:i w:val="0"/>
                <w:sz w:val="16"/>
              </w:rPr>
              <w:t>460</w:t>
            </w:r>
          </w:p>
        </w:tc>
        <w:tc>
          <w:tcPr>
            <w:tcW w:type="dxa" w:w="850"/>
            <w:vAlign w:val="center"/>
          </w:tcPr>
          <w:p>
            <w:pPr>
              <w:spacing w:after="0" w:line="240" w:lineRule="auto"/>
              <w:jc w:val="center"/>
            </w:pPr>
            <w:r/>
            <w:r>
              <w:rPr>
                <w:b w:val="0"/>
                <w:i w:val="0"/>
                <w:sz w:val="16"/>
              </w:rPr>
              <w:t>11,6</w:t>
            </w:r>
          </w:p>
        </w:tc>
        <w:tc>
          <w:tcPr>
            <w:tcW w:type="dxa" w:w="1474"/>
            <w:vAlign w:val="center"/>
          </w:tcPr>
          <w:p>
            <w:pPr>
              <w:spacing w:after="0" w:line="240" w:lineRule="auto"/>
              <w:jc w:val="center"/>
            </w:pPr>
            <w:r/>
            <w:r>
              <w:rPr>
                <w:b w:val="0"/>
                <w:i w:val="0"/>
                <w:sz w:val="16"/>
              </w:rPr>
              <w:t>787</w:t>
            </w:r>
          </w:p>
        </w:tc>
        <w:tc>
          <w:tcPr>
            <w:tcW w:type="dxa" w:w="1474"/>
            <w:vAlign w:val="center"/>
          </w:tcPr>
          <w:p>
            <w:pPr>
              <w:spacing w:after="0" w:line="240" w:lineRule="auto"/>
              <w:jc w:val="center"/>
            </w:pPr>
            <w:r/>
            <w:r>
              <w:rPr>
                <w:b w:val="0"/>
                <w:i w:val="0"/>
                <w:sz w:val="16"/>
              </w:rPr>
              <w:t>650</w:t>
            </w:r>
          </w:p>
        </w:tc>
      </w:tr>
      <w:tr>
        <w:trPr>
          <w:cantSplit/>
        </w:trPr>
        <w:tc>
          <w:tcPr>
            <w:tcW w:type="dxa" w:w="9015"/>
            <w:gridSpan w:val="5"/>
            <w:shd w:val="clear" w:color="auto" w:fill="F4F6F9"/>
            <w:vAlign w:val="center"/>
          </w:tcPr>
          <w:p>
            <w:pPr>
              <w:spacing w:after="0" w:line="240" w:lineRule="auto"/>
              <w:jc w:val="left"/>
            </w:pPr>
            <w:r/>
            <w:r>
              <w:rPr>
                <w:b/>
                <w:i w:val="0"/>
                <w:sz w:val="16"/>
              </w:rPr>
              <w:t>Statut d’occupation du logement</w:t>
            </w:r>
          </w:p>
        </w:tc>
      </w:tr>
      <w:tr>
        <w:trPr>
          <w:cantSplit/>
        </w:trPr>
        <w:tc>
          <w:tcPr>
            <w:tcW w:type="dxa" w:w="4195"/>
            <w:vAlign w:val="center"/>
          </w:tcPr>
          <w:p>
            <w:pPr>
              <w:spacing w:after="0" w:line="240" w:lineRule="auto"/>
              <w:jc w:val="left"/>
            </w:pPr>
            <w:r/>
            <w:r>
              <w:rPr>
                <w:b w:val="0"/>
                <w:i w:val="0"/>
                <w:sz w:val="16"/>
              </w:rPr>
              <w:t>Propriétaire accédant</w:t>
            </w:r>
          </w:p>
        </w:tc>
        <w:tc>
          <w:tcPr>
            <w:tcW w:type="dxa" w:w="1020"/>
            <w:vAlign w:val="center"/>
          </w:tcPr>
          <w:p>
            <w:pPr>
              <w:spacing w:after="0" w:line="240" w:lineRule="auto"/>
              <w:jc w:val="center"/>
            </w:pPr>
            <w:r/>
            <w:r>
              <w:rPr>
                <w:b w:val="0"/>
                <w:i w:val="0"/>
                <w:sz w:val="16"/>
              </w:rPr>
              <w:t>2 252</w:t>
            </w:r>
          </w:p>
        </w:tc>
        <w:tc>
          <w:tcPr>
            <w:tcW w:type="dxa" w:w="850"/>
            <w:vAlign w:val="center"/>
          </w:tcPr>
          <w:p>
            <w:pPr>
              <w:spacing w:after="0" w:line="240" w:lineRule="auto"/>
              <w:jc w:val="center"/>
            </w:pPr>
            <w:r/>
            <w:r>
              <w:rPr>
                <w:b w:val="0"/>
                <w:i w:val="0"/>
                <w:sz w:val="16"/>
              </w:rPr>
              <w:t>56,8</w:t>
            </w:r>
          </w:p>
        </w:tc>
        <w:tc>
          <w:tcPr>
            <w:tcW w:type="dxa" w:w="1474"/>
            <w:vAlign w:val="center"/>
          </w:tcPr>
          <w:p>
            <w:pPr>
              <w:spacing w:after="0" w:line="240" w:lineRule="auto"/>
              <w:jc w:val="center"/>
            </w:pPr>
            <w:r/>
            <w:r>
              <w:rPr>
                <w:b w:val="0"/>
                <w:i w:val="0"/>
                <w:sz w:val="16"/>
              </w:rPr>
              <w:t>900</w:t>
            </w:r>
          </w:p>
        </w:tc>
        <w:tc>
          <w:tcPr>
            <w:tcW w:type="dxa" w:w="1474"/>
            <w:vAlign w:val="center"/>
          </w:tcPr>
          <w:p>
            <w:pPr>
              <w:spacing w:after="0" w:line="240" w:lineRule="auto"/>
              <w:jc w:val="center"/>
            </w:pPr>
            <w:r/>
            <w:r>
              <w:rPr>
                <w:b w:val="0"/>
                <w:i w:val="0"/>
                <w:sz w:val="16"/>
              </w:rPr>
              <w:t>810</w:t>
            </w:r>
          </w:p>
        </w:tc>
      </w:tr>
      <w:tr>
        <w:trPr>
          <w:cantSplit/>
        </w:trPr>
        <w:tc>
          <w:tcPr>
            <w:tcW w:type="dxa" w:w="4195"/>
            <w:vAlign w:val="center"/>
          </w:tcPr>
          <w:p>
            <w:pPr>
              <w:spacing w:after="0" w:line="240" w:lineRule="auto"/>
              <w:jc w:val="left"/>
            </w:pPr>
            <w:r/>
            <w:r>
              <w:rPr>
                <w:b w:val="0"/>
                <w:i w:val="0"/>
                <w:sz w:val="16"/>
              </w:rPr>
              <w:t>Propriétaire non accédant</w:t>
            </w:r>
          </w:p>
        </w:tc>
        <w:tc>
          <w:tcPr>
            <w:tcW w:type="dxa" w:w="1020"/>
            <w:vAlign w:val="center"/>
          </w:tcPr>
          <w:p>
            <w:pPr>
              <w:spacing w:after="0" w:line="240" w:lineRule="auto"/>
              <w:jc w:val="center"/>
            </w:pPr>
            <w:r/>
            <w:r>
              <w:rPr>
                <w:b w:val="0"/>
                <w:i w:val="0"/>
                <w:sz w:val="16"/>
              </w:rPr>
              <w:t>732</w:t>
            </w:r>
          </w:p>
        </w:tc>
        <w:tc>
          <w:tcPr>
            <w:tcW w:type="dxa" w:w="850"/>
            <w:vAlign w:val="center"/>
          </w:tcPr>
          <w:p>
            <w:pPr>
              <w:spacing w:after="0" w:line="240" w:lineRule="auto"/>
              <w:jc w:val="center"/>
            </w:pPr>
            <w:r/>
            <w:r>
              <w:rPr>
                <w:b w:val="0"/>
                <w:i w:val="0"/>
                <w:sz w:val="16"/>
              </w:rPr>
              <w:t>18,5</w:t>
            </w:r>
          </w:p>
        </w:tc>
        <w:tc>
          <w:tcPr>
            <w:tcW w:type="dxa" w:w="1474"/>
            <w:vAlign w:val="center"/>
          </w:tcPr>
          <w:p>
            <w:pPr>
              <w:spacing w:after="0" w:line="240" w:lineRule="auto"/>
              <w:jc w:val="center"/>
            </w:pPr>
            <w:r/>
            <w:r>
              <w:rPr>
                <w:b w:val="0"/>
                <w:i w:val="0"/>
                <w:sz w:val="16"/>
              </w:rPr>
              <w:t>529</w:t>
            </w:r>
          </w:p>
        </w:tc>
        <w:tc>
          <w:tcPr>
            <w:tcW w:type="dxa" w:w="1474"/>
            <w:vAlign w:val="center"/>
          </w:tcPr>
          <w:p>
            <w:pPr>
              <w:spacing w:after="0" w:line="240" w:lineRule="auto"/>
              <w:jc w:val="center"/>
            </w:pPr>
            <w:r/>
            <w:r>
              <w:rPr>
                <w:b w:val="0"/>
                <w:i w:val="0"/>
                <w:sz w:val="16"/>
              </w:rPr>
              <w:t>350</w:t>
            </w:r>
          </w:p>
        </w:tc>
      </w:tr>
      <w:tr>
        <w:trPr>
          <w:cantSplit/>
        </w:trPr>
        <w:tc>
          <w:tcPr>
            <w:tcW w:type="dxa" w:w="4195"/>
            <w:vAlign w:val="center"/>
          </w:tcPr>
          <w:p>
            <w:pPr>
              <w:spacing w:after="0" w:line="240" w:lineRule="auto"/>
              <w:jc w:val="left"/>
            </w:pPr>
            <w:r/>
            <w:r>
              <w:rPr>
                <w:b w:val="0"/>
                <w:i w:val="0"/>
                <w:sz w:val="16"/>
              </w:rPr>
              <w:t>Locataire ou logé gratuitement</w:t>
            </w:r>
          </w:p>
        </w:tc>
        <w:tc>
          <w:tcPr>
            <w:tcW w:type="dxa" w:w="1020"/>
            <w:vAlign w:val="center"/>
          </w:tcPr>
          <w:p>
            <w:pPr>
              <w:spacing w:after="0" w:line="240" w:lineRule="auto"/>
              <w:jc w:val="center"/>
            </w:pPr>
            <w:r/>
            <w:r>
              <w:rPr>
                <w:b w:val="0"/>
                <w:i w:val="0"/>
                <w:sz w:val="16"/>
              </w:rPr>
              <w:t>978</w:t>
            </w:r>
          </w:p>
        </w:tc>
        <w:tc>
          <w:tcPr>
            <w:tcW w:type="dxa" w:w="850"/>
            <w:vAlign w:val="center"/>
          </w:tcPr>
          <w:p>
            <w:pPr>
              <w:spacing w:after="0" w:line="240" w:lineRule="auto"/>
              <w:jc w:val="center"/>
            </w:pPr>
            <w:r/>
            <w:r>
              <w:rPr>
                <w:b w:val="0"/>
                <w:i w:val="0"/>
                <w:sz w:val="16"/>
              </w:rPr>
              <w:t>24,7</w:t>
            </w:r>
          </w:p>
        </w:tc>
        <w:tc>
          <w:tcPr>
            <w:tcW w:type="dxa" w:w="1474"/>
            <w:vAlign w:val="center"/>
          </w:tcPr>
          <w:p>
            <w:pPr>
              <w:spacing w:after="0" w:line="240" w:lineRule="auto"/>
              <w:jc w:val="center"/>
            </w:pPr>
            <w:r/>
            <w:r>
              <w:rPr>
                <w:b w:val="0"/>
                <w:i w:val="0"/>
                <w:sz w:val="16"/>
              </w:rPr>
              <w:t>328</w:t>
            </w:r>
          </w:p>
        </w:tc>
        <w:tc>
          <w:tcPr>
            <w:tcW w:type="dxa" w:w="1474"/>
            <w:vAlign w:val="center"/>
          </w:tcPr>
          <w:p>
            <w:pPr>
              <w:spacing w:after="0" w:line="240" w:lineRule="auto"/>
              <w:jc w:val="center"/>
            </w:pPr>
            <w:r/>
            <w:r>
              <w:rPr>
                <w:b w:val="0"/>
                <w:i w:val="0"/>
                <w:sz w:val="16"/>
              </w:rPr>
              <w:t>228</w:t>
            </w:r>
          </w:p>
        </w:tc>
      </w:tr>
      <w:tr>
        <w:trPr>
          <w:cantSplit/>
        </w:trPr>
        <w:tc>
          <w:tcPr>
            <w:tcW w:type="dxa" w:w="9015"/>
            <w:gridSpan w:val="5"/>
            <w:shd w:val="clear" w:color="auto" w:fill="F4F6F9"/>
            <w:vAlign w:val="center"/>
          </w:tcPr>
          <w:p>
            <w:pPr>
              <w:spacing w:after="0" w:line="240" w:lineRule="auto"/>
              <w:jc w:val="left"/>
            </w:pPr>
            <w:r/>
            <w:r>
              <w:rPr>
                <w:b/>
                <w:i w:val="0"/>
                <w:sz w:val="16"/>
              </w:rPr>
              <w:t>Nombre de crédits en cours</w:t>
            </w:r>
          </w:p>
        </w:tc>
      </w:tr>
      <w:tr>
        <w:trPr>
          <w:cantSplit/>
        </w:trPr>
        <w:tc>
          <w:tcPr>
            <w:tcW w:type="dxa" w:w="4195"/>
            <w:vAlign w:val="center"/>
          </w:tcPr>
          <w:p>
            <w:pPr>
              <w:spacing w:after="0" w:line="240" w:lineRule="auto"/>
              <w:jc w:val="left"/>
            </w:pPr>
            <w:r/>
            <w:r>
              <w:rPr>
                <w:b w:val="0"/>
                <w:i w:val="0"/>
                <w:sz w:val="16"/>
              </w:rPr>
              <w:t>Un seul crédit</w:t>
            </w:r>
          </w:p>
        </w:tc>
        <w:tc>
          <w:tcPr>
            <w:tcW w:type="dxa" w:w="1020"/>
            <w:vAlign w:val="center"/>
          </w:tcPr>
          <w:p>
            <w:pPr>
              <w:spacing w:after="0" w:line="240" w:lineRule="auto"/>
              <w:jc w:val="center"/>
            </w:pPr>
            <w:r/>
            <w:r>
              <w:rPr>
                <w:b w:val="0"/>
                <w:i w:val="0"/>
                <w:sz w:val="16"/>
              </w:rPr>
              <w:t>2 814</w:t>
            </w:r>
          </w:p>
        </w:tc>
        <w:tc>
          <w:tcPr>
            <w:tcW w:type="dxa" w:w="850"/>
            <w:vAlign w:val="center"/>
          </w:tcPr>
          <w:p>
            <w:pPr>
              <w:spacing w:after="0" w:line="240" w:lineRule="auto"/>
              <w:jc w:val="center"/>
            </w:pPr>
            <w:r/>
            <w:r>
              <w:rPr>
                <w:b w:val="0"/>
                <w:i w:val="0"/>
                <w:sz w:val="16"/>
              </w:rPr>
              <w:t>71,0</w:t>
            </w:r>
          </w:p>
        </w:tc>
        <w:tc>
          <w:tcPr>
            <w:tcW w:type="dxa" w:w="1474"/>
            <w:vAlign w:val="center"/>
          </w:tcPr>
          <w:p>
            <w:pPr>
              <w:spacing w:after="0" w:line="240" w:lineRule="auto"/>
              <w:jc w:val="center"/>
            </w:pPr>
            <w:r/>
            <w:r>
              <w:rPr>
                <w:b w:val="0"/>
                <w:i w:val="0"/>
                <w:sz w:val="16"/>
              </w:rPr>
              <w:t>552</w:t>
            </w:r>
          </w:p>
        </w:tc>
        <w:tc>
          <w:tcPr>
            <w:tcW w:type="dxa" w:w="1474"/>
            <w:vAlign w:val="center"/>
          </w:tcPr>
          <w:p>
            <w:pPr>
              <w:spacing w:after="0" w:line="240" w:lineRule="auto"/>
              <w:jc w:val="center"/>
            </w:pPr>
            <w:r/>
            <w:r>
              <w:rPr>
                <w:b w:val="0"/>
                <w:i w:val="0"/>
                <w:sz w:val="16"/>
              </w:rPr>
              <w:t>418</w:t>
            </w:r>
          </w:p>
        </w:tc>
      </w:tr>
      <w:tr>
        <w:trPr>
          <w:cantSplit/>
        </w:trPr>
        <w:tc>
          <w:tcPr>
            <w:tcW w:type="dxa" w:w="4195"/>
            <w:vAlign w:val="center"/>
          </w:tcPr>
          <w:p>
            <w:pPr>
              <w:spacing w:after="0" w:line="240" w:lineRule="auto"/>
              <w:jc w:val="left"/>
            </w:pPr>
            <w:r/>
            <w:r>
              <w:rPr>
                <w:b w:val="0"/>
                <w:i w:val="0"/>
                <w:sz w:val="16"/>
              </w:rPr>
              <w:t>Deux crédits ou plus</w:t>
            </w:r>
          </w:p>
        </w:tc>
        <w:tc>
          <w:tcPr>
            <w:tcW w:type="dxa" w:w="1020"/>
            <w:vAlign w:val="center"/>
          </w:tcPr>
          <w:p>
            <w:pPr>
              <w:spacing w:after="0" w:line="240" w:lineRule="auto"/>
              <w:jc w:val="center"/>
            </w:pPr>
            <w:r/>
            <w:r>
              <w:rPr>
                <w:b w:val="0"/>
                <w:i w:val="0"/>
                <w:sz w:val="16"/>
              </w:rPr>
              <w:t>1 148</w:t>
            </w:r>
          </w:p>
        </w:tc>
        <w:tc>
          <w:tcPr>
            <w:tcW w:type="dxa" w:w="850"/>
            <w:vAlign w:val="center"/>
          </w:tcPr>
          <w:p>
            <w:pPr>
              <w:spacing w:after="0" w:line="240" w:lineRule="auto"/>
              <w:jc w:val="center"/>
            </w:pPr>
            <w:r/>
            <w:r>
              <w:rPr>
                <w:b w:val="0"/>
                <w:i w:val="0"/>
                <w:sz w:val="16"/>
              </w:rPr>
              <w:t>29,0</w:t>
            </w:r>
          </w:p>
        </w:tc>
        <w:tc>
          <w:tcPr>
            <w:tcW w:type="dxa" w:w="1474"/>
            <w:vAlign w:val="center"/>
          </w:tcPr>
          <w:p>
            <w:pPr>
              <w:spacing w:after="0" w:line="240" w:lineRule="auto"/>
              <w:jc w:val="center"/>
            </w:pPr>
            <w:r/>
            <w:r>
              <w:rPr>
                <w:b w:val="0"/>
                <w:i w:val="0"/>
                <w:sz w:val="16"/>
              </w:rPr>
              <w:t>1 028</w:t>
            </w:r>
          </w:p>
        </w:tc>
        <w:tc>
          <w:tcPr>
            <w:tcW w:type="dxa" w:w="1474"/>
            <w:vAlign w:val="center"/>
          </w:tcPr>
          <w:p>
            <w:pPr>
              <w:spacing w:after="0" w:line="240" w:lineRule="auto"/>
              <w:jc w:val="center"/>
            </w:pPr>
            <w:r/>
            <w:r>
              <w:rPr>
                <w:b w:val="0"/>
                <w:i w:val="0"/>
                <w:sz w:val="16"/>
              </w:rPr>
              <w:t>925</w:t>
            </w:r>
          </w:p>
        </w:tc>
      </w:tr>
      <w:tr>
        <w:trPr>
          <w:cantSplit/>
        </w:trPr>
        <w:tc>
          <w:tcPr>
            <w:tcW w:type="dxa" w:w="9015"/>
            <w:gridSpan w:val="5"/>
            <w:shd w:val="clear" w:color="auto" w:fill="F4F6F9"/>
            <w:vAlign w:val="center"/>
          </w:tcPr>
          <w:p>
            <w:pPr>
              <w:spacing w:after="0" w:line="240" w:lineRule="auto"/>
              <w:jc w:val="left"/>
            </w:pPr>
            <w:r/>
            <w:r>
              <w:rPr>
                <w:b/>
                <w:i w:val="0"/>
                <w:sz w:val="16"/>
              </w:rPr>
              <w:t>Crédit pour un autre bien immobilier</w:t>
            </w:r>
          </w:p>
        </w:tc>
      </w:tr>
      <w:tr>
        <w:trPr>
          <w:cantSplit/>
        </w:trPr>
        <w:tc>
          <w:tcPr>
            <w:tcW w:type="dxa" w:w="4195"/>
            <w:vAlign w:val="center"/>
          </w:tcPr>
          <w:p>
            <w:pPr>
              <w:spacing w:after="0" w:line="240" w:lineRule="auto"/>
              <w:jc w:val="left"/>
            </w:pPr>
            <w:r/>
            <w:r>
              <w:rPr>
                <w:b w:val="0"/>
                <w:i w:val="0"/>
                <w:sz w:val="16"/>
              </w:rPr>
              <w:t>Non</w:t>
            </w:r>
          </w:p>
        </w:tc>
        <w:tc>
          <w:tcPr>
            <w:tcW w:type="dxa" w:w="1020"/>
            <w:vAlign w:val="center"/>
          </w:tcPr>
          <w:p>
            <w:pPr>
              <w:spacing w:after="0" w:line="240" w:lineRule="auto"/>
              <w:jc w:val="center"/>
            </w:pPr>
            <w:r/>
            <w:r>
              <w:rPr>
                <w:b w:val="0"/>
                <w:i w:val="0"/>
                <w:sz w:val="16"/>
              </w:rPr>
              <w:t>3 449</w:t>
            </w:r>
          </w:p>
        </w:tc>
        <w:tc>
          <w:tcPr>
            <w:tcW w:type="dxa" w:w="850"/>
            <w:vAlign w:val="center"/>
          </w:tcPr>
          <w:p>
            <w:pPr>
              <w:spacing w:after="0" w:line="240" w:lineRule="auto"/>
              <w:jc w:val="center"/>
            </w:pPr>
            <w:r/>
            <w:r>
              <w:rPr>
                <w:b w:val="0"/>
                <w:i w:val="0"/>
                <w:sz w:val="16"/>
              </w:rPr>
              <w:t>87,1</w:t>
            </w:r>
          </w:p>
        </w:tc>
        <w:tc>
          <w:tcPr>
            <w:tcW w:type="dxa" w:w="1474"/>
            <w:vAlign w:val="center"/>
          </w:tcPr>
          <w:p>
            <w:pPr>
              <w:spacing w:after="0" w:line="240" w:lineRule="auto"/>
              <w:jc w:val="center"/>
            </w:pPr>
            <w:r/>
            <w:r>
              <w:rPr>
                <w:b w:val="0"/>
                <w:i w:val="0"/>
                <w:sz w:val="16"/>
              </w:rPr>
              <w:t>624</w:t>
            </w:r>
          </w:p>
        </w:tc>
        <w:tc>
          <w:tcPr>
            <w:tcW w:type="dxa" w:w="1474"/>
            <w:vAlign w:val="center"/>
          </w:tcPr>
          <w:p>
            <w:pPr>
              <w:spacing w:after="0" w:line="240" w:lineRule="auto"/>
              <w:jc w:val="center"/>
            </w:pPr>
            <w:r/>
            <w:r>
              <w:rPr>
                <w:b w:val="0"/>
                <w:i w:val="0"/>
                <w:sz w:val="16"/>
              </w:rPr>
              <w:t>510</w:t>
            </w:r>
          </w:p>
        </w:tc>
      </w:tr>
      <w:tr>
        <w:trPr>
          <w:cantSplit/>
        </w:trPr>
        <w:tc>
          <w:tcPr>
            <w:tcW w:type="dxa" w:w="4195"/>
            <w:vAlign w:val="center"/>
          </w:tcPr>
          <w:p>
            <w:pPr>
              <w:spacing w:after="0" w:line="240" w:lineRule="auto"/>
              <w:jc w:val="left"/>
            </w:pPr>
            <w:r/>
            <w:r>
              <w:rPr>
                <w:b w:val="0"/>
                <w:i w:val="0"/>
                <w:sz w:val="16"/>
              </w:rPr>
              <w:t>Oui</w:t>
            </w:r>
          </w:p>
        </w:tc>
        <w:tc>
          <w:tcPr>
            <w:tcW w:type="dxa" w:w="1020"/>
            <w:vAlign w:val="center"/>
          </w:tcPr>
          <w:p>
            <w:pPr>
              <w:spacing w:after="0" w:line="240" w:lineRule="auto"/>
              <w:jc w:val="center"/>
            </w:pPr>
            <w:r/>
            <w:r>
              <w:rPr>
                <w:b w:val="0"/>
                <w:i w:val="0"/>
                <w:sz w:val="16"/>
              </w:rPr>
              <w:t>513</w:t>
            </w:r>
          </w:p>
        </w:tc>
        <w:tc>
          <w:tcPr>
            <w:tcW w:type="dxa" w:w="850"/>
            <w:vAlign w:val="center"/>
          </w:tcPr>
          <w:p>
            <w:pPr>
              <w:spacing w:after="0" w:line="240" w:lineRule="auto"/>
              <w:jc w:val="center"/>
            </w:pPr>
            <w:r/>
            <w:r>
              <w:rPr>
                <w:b w:val="0"/>
                <w:i w:val="0"/>
                <w:sz w:val="16"/>
              </w:rPr>
              <w:t>12,9</w:t>
            </w:r>
          </w:p>
        </w:tc>
        <w:tc>
          <w:tcPr>
            <w:tcW w:type="dxa" w:w="1474"/>
            <w:vAlign w:val="center"/>
          </w:tcPr>
          <w:p>
            <w:pPr>
              <w:spacing w:after="0" w:line="240" w:lineRule="auto"/>
              <w:jc w:val="center"/>
            </w:pPr>
            <w:r/>
            <w:r>
              <w:rPr>
                <w:b w:val="0"/>
                <w:i w:val="0"/>
                <w:sz w:val="16"/>
              </w:rPr>
              <w:t>1 135</w:t>
            </w:r>
          </w:p>
        </w:tc>
        <w:tc>
          <w:tcPr>
            <w:tcW w:type="dxa" w:w="1474"/>
            <w:vAlign w:val="center"/>
          </w:tcPr>
          <w:p>
            <w:pPr>
              <w:spacing w:after="0" w:line="240" w:lineRule="auto"/>
              <w:jc w:val="center"/>
            </w:pPr>
            <w:r/>
            <w:r>
              <w:rPr>
                <w:b w:val="0"/>
                <w:i w:val="0"/>
                <w:sz w:val="16"/>
              </w:rPr>
              <w:t>922</w:t>
            </w:r>
          </w:p>
        </w:tc>
      </w:tr>
      <w:tr>
        <w:trPr>
          <w:cantSplit/>
        </w:trPr>
        <w:tc>
          <w:tcPr>
            <w:tcW w:type="dxa" w:w="9015"/>
            <w:gridSpan w:val="5"/>
            <w:shd w:val="clear" w:color="auto" w:fill="F4F6F9"/>
            <w:vAlign w:val="center"/>
          </w:tcPr>
          <w:p>
            <w:pPr>
              <w:spacing w:after="0" w:line="240" w:lineRule="auto"/>
              <w:jc w:val="left"/>
            </w:pPr>
            <w:r/>
            <w:r>
              <w:rPr>
                <w:b/>
                <w:i w:val="0"/>
                <w:sz w:val="16"/>
              </w:rPr>
              <w:t>Nombre d’enfants</w:t>
            </w:r>
          </w:p>
        </w:tc>
      </w:tr>
      <w:tr>
        <w:trPr>
          <w:cantSplit/>
        </w:trPr>
        <w:tc>
          <w:tcPr>
            <w:tcW w:type="dxa" w:w="4195"/>
            <w:vAlign w:val="center"/>
          </w:tcPr>
          <w:p>
            <w:pPr>
              <w:spacing w:after="0" w:line="240" w:lineRule="auto"/>
              <w:jc w:val="left"/>
            </w:pPr>
            <w:r/>
            <w:r>
              <w:rPr>
                <w:b w:val="0"/>
                <w:i w:val="0"/>
                <w:sz w:val="16"/>
              </w:rPr>
              <w:t>Aucun enfant</w:t>
            </w:r>
          </w:p>
        </w:tc>
        <w:tc>
          <w:tcPr>
            <w:tcW w:type="dxa" w:w="1020"/>
            <w:vAlign w:val="center"/>
          </w:tcPr>
          <w:p>
            <w:pPr>
              <w:spacing w:after="0" w:line="240" w:lineRule="auto"/>
              <w:jc w:val="center"/>
            </w:pPr>
            <w:r/>
            <w:r>
              <w:rPr>
                <w:b w:val="0"/>
                <w:i w:val="0"/>
                <w:sz w:val="16"/>
              </w:rPr>
              <w:t>1 739</w:t>
            </w:r>
          </w:p>
        </w:tc>
        <w:tc>
          <w:tcPr>
            <w:tcW w:type="dxa" w:w="850"/>
            <w:vAlign w:val="center"/>
          </w:tcPr>
          <w:p>
            <w:pPr>
              <w:spacing w:after="0" w:line="240" w:lineRule="auto"/>
              <w:jc w:val="center"/>
            </w:pPr>
            <w:r/>
            <w:r>
              <w:rPr>
                <w:b w:val="0"/>
                <w:i w:val="0"/>
                <w:sz w:val="16"/>
              </w:rPr>
              <w:t>43,9</w:t>
            </w:r>
          </w:p>
        </w:tc>
        <w:tc>
          <w:tcPr>
            <w:tcW w:type="dxa" w:w="1474"/>
            <w:vAlign w:val="center"/>
          </w:tcPr>
          <w:p>
            <w:pPr>
              <w:spacing w:after="0" w:line="240" w:lineRule="auto"/>
              <w:jc w:val="center"/>
            </w:pPr>
            <w:r/>
            <w:r>
              <w:rPr>
                <w:b w:val="0"/>
                <w:i w:val="0"/>
                <w:sz w:val="16"/>
              </w:rPr>
              <w:t>528</w:t>
            </w:r>
          </w:p>
        </w:tc>
        <w:tc>
          <w:tcPr>
            <w:tcW w:type="dxa" w:w="1474"/>
            <w:vAlign w:val="center"/>
          </w:tcPr>
          <w:p>
            <w:pPr>
              <w:spacing w:after="0" w:line="240" w:lineRule="auto"/>
              <w:jc w:val="center"/>
            </w:pPr>
            <w:r/>
            <w:r>
              <w:rPr>
                <w:b w:val="0"/>
                <w:i w:val="0"/>
                <w:sz w:val="16"/>
              </w:rPr>
              <w:t>400</w:t>
            </w:r>
          </w:p>
        </w:tc>
      </w:tr>
      <w:tr>
        <w:trPr>
          <w:cantSplit/>
        </w:trPr>
        <w:tc>
          <w:tcPr>
            <w:tcW w:type="dxa" w:w="4195"/>
            <w:vAlign w:val="center"/>
          </w:tcPr>
          <w:p>
            <w:pPr>
              <w:spacing w:after="0" w:line="240" w:lineRule="auto"/>
              <w:jc w:val="left"/>
            </w:pPr>
            <w:r/>
            <w:r>
              <w:rPr>
                <w:b w:val="0"/>
                <w:i w:val="0"/>
                <w:sz w:val="16"/>
              </w:rPr>
              <w:t>1 enfant</w:t>
            </w:r>
          </w:p>
        </w:tc>
        <w:tc>
          <w:tcPr>
            <w:tcW w:type="dxa" w:w="1020"/>
            <w:vAlign w:val="center"/>
          </w:tcPr>
          <w:p>
            <w:pPr>
              <w:spacing w:after="0" w:line="240" w:lineRule="auto"/>
              <w:jc w:val="center"/>
            </w:pPr>
            <w:r/>
            <w:r>
              <w:rPr>
                <w:b w:val="0"/>
                <w:i w:val="0"/>
                <w:sz w:val="16"/>
              </w:rPr>
              <w:t>856</w:t>
            </w:r>
          </w:p>
        </w:tc>
        <w:tc>
          <w:tcPr>
            <w:tcW w:type="dxa" w:w="850"/>
            <w:vAlign w:val="center"/>
          </w:tcPr>
          <w:p>
            <w:pPr>
              <w:spacing w:after="0" w:line="240" w:lineRule="auto"/>
              <w:jc w:val="center"/>
            </w:pPr>
            <w:r/>
            <w:r>
              <w:rPr>
                <w:b w:val="0"/>
                <w:i w:val="0"/>
                <w:sz w:val="16"/>
              </w:rPr>
              <w:t>21,6</w:t>
            </w:r>
          </w:p>
        </w:tc>
        <w:tc>
          <w:tcPr>
            <w:tcW w:type="dxa" w:w="1474"/>
            <w:vAlign w:val="center"/>
          </w:tcPr>
          <w:p>
            <w:pPr>
              <w:spacing w:after="0" w:line="240" w:lineRule="auto"/>
              <w:jc w:val="center"/>
            </w:pPr>
            <w:r/>
            <w:r>
              <w:rPr>
                <w:b w:val="0"/>
                <w:i w:val="0"/>
                <w:sz w:val="16"/>
              </w:rPr>
              <w:t>700</w:t>
            </w:r>
          </w:p>
        </w:tc>
        <w:tc>
          <w:tcPr>
            <w:tcW w:type="dxa" w:w="1474"/>
            <w:vAlign w:val="center"/>
          </w:tcPr>
          <w:p>
            <w:pPr>
              <w:spacing w:after="0" w:line="240" w:lineRule="auto"/>
              <w:jc w:val="center"/>
            </w:pPr>
            <w:r/>
            <w:r>
              <w:rPr>
                <w:b w:val="0"/>
                <w:i w:val="0"/>
                <w:sz w:val="16"/>
              </w:rPr>
              <w:t>580</w:t>
            </w:r>
          </w:p>
        </w:tc>
      </w:tr>
      <w:tr>
        <w:trPr>
          <w:cantSplit/>
        </w:trPr>
        <w:tc>
          <w:tcPr>
            <w:tcW w:type="dxa" w:w="4195"/>
            <w:vAlign w:val="center"/>
          </w:tcPr>
          <w:p>
            <w:pPr>
              <w:spacing w:after="0" w:line="240" w:lineRule="auto"/>
              <w:jc w:val="left"/>
            </w:pPr>
            <w:r/>
            <w:r>
              <w:rPr>
                <w:b w:val="0"/>
                <w:i w:val="0"/>
                <w:sz w:val="16"/>
              </w:rPr>
              <w:t>2 enfants</w:t>
            </w:r>
          </w:p>
        </w:tc>
        <w:tc>
          <w:tcPr>
            <w:tcW w:type="dxa" w:w="1020"/>
            <w:vAlign w:val="center"/>
          </w:tcPr>
          <w:p>
            <w:pPr>
              <w:spacing w:after="0" w:line="240" w:lineRule="auto"/>
              <w:jc w:val="center"/>
            </w:pPr>
            <w:r/>
            <w:r>
              <w:rPr>
                <w:b w:val="0"/>
                <w:i w:val="0"/>
                <w:sz w:val="16"/>
              </w:rPr>
              <w:t>944</w:t>
            </w:r>
          </w:p>
        </w:tc>
        <w:tc>
          <w:tcPr>
            <w:tcW w:type="dxa" w:w="850"/>
            <w:vAlign w:val="center"/>
          </w:tcPr>
          <w:p>
            <w:pPr>
              <w:spacing w:after="0" w:line="240" w:lineRule="auto"/>
              <w:jc w:val="center"/>
            </w:pPr>
            <w:r/>
            <w:r>
              <w:rPr>
                <w:b w:val="0"/>
                <w:i w:val="0"/>
                <w:sz w:val="16"/>
              </w:rPr>
              <w:t>23,8</w:t>
            </w:r>
          </w:p>
        </w:tc>
        <w:tc>
          <w:tcPr>
            <w:tcW w:type="dxa" w:w="1474"/>
            <w:vAlign w:val="center"/>
          </w:tcPr>
          <w:p>
            <w:pPr>
              <w:spacing w:after="0" w:line="240" w:lineRule="auto"/>
              <w:jc w:val="center"/>
            </w:pPr>
            <w:r/>
            <w:r>
              <w:rPr>
                <w:b w:val="0"/>
                <w:i w:val="0"/>
                <w:sz w:val="16"/>
              </w:rPr>
              <w:t>872</w:t>
            </w:r>
          </w:p>
        </w:tc>
        <w:tc>
          <w:tcPr>
            <w:tcW w:type="dxa" w:w="1474"/>
            <w:vAlign w:val="center"/>
          </w:tcPr>
          <w:p>
            <w:pPr>
              <w:spacing w:after="0" w:line="240" w:lineRule="auto"/>
              <w:jc w:val="center"/>
            </w:pPr>
            <w:r/>
            <w:r>
              <w:rPr>
                <w:b w:val="0"/>
                <w:i w:val="0"/>
                <w:sz w:val="16"/>
              </w:rPr>
              <w:t>810</w:t>
            </w:r>
          </w:p>
        </w:tc>
      </w:tr>
      <w:tr>
        <w:trPr>
          <w:cantSplit/>
        </w:trPr>
        <w:tc>
          <w:tcPr>
            <w:tcW w:type="dxa" w:w="4195"/>
            <w:vAlign w:val="center"/>
          </w:tcPr>
          <w:p>
            <w:pPr>
              <w:spacing w:after="0" w:line="240" w:lineRule="auto"/>
              <w:jc w:val="left"/>
            </w:pPr>
            <w:r/>
            <w:r>
              <w:rPr>
                <w:b w:val="0"/>
                <w:i w:val="0"/>
                <w:sz w:val="16"/>
              </w:rPr>
              <w:t>3 enfants ou plus</w:t>
            </w:r>
          </w:p>
        </w:tc>
        <w:tc>
          <w:tcPr>
            <w:tcW w:type="dxa" w:w="1020"/>
            <w:vAlign w:val="center"/>
          </w:tcPr>
          <w:p>
            <w:pPr>
              <w:spacing w:after="0" w:line="240" w:lineRule="auto"/>
              <w:jc w:val="center"/>
            </w:pPr>
            <w:r/>
            <w:r>
              <w:rPr>
                <w:b w:val="0"/>
                <w:i w:val="0"/>
                <w:sz w:val="16"/>
              </w:rPr>
              <w:t>423</w:t>
            </w:r>
          </w:p>
        </w:tc>
        <w:tc>
          <w:tcPr>
            <w:tcW w:type="dxa" w:w="850"/>
            <w:vAlign w:val="center"/>
          </w:tcPr>
          <w:p>
            <w:pPr>
              <w:spacing w:after="0" w:line="240" w:lineRule="auto"/>
              <w:jc w:val="center"/>
            </w:pPr>
            <w:r/>
            <w:r>
              <w:rPr>
                <w:b w:val="0"/>
                <w:i w:val="0"/>
                <w:sz w:val="16"/>
              </w:rPr>
              <w:t>10,7</w:t>
            </w:r>
          </w:p>
        </w:tc>
        <w:tc>
          <w:tcPr>
            <w:tcW w:type="dxa" w:w="1474"/>
            <w:vAlign w:val="center"/>
          </w:tcPr>
          <w:p>
            <w:pPr>
              <w:spacing w:after="0" w:line="240" w:lineRule="auto"/>
              <w:jc w:val="center"/>
            </w:pPr>
            <w:r/>
            <w:r>
              <w:rPr>
                <w:b w:val="0"/>
                <w:i w:val="0"/>
                <w:sz w:val="16"/>
              </w:rPr>
              <w:t>930</w:t>
            </w:r>
          </w:p>
        </w:tc>
        <w:tc>
          <w:tcPr>
            <w:tcW w:type="dxa" w:w="1474"/>
            <w:vAlign w:val="center"/>
          </w:tcPr>
          <w:p>
            <w:pPr>
              <w:spacing w:after="0" w:line="240" w:lineRule="auto"/>
              <w:jc w:val="center"/>
            </w:pPr>
            <w:r/>
            <w:r>
              <w:rPr>
                <w:b w:val="0"/>
                <w:i w:val="0"/>
                <w:sz w:val="16"/>
              </w:rPr>
              <w:t>833</w:t>
            </w:r>
          </w:p>
        </w:tc>
      </w:tr>
      <w:tr>
        <w:trPr>
          <w:cantSplit/>
        </w:trPr>
        <w:tc>
          <w:tcPr>
            <w:tcW w:type="dxa" w:w="9015"/>
            <w:gridSpan w:val="5"/>
            <w:shd w:val="clear" w:color="auto" w:fill="F4F6F9"/>
            <w:vAlign w:val="center"/>
          </w:tcPr>
          <w:p>
            <w:pPr>
              <w:spacing w:after="0" w:line="240" w:lineRule="auto"/>
              <w:jc w:val="left"/>
            </w:pPr>
            <w:r/>
            <w:r>
              <w:rPr>
                <w:b/>
                <w:i w:val="0"/>
                <w:sz w:val="16"/>
              </w:rPr>
              <w:t>CSP de la personne de référence</w:t>
            </w:r>
          </w:p>
        </w:tc>
      </w:tr>
      <w:tr>
        <w:trPr>
          <w:cantSplit/>
        </w:trPr>
        <w:tc>
          <w:tcPr>
            <w:tcW w:type="dxa" w:w="4195"/>
            <w:vAlign w:val="center"/>
          </w:tcPr>
          <w:p>
            <w:pPr>
              <w:spacing w:after="0" w:line="240" w:lineRule="auto"/>
              <w:jc w:val="left"/>
            </w:pPr>
            <w:r/>
            <w:r>
              <w:rPr>
                <w:b w:val="0"/>
                <w:i w:val="0"/>
                <w:sz w:val="16"/>
              </w:rPr>
              <w:t>Agriculteurs, artisans, commerçants, chefs d’ent.</w:t>
            </w:r>
          </w:p>
        </w:tc>
        <w:tc>
          <w:tcPr>
            <w:tcW w:type="dxa" w:w="1020"/>
            <w:vAlign w:val="center"/>
          </w:tcPr>
          <w:p>
            <w:pPr>
              <w:spacing w:after="0" w:line="240" w:lineRule="auto"/>
              <w:jc w:val="center"/>
            </w:pPr>
            <w:r/>
            <w:r>
              <w:rPr>
                <w:b w:val="0"/>
                <w:i w:val="0"/>
                <w:sz w:val="16"/>
              </w:rPr>
              <w:t>231</w:t>
            </w:r>
          </w:p>
        </w:tc>
        <w:tc>
          <w:tcPr>
            <w:tcW w:type="dxa" w:w="850"/>
            <w:vAlign w:val="center"/>
          </w:tcPr>
          <w:p>
            <w:pPr>
              <w:spacing w:after="0" w:line="240" w:lineRule="auto"/>
              <w:jc w:val="center"/>
            </w:pPr>
            <w:r/>
            <w:r>
              <w:rPr>
                <w:b w:val="0"/>
                <w:i w:val="0"/>
                <w:sz w:val="16"/>
              </w:rPr>
              <w:t>5,8</w:t>
            </w:r>
          </w:p>
        </w:tc>
        <w:tc>
          <w:tcPr>
            <w:tcW w:type="dxa" w:w="1474"/>
            <w:vAlign w:val="center"/>
          </w:tcPr>
          <w:p>
            <w:pPr>
              <w:spacing w:after="0" w:line="240" w:lineRule="auto"/>
              <w:jc w:val="center"/>
            </w:pPr>
            <w:r/>
            <w:r>
              <w:rPr>
                <w:b w:val="0"/>
                <w:i w:val="0"/>
                <w:sz w:val="16"/>
              </w:rPr>
              <w:t>955</w:t>
            </w:r>
          </w:p>
        </w:tc>
        <w:tc>
          <w:tcPr>
            <w:tcW w:type="dxa" w:w="1474"/>
            <w:vAlign w:val="center"/>
          </w:tcPr>
          <w:p>
            <w:pPr>
              <w:spacing w:after="0" w:line="240" w:lineRule="auto"/>
              <w:jc w:val="center"/>
            </w:pPr>
            <w:r/>
            <w:r>
              <w:rPr>
                <w:b w:val="0"/>
                <w:i w:val="0"/>
                <w:sz w:val="16"/>
              </w:rPr>
              <w:t>730</w:t>
            </w:r>
          </w:p>
        </w:tc>
      </w:tr>
      <w:tr>
        <w:trPr>
          <w:cantSplit/>
        </w:trPr>
        <w:tc>
          <w:tcPr>
            <w:tcW w:type="dxa" w:w="4195"/>
            <w:vAlign w:val="center"/>
          </w:tcPr>
          <w:p>
            <w:pPr>
              <w:spacing w:after="0" w:line="240" w:lineRule="auto"/>
              <w:jc w:val="left"/>
            </w:pPr>
            <w:r/>
            <w:r>
              <w:rPr>
                <w:b w:val="0"/>
                <w:i w:val="0"/>
                <w:sz w:val="16"/>
              </w:rPr>
              <w:t>Cadres, prof. intellectuelles sup.</w:t>
            </w:r>
          </w:p>
        </w:tc>
        <w:tc>
          <w:tcPr>
            <w:tcW w:type="dxa" w:w="1020"/>
            <w:vAlign w:val="center"/>
          </w:tcPr>
          <w:p>
            <w:pPr>
              <w:spacing w:after="0" w:line="240" w:lineRule="auto"/>
              <w:jc w:val="center"/>
            </w:pPr>
            <w:r/>
            <w:r>
              <w:rPr>
                <w:b w:val="0"/>
                <w:i w:val="0"/>
                <w:sz w:val="16"/>
              </w:rPr>
              <w:t>686</w:t>
            </w:r>
          </w:p>
        </w:tc>
        <w:tc>
          <w:tcPr>
            <w:tcW w:type="dxa" w:w="850"/>
            <w:vAlign w:val="center"/>
          </w:tcPr>
          <w:p>
            <w:pPr>
              <w:spacing w:after="0" w:line="240" w:lineRule="auto"/>
              <w:jc w:val="center"/>
            </w:pPr>
            <w:r/>
            <w:r>
              <w:rPr>
                <w:b w:val="0"/>
                <w:i w:val="0"/>
                <w:sz w:val="16"/>
              </w:rPr>
              <w:t>17,3</w:t>
            </w:r>
          </w:p>
        </w:tc>
        <w:tc>
          <w:tcPr>
            <w:tcW w:type="dxa" w:w="1474"/>
            <w:vAlign w:val="center"/>
          </w:tcPr>
          <w:p>
            <w:pPr>
              <w:spacing w:after="0" w:line="240" w:lineRule="auto"/>
              <w:jc w:val="center"/>
            </w:pPr>
            <w:r/>
            <w:r>
              <w:rPr>
                <w:b w:val="0"/>
                <w:i w:val="0"/>
                <w:sz w:val="16"/>
              </w:rPr>
              <w:t>1 075</w:t>
            </w:r>
          </w:p>
        </w:tc>
        <w:tc>
          <w:tcPr>
            <w:tcW w:type="dxa" w:w="1474"/>
            <w:vAlign w:val="center"/>
          </w:tcPr>
          <w:p>
            <w:pPr>
              <w:spacing w:after="0" w:line="240" w:lineRule="auto"/>
              <w:jc w:val="center"/>
            </w:pPr>
            <w:r/>
            <w:r>
              <w:rPr>
                <w:b w:val="0"/>
                <w:i w:val="0"/>
                <w:sz w:val="16"/>
              </w:rPr>
              <w:t>980</w:t>
            </w:r>
          </w:p>
        </w:tc>
      </w:tr>
      <w:tr>
        <w:trPr>
          <w:cantSplit/>
        </w:trPr>
        <w:tc>
          <w:tcPr>
            <w:tcW w:type="dxa" w:w="4195"/>
            <w:vAlign w:val="center"/>
          </w:tcPr>
          <w:p>
            <w:pPr>
              <w:spacing w:after="0" w:line="240" w:lineRule="auto"/>
              <w:jc w:val="left"/>
            </w:pPr>
            <w:r/>
            <w:r>
              <w:rPr>
                <w:b w:val="0"/>
                <w:i w:val="0"/>
                <w:sz w:val="16"/>
              </w:rPr>
              <w:t>Professions intermédiaires</w:t>
            </w:r>
          </w:p>
        </w:tc>
        <w:tc>
          <w:tcPr>
            <w:tcW w:type="dxa" w:w="1020"/>
            <w:vAlign w:val="center"/>
          </w:tcPr>
          <w:p>
            <w:pPr>
              <w:spacing w:after="0" w:line="240" w:lineRule="auto"/>
              <w:jc w:val="center"/>
            </w:pPr>
            <w:r/>
            <w:r>
              <w:rPr>
                <w:b w:val="0"/>
                <w:i w:val="0"/>
                <w:sz w:val="16"/>
              </w:rPr>
              <w:t>915</w:t>
            </w:r>
          </w:p>
        </w:tc>
        <w:tc>
          <w:tcPr>
            <w:tcW w:type="dxa" w:w="850"/>
            <w:vAlign w:val="center"/>
          </w:tcPr>
          <w:p>
            <w:pPr>
              <w:spacing w:after="0" w:line="240" w:lineRule="auto"/>
              <w:jc w:val="center"/>
            </w:pPr>
            <w:r/>
            <w:r>
              <w:rPr>
                <w:b w:val="0"/>
                <w:i w:val="0"/>
                <w:sz w:val="16"/>
              </w:rPr>
              <w:t>23,1</w:t>
            </w:r>
          </w:p>
        </w:tc>
        <w:tc>
          <w:tcPr>
            <w:tcW w:type="dxa" w:w="1474"/>
            <w:vAlign w:val="center"/>
          </w:tcPr>
          <w:p>
            <w:pPr>
              <w:spacing w:after="0" w:line="240" w:lineRule="auto"/>
              <w:jc w:val="center"/>
            </w:pPr>
            <w:r/>
            <w:r>
              <w:rPr>
                <w:b w:val="0"/>
                <w:i w:val="0"/>
                <w:sz w:val="16"/>
              </w:rPr>
              <w:t>781</w:t>
            </w:r>
          </w:p>
        </w:tc>
        <w:tc>
          <w:tcPr>
            <w:tcW w:type="dxa" w:w="1474"/>
            <w:vAlign w:val="center"/>
          </w:tcPr>
          <w:p>
            <w:pPr>
              <w:spacing w:after="0" w:line="240" w:lineRule="auto"/>
              <w:jc w:val="center"/>
            </w:pPr>
            <w:r/>
            <w:r>
              <w:rPr>
                <w:b w:val="0"/>
                <w:i w:val="0"/>
                <w:sz w:val="16"/>
              </w:rPr>
              <w:t>750</w:t>
            </w:r>
          </w:p>
        </w:tc>
      </w:tr>
      <w:tr>
        <w:trPr>
          <w:cantSplit/>
        </w:trPr>
        <w:tc>
          <w:tcPr>
            <w:tcW w:type="dxa" w:w="4195"/>
            <w:vAlign w:val="center"/>
          </w:tcPr>
          <w:p>
            <w:pPr>
              <w:spacing w:after="0" w:line="240" w:lineRule="auto"/>
              <w:jc w:val="left"/>
            </w:pPr>
            <w:r/>
            <w:r>
              <w:rPr>
                <w:b w:val="0"/>
                <w:i w:val="0"/>
                <w:sz w:val="16"/>
              </w:rPr>
              <w:t>Employés</w:t>
            </w:r>
          </w:p>
        </w:tc>
        <w:tc>
          <w:tcPr>
            <w:tcW w:type="dxa" w:w="1020"/>
            <w:vAlign w:val="center"/>
          </w:tcPr>
          <w:p>
            <w:pPr>
              <w:spacing w:after="0" w:line="240" w:lineRule="auto"/>
              <w:jc w:val="center"/>
            </w:pPr>
            <w:r/>
            <w:r>
              <w:rPr>
                <w:b w:val="0"/>
                <w:i w:val="0"/>
                <w:sz w:val="16"/>
              </w:rPr>
              <w:t>591</w:t>
            </w:r>
          </w:p>
        </w:tc>
        <w:tc>
          <w:tcPr>
            <w:tcW w:type="dxa" w:w="850"/>
            <w:vAlign w:val="center"/>
          </w:tcPr>
          <w:p>
            <w:pPr>
              <w:spacing w:after="0" w:line="240" w:lineRule="auto"/>
              <w:jc w:val="center"/>
            </w:pPr>
            <w:r/>
            <w:r>
              <w:rPr>
                <w:b w:val="0"/>
                <w:i w:val="0"/>
                <w:sz w:val="16"/>
              </w:rPr>
              <w:t>14,9</w:t>
            </w:r>
          </w:p>
        </w:tc>
        <w:tc>
          <w:tcPr>
            <w:tcW w:type="dxa" w:w="1474"/>
            <w:vAlign w:val="center"/>
          </w:tcPr>
          <w:p>
            <w:pPr>
              <w:spacing w:after="0" w:line="240" w:lineRule="auto"/>
              <w:jc w:val="center"/>
            </w:pPr>
            <w:r/>
            <w:r>
              <w:rPr>
                <w:b w:val="0"/>
                <w:i w:val="0"/>
                <w:sz w:val="16"/>
              </w:rPr>
              <w:t>547</w:t>
            </w:r>
          </w:p>
        </w:tc>
        <w:tc>
          <w:tcPr>
            <w:tcW w:type="dxa" w:w="1474"/>
            <w:vAlign w:val="center"/>
          </w:tcPr>
          <w:p>
            <w:pPr>
              <w:spacing w:after="0" w:line="240" w:lineRule="auto"/>
              <w:jc w:val="center"/>
            </w:pPr>
            <w:r/>
            <w:r>
              <w:rPr>
                <w:b w:val="0"/>
                <w:i w:val="0"/>
                <w:sz w:val="16"/>
              </w:rPr>
              <w:t>465</w:t>
            </w:r>
          </w:p>
        </w:tc>
      </w:tr>
      <w:tr>
        <w:trPr>
          <w:cantSplit/>
        </w:trPr>
        <w:tc>
          <w:tcPr>
            <w:tcW w:type="dxa" w:w="4195"/>
            <w:vAlign w:val="center"/>
          </w:tcPr>
          <w:p>
            <w:pPr>
              <w:spacing w:after="0" w:line="240" w:lineRule="auto"/>
              <w:jc w:val="left"/>
            </w:pPr>
            <w:r/>
            <w:r>
              <w:rPr>
                <w:b w:val="0"/>
                <w:i w:val="0"/>
                <w:sz w:val="16"/>
              </w:rPr>
              <w:t>Ouvriers</w:t>
            </w:r>
          </w:p>
        </w:tc>
        <w:tc>
          <w:tcPr>
            <w:tcW w:type="dxa" w:w="1020"/>
            <w:vAlign w:val="center"/>
          </w:tcPr>
          <w:p>
            <w:pPr>
              <w:spacing w:after="0" w:line="240" w:lineRule="auto"/>
              <w:jc w:val="center"/>
            </w:pPr>
            <w:r/>
            <w:r>
              <w:rPr>
                <w:b w:val="0"/>
                <w:i w:val="0"/>
                <w:sz w:val="16"/>
              </w:rPr>
              <w:t>725</w:t>
            </w:r>
          </w:p>
        </w:tc>
        <w:tc>
          <w:tcPr>
            <w:tcW w:type="dxa" w:w="850"/>
            <w:vAlign w:val="center"/>
          </w:tcPr>
          <w:p>
            <w:pPr>
              <w:spacing w:after="0" w:line="240" w:lineRule="auto"/>
              <w:jc w:val="center"/>
            </w:pPr>
            <w:r/>
            <w:r>
              <w:rPr>
                <w:b w:val="0"/>
                <w:i w:val="0"/>
                <w:sz w:val="16"/>
              </w:rPr>
              <w:t>18,3</w:t>
            </w:r>
          </w:p>
        </w:tc>
        <w:tc>
          <w:tcPr>
            <w:tcW w:type="dxa" w:w="1474"/>
            <w:vAlign w:val="center"/>
          </w:tcPr>
          <w:p>
            <w:pPr>
              <w:spacing w:after="0" w:line="240" w:lineRule="auto"/>
              <w:jc w:val="center"/>
            </w:pPr>
            <w:r/>
            <w:r>
              <w:rPr>
                <w:b w:val="0"/>
                <w:i w:val="0"/>
                <w:sz w:val="16"/>
              </w:rPr>
              <w:t>560</w:t>
            </w:r>
          </w:p>
        </w:tc>
        <w:tc>
          <w:tcPr>
            <w:tcW w:type="dxa" w:w="1474"/>
            <w:vAlign w:val="center"/>
          </w:tcPr>
          <w:p>
            <w:pPr>
              <w:spacing w:after="0" w:line="240" w:lineRule="auto"/>
              <w:jc w:val="center"/>
            </w:pPr>
            <w:r/>
            <w:r>
              <w:rPr>
                <w:b w:val="0"/>
                <w:i w:val="0"/>
                <w:sz w:val="16"/>
              </w:rPr>
              <w:t>488</w:t>
            </w:r>
          </w:p>
        </w:tc>
      </w:tr>
      <w:tr>
        <w:trPr>
          <w:cantSplit/>
        </w:trPr>
        <w:tc>
          <w:tcPr>
            <w:tcW w:type="dxa" w:w="4195"/>
            <w:vAlign w:val="center"/>
          </w:tcPr>
          <w:p>
            <w:pPr>
              <w:spacing w:after="0" w:line="240" w:lineRule="auto"/>
              <w:jc w:val="left"/>
            </w:pPr>
            <w:r/>
            <w:r>
              <w:rPr>
                <w:b w:val="0"/>
                <w:i w:val="0"/>
                <w:sz w:val="16"/>
              </w:rPr>
              <w:t>Retraités et autres inactifs</w:t>
            </w:r>
          </w:p>
        </w:tc>
        <w:tc>
          <w:tcPr>
            <w:tcW w:type="dxa" w:w="1020"/>
            <w:vAlign w:val="center"/>
          </w:tcPr>
          <w:p>
            <w:pPr>
              <w:spacing w:after="0" w:line="240" w:lineRule="auto"/>
              <w:jc w:val="center"/>
            </w:pPr>
            <w:r/>
            <w:r>
              <w:rPr>
                <w:b w:val="0"/>
                <w:i w:val="0"/>
                <w:sz w:val="16"/>
              </w:rPr>
              <w:t>814</w:t>
            </w:r>
          </w:p>
        </w:tc>
        <w:tc>
          <w:tcPr>
            <w:tcW w:type="dxa" w:w="850"/>
            <w:vAlign w:val="center"/>
          </w:tcPr>
          <w:p>
            <w:pPr>
              <w:spacing w:after="0" w:line="240" w:lineRule="auto"/>
              <w:jc w:val="center"/>
            </w:pPr>
            <w:r/>
            <w:r>
              <w:rPr>
                <w:b w:val="0"/>
                <w:i w:val="0"/>
                <w:sz w:val="16"/>
              </w:rPr>
              <w:t>20,5</w:t>
            </w:r>
          </w:p>
        </w:tc>
        <w:tc>
          <w:tcPr>
            <w:tcW w:type="dxa" w:w="1474"/>
            <w:vAlign w:val="center"/>
          </w:tcPr>
          <w:p>
            <w:pPr>
              <w:spacing w:after="0" w:line="240" w:lineRule="auto"/>
              <w:jc w:val="center"/>
            </w:pPr>
            <w:r/>
            <w:r>
              <w:rPr>
                <w:b w:val="0"/>
                <w:i w:val="0"/>
                <w:sz w:val="16"/>
              </w:rPr>
              <w:t>408</w:t>
            </w:r>
          </w:p>
        </w:tc>
        <w:tc>
          <w:tcPr>
            <w:tcW w:type="dxa" w:w="1474"/>
            <w:vAlign w:val="center"/>
          </w:tcPr>
          <w:p>
            <w:pPr>
              <w:spacing w:after="0" w:line="240" w:lineRule="auto"/>
              <w:jc w:val="center"/>
            </w:pPr>
            <w:r/>
            <w:r>
              <w:rPr>
                <w:b w:val="0"/>
                <w:i w:val="0"/>
                <w:sz w:val="16"/>
              </w:rPr>
              <w:t>286</w:t>
            </w:r>
          </w:p>
        </w:tc>
      </w:tr>
      <w:tr>
        <w:trPr>
          <w:cantSplit/>
        </w:trPr>
        <w:tc>
          <w:tcPr>
            <w:tcW w:type="dxa" w:w="9015"/>
            <w:gridSpan w:val="5"/>
            <w:shd w:val="clear" w:color="auto" w:fill="F4F6F9"/>
            <w:vAlign w:val="center"/>
          </w:tcPr>
          <w:p>
            <w:pPr>
              <w:spacing w:after="0" w:line="240" w:lineRule="auto"/>
              <w:jc w:val="left"/>
            </w:pPr>
            <w:r/>
            <w:r>
              <w:rPr>
                <w:b/>
                <w:i w:val="0"/>
                <w:sz w:val="16"/>
              </w:rPr>
              <w:t>Taille de l’unité urbaine</w:t>
            </w:r>
          </w:p>
        </w:tc>
      </w:tr>
      <w:tr>
        <w:trPr>
          <w:cantSplit/>
        </w:trPr>
        <w:tc>
          <w:tcPr>
            <w:tcW w:type="dxa" w:w="4195"/>
            <w:vAlign w:val="center"/>
          </w:tcPr>
          <w:p>
            <w:pPr>
              <w:spacing w:after="0" w:line="240" w:lineRule="auto"/>
              <w:jc w:val="left"/>
            </w:pPr>
            <w:r/>
            <w:r>
              <w:rPr>
                <w:b w:val="0"/>
                <w:i w:val="0"/>
                <w:sz w:val="16"/>
              </w:rPr>
              <w:t>Commune rurale</w:t>
            </w:r>
          </w:p>
        </w:tc>
        <w:tc>
          <w:tcPr>
            <w:tcW w:type="dxa" w:w="1020"/>
            <w:vAlign w:val="center"/>
          </w:tcPr>
          <w:p>
            <w:pPr>
              <w:spacing w:after="0" w:line="240" w:lineRule="auto"/>
              <w:jc w:val="center"/>
            </w:pPr>
            <w:r/>
            <w:r>
              <w:rPr>
                <w:b w:val="0"/>
                <w:i w:val="0"/>
                <w:sz w:val="16"/>
              </w:rPr>
              <w:t>1 236</w:t>
            </w:r>
          </w:p>
        </w:tc>
        <w:tc>
          <w:tcPr>
            <w:tcW w:type="dxa" w:w="850"/>
            <w:vAlign w:val="center"/>
          </w:tcPr>
          <w:p>
            <w:pPr>
              <w:spacing w:after="0" w:line="240" w:lineRule="auto"/>
              <w:jc w:val="center"/>
            </w:pPr>
            <w:r/>
            <w:r>
              <w:rPr>
                <w:b w:val="0"/>
                <w:i w:val="0"/>
                <w:sz w:val="16"/>
              </w:rPr>
              <w:t>31,2</w:t>
            </w:r>
          </w:p>
        </w:tc>
        <w:tc>
          <w:tcPr>
            <w:tcW w:type="dxa" w:w="1474"/>
            <w:vAlign w:val="center"/>
          </w:tcPr>
          <w:p>
            <w:pPr>
              <w:spacing w:after="0" w:line="240" w:lineRule="auto"/>
              <w:jc w:val="center"/>
            </w:pPr>
            <w:r/>
            <w:r>
              <w:rPr>
                <w:b w:val="0"/>
                <w:i w:val="0"/>
                <w:sz w:val="16"/>
              </w:rPr>
              <w:t>695</w:t>
            </w:r>
          </w:p>
        </w:tc>
        <w:tc>
          <w:tcPr>
            <w:tcW w:type="dxa" w:w="1474"/>
            <w:vAlign w:val="center"/>
          </w:tcPr>
          <w:p>
            <w:pPr>
              <w:spacing w:after="0" w:line="240" w:lineRule="auto"/>
              <w:jc w:val="center"/>
            </w:pPr>
            <w:r/>
            <w:r>
              <w:rPr>
                <w:b w:val="0"/>
                <w:i w:val="0"/>
                <w:sz w:val="16"/>
              </w:rPr>
              <w:t>600</w:t>
            </w:r>
          </w:p>
        </w:tc>
      </w:tr>
      <w:tr>
        <w:trPr>
          <w:cantSplit/>
        </w:trPr>
        <w:tc>
          <w:tcPr>
            <w:tcW w:type="dxa" w:w="4195"/>
            <w:vAlign w:val="center"/>
          </w:tcPr>
          <w:p>
            <w:pPr>
              <w:spacing w:after="0" w:line="240" w:lineRule="auto"/>
              <w:jc w:val="left"/>
            </w:pPr>
            <w:r/>
            <w:r>
              <w:rPr>
                <w:b w:val="0"/>
                <w:i w:val="0"/>
                <w:sz w:val="16"/>
              </w:rPr>
              <w:t>Moins de 20 000 hab.</w:t>
            </w:r>
          </w:p>
        </w:tc>
        <w:tc>
          <w:tcPr>
            <w:tcW w:type="dxa" w:w="1020"/>
            <w:vAlign w:val="center"/>
          </w:tcPr>
          <w:p>
            <w:pPr>
              <w:spacing w:after="0" w:line="240" w:lineRule="auto"/>
              <w:jc w:val="center"/>
            </w:pPr>
            <w:r/>
            <w:r>
              <w:rPr>
                <w:b w:val="0"/>
                <w:i w:val="0"/>
                <w:sz w:val="16"/>
              </w:rPr>
              <w:t>699</w:t>
            </w:r>
          </w:p>
        </w:tc>
        <w:tc>
          <w:tcPr>
            <w:tcW w:type="dxa" w:w="850"/>
            <w:vAlign w:val="center"/>
          </w:tcPr>
          <w:p>
            <w:pPr>
              <w:spacing w:after="0" w:line="240" w:lineRule="auto"/>
              <w:jc w:val="center"/>
            </w:pPr>
            <w:r/>
            <w:r>
              <w:rPr>
                <w:b w:val="0"/>
                <w:i w:val="0"/>
                <w:sz w:val="16"/>
              </w:rPr>
              <w:t>17,6</w:t>
            </w:r>
          </w:p>
        </w:tc>
        <w:tc>
          <w:tcPr>
            <w:tcW w:type="dxa" w:w="1474"/>
            <w:vAlign w:val="center"/>
          </w:tcPr>
          <w:p>
            <w:pPr>
              <w:spacing w:after="0" w:line="240" w:lineRule="auto"/>
              <w:jc w:val="center"/>
            </w:pPr>
            <w:r/>
            <w:r>
              <w:rPr>
                <w:b w:val="0"/>
                <w:i w:val="0"/>
                <w:sz w:val="16"/>
              </w:rPr>
              <w:t>672</w:t>
            </w:r>
          </w:p>
        </w:tc>
        <w:tc>
          <w:tcPr>
            <w:tcW w:type="dxa" w:w="1474"/>
            <w:vAlign w:val="center"/>
          </w:tcPr>
          <w:p>
            <w:pPr>
              <w:spacing w:after="0" w:line="240" w:lineRule="auto"/>
              <w:jc w:val="center"/>
            </w:pPr>
            <w:r/>
            <w:r>
              <w:rPr>
                <w:b w:val="0"/>
                <w:i w:val="0"/>
                <w:sz w:val="16"/>
              </w:rPr>
              <w:t>535</w:t>
            </w:r>
          </w:p>
        </w:tc>
      </w:tr>
      <w:tr>
        <w:trPr>
          <w:cantSplit/>
        </w:trPr>
        <w:tc>
          <w:tcPr>
            <w:tcW w:type="dxa" w:w="4195"/>
            <w:vAlign w:val="center"/>
          </w:tcPr>
          <w:p>
            <w:pPr>
              <w:spacing w:after="0" w:line="240" w:lineRule="auto"/>
              <w:jc w:val="left"/>
            </w:pPr>
            <w:r/>
            <w:r>
              <w:rPr>
                <w:b w:val="0"/>
                <w:i w:val="0"/>
                <w:sz w:val="16"/>
              </w:rPr>
              <w:t>20 000 à 199 999 hab.</w:t>
            </w:r>
          </w:p>
        </w:tc>
        <w:tc>
          <w:tcPr>
            <w:tcW w:type="dxa" w:w="1020"/>
            <w:vAlign w:val="center"/>
          </w:tcPr>
          <w:p>
            <w:pPr>
              <w:spacing w:after="0" w:line="240" w:lineRule="auto"/>
              <w:jc w:val="center"/>
            </w:pPr>
            <w:r/>
            <w:r>
              <w:rPr>
                <w:b w:val="0"/>
                <w:i w:val="0"/>
                <w:sz w:val="16"/>
              </w:rPr>
              <w:t>755</w:t>
            </w:r>
          </w:p>
        </w:tc>
        <w:tc>
          <w:tcPr>
            <w:tcW w:type="dxa" w:w="850"/>
            <w:vAlign w:val="center"/>
          </w:tcPr>
          <w:p>
            <w:pPr>
              <w:spacing w:after="0" w:line="240" w:lineRule="auto"/>
              <w:jc w:val="center"/>
            </w:pPr>
            <w:r/>
            <w:r>
              <w:rPr>
                <w:b w:val="0"/>
                <w:i w:val="0"/>
                <w:sz w:val="16"/>
              </w:rPr>
              <w:t>19,1</w:t>
            </w:r>
          </w:p>
        </w:tc>
        <w:tc>
          <w:tcPr>
            <w:tcW w:type="dxa" w:w="1474"/>
            <w:vAlign w:val="center"/>
          </w:tcPr>
          <w:p>
            <w:pPr>
              <w:spacing w:after="0" w:line="240" w:lineRule="auto"/>
              <w:jc w:val="center"/>
            </w:pPr>
            <w:r/>
            <w:r>
              <w:rPr>
                <w:b w:val="0"/>
                <w:i w:val="0"/>
                <w:sz w:val="16"/>
              </w:rPr>
              <w:t>627</w:t>
            </w:r>
          </w:p>
        </w:tc>
        <w:tc>
          <w:tcPr>
            <w:tcW w:type="dxa" w:w="1474"/>
            <w:vAlign w:val="center"/>
          </w:tcPr>
          <w:p>
            <w:pPr>
              <w:spacing w:after="0" w:line="240" w:lineRule="auto"/>
              <w:jc w:val="center"/>
            </w:pPr>
            <w:r/>
            <w:r>
              <w:rPr>
                <w:b w:val="0"/>
                <w:i w:val="0"/>
                <w:sz w:val="16"/>
              </w:rPr>
              <w:t>480</w:t>
            </w:r>
          </w:p>
        </w:tc>
      </w:tr>
      <w:tr>
        <w:trPr>
          <w:cantSplit/>
        </w:trPr>
        <w:tc>
          <w:tcPr>
            <w:tcW w:type="dxa" w:w="4195"/>
            <w:vAlign w:val="center"/>
          </w:tcPr>
          <w:p>
            <w:pPr>
              <w:spacing w:after="0" w:line="240" w:lineRule="auto"/>
              <w:jc w:val="left"/>
            </w:pPr>
            <w:r/>
            <w:r>
              <w:rPr>
                <w:b w:val="0"/>
                <w:i w:val="0"/>
                <w:sz w:val="16"/>
              </w:rPr>
              <w:t>200 000 hab. et plus (hors Paris)</w:t>
            </w:r>
          </w:p>
        </w:tc>
        <w:tc>
          <w:tcPr>
            <w:tcW w:type="dxa" w:w="1020"/>
            <w:vAlign w:val="center"/>
          </w:tcPr>
          <w:p>
            <w:pPr>
              <w:spacing w:after="0" w:line="240" w:lineRule="auto"/>
              <w:jc w:val="center"/>
            </w:pPr>
            <w:r/>
            <w:r>
              <w:rPr>
                <w:b w:val="0"/>
                <w:i w:val="0"/>
                <w:sz w:val="16"/>
              </w:rPr>
              <w:t>920</w:t>
            </w:r>
          </w:p>
        </w:tc>
        <w:tc>
          <w:tcPr>
            <w:tcW w:type="dxa" w:w="850"/>
            <w:vAlign w:val="center"/>
          </w:tcPr>
          <w:p>
            <w:pPr>
              <w:spacing w:after="0" w:line="240" w:lineRule="auto"/>
              <w:jc w:val="center"/>
            </w:pPr>
            <w:r/>
            <w:r>
              <w:rPr>
                <w:b w:val="0"/>
                <w:i w:val="0"/>
                <w:sz w:val="16"/>
              </w:rPr>
              <w:t>23,2</w:t>
            </w:r>
          </w:p>
        </w:tc>
        <w:tc>
          <w:tcPr>
            <w:tcW w:type="dxa" w:w="1474"/>
            <w:vAlign w:val="center"/>
          </w:tcPr>
          <w:p>
            <w:pPr>
              <w:spacing w:after="0" w:line="240" w:lineRule="auto"/>
              <w:jc w:val="center"/>
            </w:pPr>
            <w:r/>
            <w:r>
              <w:rPr>
                <w:b w:val="0"/>
                <w:i w:val="0"/>
                <w:sz w:val="16"/>
              </w:rPr>
              <w:t>663</w:t>
            </w:r>
          </w:p>
        </w:tc>
        <w:tc>
          <w:tcPr>
            <w:tcW w:type="dxa" w:w="1474"/>
            <w:vAlign w:val="center"/>
          </w:tcPr>
          <w:p>
            <w:pPr>
              <w:spacing w:after="0" w:line="240" w:lineRule="auto"/>
              <w:jc w:val="center"/>
            </w:pPr>
            <w:r/>
            <w:r>
              <w:rPr>
                <w:b w:val="0"/>
                <w:i w:val="0"/>
                <w:sz w:val="16"/>
              </w:rPr>
              <w:t>510</w:t>
            </w:r>
          </w:p>
        </w:tc>
      </w:tr>
      <w:tr>
        <w:trPr>
          <w:cantSplit/>
        </w:trPr>
        <w:tc>
          <w:tcPr>
            <w:tcW w:type="dxa" w:w="4195"/>
            <w:vAlign w:val="center"/>
          </w:tcPr>
          <w:p>
            <w:pPr>
              <w:spacing w:after="0" w:line="240" w:lineRule="auto"/>
              <w:jc w:val="left"/>
            </w:pPr>
            <w:r/>
            <w:r>
              <w:rPr>
                <w:b w:val="0"/>
                <w:i w:val="0"/>
                <w:sz w:val="16"/>
              </w:rPr>
              <w:t>Agglomération parisienne</w:t>
            </w:r>
          </w:p>
        </w:tc>
        <w:tc>
          <w:tcPr>
            <w:tcW w:type="dxa" w:w="1020"/>
            <w:vAlign w:val="center"/>
          </w:tcPr>
          <w:p>
            <w:pPr>
              <w:spacing w:after="0" w:line="240" w:lineRule="auto"/>
              <w:jc w:val="center"/>
            </w:pPr>
            <w:r/>
            <w:r>
              <w:rPr>
                <w:b w:val="0"/>
                <w:i w:val="0"/>
                <w:sz w:val="16"/>
              </w:rPr>
              <w:t>352</w:t>
            </w:r>
          </w:p>
        </w:tc>
        <w:tc>
          <w:tcPr>
            <w:tcW w:type="dxa" w:w="850"/>
            <w:vAlign w:val="center"/>
          </w:tcPr>
          <w:p>
            <w:pPr>
              <w:spacing w:after="0" w:line="240" w:lineRule="auto"/>
              <w:jc w:val="center"/>
            </w:pPr>
            <w:r/>
            <w:r>
              <w:rPr>
                <w:b w:val="0"/>
                <w:i w:val="0"/>
                <w:sz w:val="16"/>
              </w:rPr>
              <w:t>8,9</w:t>
            </w:r>
          </w:p>
        </w:tc>
        <w:tc>
          <w:tcPr>
            <w:tcW w:type="dxa" w:w="1474"/>
            <w:vAlign w:val="center"/>
          </w:tcPr>
          <w:p>
            <w:pPr>
              <w:spacing w:after="0" w:line="240" w:lineRule="auto"/>
              <w:jc w:val="center"/>
            </w:pPr>
            <w:r/>
            <w:r>
              <w:rPr>
                <w:b w:val="0"/>
                <w:i w:val="0"/>
                <w:sz w:val="16"/>
              </w:rPr>
              <w:t>914</w:t>
            </w:r>
          </w:p>
        </w:tc>
        <w:tc>
          <w:tcPr>
            <w:tcW w:type="dxa" w:w="1474"/>
            <w:vAlign w:val="center"/>
          </w:tcPr>
          <w:p>
            <w:pPr>
              <w:spacing w:after="0" w:line="240" w:lineRule="auto"/>
              <w:jc w:val="center"/>
            </w:pPr>
            <w:r/>
            <w:r>
              <w:rPr>
                <w:b w:val="0"/>
                <w:i w:val="0"/>
                <w:sz w:val="16"/>
              </w:rPr>
              <w:t>774</w:t>
            </w:r>
          </w:p>
        </w:tc>
      </w:tr>
      <w:tr>
        <w:trPr>
          <w:cantSplit/>
        </w:trPr>
        <w:tc>
          <w:tcPr>
            <w:tcW w:type="dxa" w:w="9015"/>
            <w:gridSpan w:val="5"/>
            <w:shd w:val="clear" w:color="auto" w:fill="F4F6F9"/>
            <w:vAlign w:val="center"/>
          </w:tcPr>
          <w:p>
            <w:pPr>
              <w:spacing w:after="0" w:line="240" w:lineRule="auto"/>
              <w:jc w:val="left"/>
            </w:pPr>
            <w:r/>
            <w:r>
              <w:rPr>
                <w:b/>
                <w:i w:val="0"/>
                <w:sz w:val="16"/>
              </w:rPr>
              <w:t>Type de logement</w:t>
            </w:r>
          </w:p>
        </w:tc>
      </w:tr>
      <w:tr>
        <w:trPr>
          <w:cantSplit/>
        </w:trPr>
        <w:tc>
          <w:tcPr>
            <w:tcW w:type="dxa" w:w="4195"/>
            <w:vAlign w:val="center"/>
          </w:tcPr>
          <w:p>
            <w:pPr>
              <w:spacing w:after="0" w:line="240" w:lineRule="auto"/>
              <w:jc w:val="left"/>
            </w:pPr>
            <w:r/>
            <w:r>
              <w:rPr>
                <w:b w:val="0"/>
                <w:i w:val="0"/>
                <w:sz w:val="16"/>
              </w:rPr>
              <w:t>Appartement</w:t>
            </w:r>
          </w:p>
        </w:tc>
        <w:tc>
          <w:tcPr>
            <w:tcW w:type="dxa" w:w="1020"/>
            <w:vAlign w:val="center"/>
          </w:tcPr>
          <w:p>
            <w:pPr>
              <w:spacing w:after="0" w:line="240" w:lineRule="auto"/>
              <w:jc w:val="center"/>
            </w:pPr>
            <w:r/>
            <w:r>
              <w:rPr>
                <w:b w:val="0"/>
                <w:i w:val="0"/>
                <w:sz w:val="16"/>
              </w:rPr>
              <w:t>989</w:t>
            </w:r>
          </w:p>
        </w:tc>
        <w:tc>
          <w:tcPr>
            <w:tcW w:type="dxa" w:w="850"/>
            <w:vAlign w:val="center"/>
          </w:tcPr>
          <w:p>
            <w:pPr>
              <w:spacing w:after="0" w:line="240" w:lineRule="auto"/>
              <w:jc w:val="center"/>
            </w:pPr>
            <w:r/>
            <w:r>
              <w:rPr>
                <w:b w:val="0"/>
                <w:i w:val="0"/>
                <w:sz w:val="16"/>
              </w:rPr>
              <w:t>25,0</w:t>
            </w:r>
          </w:p>
        </w:tc>
        <w:tc>
          <w:tcPr>
            <w:tcW w:type="dxa" w:w="1474"/>
            <w:vAlign w:val="center"/>
          </w:tcPr>
          <w:p>
            <w:pPr>
              <w:spacing w:after="0" w:line="240" w:lineRule="auto"/>
              <w:jc w:val="center"/>
            </w:pPr>
            <w:r/>
            <w:r>
              <w:rPr>
                <w:b w:val="0"/>
                <w:i w:val="0"/>
                <w:sz w:val="16"/>
              </w:rPr>
              <w:t>525</w:t>
            </w:r>
          </w:p>
        </w:tc>
        <w:tc>
          <w:tcPr>
            <w:tcW w:type="dxa" w:w="1474"/>
            <w:vAlign w:val="center"/>
          </w:tcPr>
          <w:p>
            <w:pPr>
              <w:spacing w:after="0" w:line="240" w:lineRule="auto"/>
              <w:jc w:val="center"/>
            </w:pPr>
            <w:r/>
            <w:r>
              <w:rPr>
                <w:b w:val="0"/>
                <w:i w:val="0"/>
                <w:sz w:val="16"/>
              </w:rPr>
              <w:t>340</w:t>
            </w:r>
          </w:p>
        </w:tc>
      </w:tr>
      <w:tr>
        <w:trPr>
          <w:cantSplit/>
        </w:trPr>
        <w:tc>
          <w:tcPr>
            <w:tcW w:type="dxa" w:w="4195"/>
            <w:vAlign w:val="center"/>
          </w:tcPr>
          <w:p>
            <w:pPr>
              <w:spacing w:after="0" w:line="240" w:lineRule="auto"/>
              <w:jc w:val="left"/>
            </w:pPr>
            <w:r/>
            <w:r>
              <w:rPr>
                <w:b w:val="0"/>
                <w:i w:val="0"/>
                <w:sz w:val="16"/>
              </w:rPr>
              <w:t>Maison</w:t>
            </w:r>
          </w:p>
        </w:tc>
        <w:tc>
          <w:tcPr>
            <w:tcW w:type="dxa" w:w="1020"/>
            <w:vAlign w:val="center"/>
          </w:tcPr>
          <w:p>
            <w:pPr>
              <w:spacing w:after="0" w:line="240" w:lineRule="auto"/>
              <w:jc w:val="center"/>
            </w:pPr>
            <w:r/>
            <w:r>
              <w:rPr>
                <w:b w:val="0"/>
                <w:i w:val="0"/>
                <w:sz w:val="16"/>
              </w:rPr>
              <w:t>2 973</w:t>
            </w:r>
          </w:p>
        </w:tc>
        <w:tc>
          <w:tcPr>
            <w:tcW w:type="dxa" w:w="850"/>
            <w:vAlign w:val="center"/>
          </w:tcPr>
          <w:p>
            <w:pPr>
              <w:spacing w:after="0" w:line="240" w:lineRule="auto"/>
              <w:jc w:val="center"/>
            </w:pPr>
            <w:r/>
            <w:r>
              <w:rPr>
                <w:b w:val="0"/>
                <w:i w:val="0"/>
                <w:sz w:val="16"/>
              </w:rPr>
              <w:t>75,0</w:t>
            </w:r>
          </w:p>
        </w:tc>
        <w:tc>
          <w:tcPr>
            <w:tcW w:type="dxa" w:w="1474"/>
            <w:vAlign w:val="center"/>
          </w:tcPr>
          <w:p>
            <w:pPr>
              <w:spacing w:after="0" w:line="240" w:lineRule="auto"/>
              <w:jc w:val="center"/>
            </w:pPr>
            <w:r/>
            <w:r>
              <w:rPr>
                <w:b w:val="0"/>
                <w:i w:val="0"/>
                <w:sz w:val="16"/>
              </w:rPr>
              <w:t>745</w:t>
            </w:r>
          </w:p>
        </w:tc>
        <w:tc>
          <w:tcPr>
            <w:tcW w:type="dxa" w:w="1474"/>
            <w:vAlign w:val="center"/>
          </w:tcPr>
          <w:p>
            <w:pPr>
              <w:spacing w:after="0" w:line="240" w:lineRule="auto"/>
              <w:jc w:val="center"/>
            </w:pPr>
            <w:r/>
            <w:r>
              <w:rPr>
                <w:b w:val="0"/>
                <w:i w:val="0"/>
                <w:sz w:val="16"/>
              </w:rPr>
              <w:t>628</w:t>
            </w:r>
          </w:p>
        </w:tc>
      </w:tr>
      <w:tr>
        <w:trPr>
          <w:cantSplit/>
        </w:trPr>
        <w:tc>
          <w:tcPr>
            <w:tcW w:type="dxa" w:w="4195"/>
            <w:vAlign w:val="center"/>
          </w:tcPr>
          <w:p>
            <w:pPr>
              <w:spacing w:after="0" w:line="240" w:lineRule="auto"/>
              <w:jc w:val="left"/>
            </w:pPr>
            <w:r>
              <w:rPr>
                <w:b/>
              </w:rPr>
            </w:r>
            <w:r>
              <w:rPr>
                <w:b/>
                <w:i w:val="0"/>
                <w:sz w:val="16"/>
              </w:rPr>
              <w:t>Ensemble</w:t>
            </w:r>
          </w:p>
        </w:tc>
        <w:tc>
          <w:tcPr>
            <w:tcW w:type="dxa" w:w="1020"/>
            <w:vAlign w:val="center"/>
          </w:tcPr>
          <w:p>
            <w:pPr>
              <w:spacing w:after="0" w:line="240" w:lineRule="auto"/>
              <w:jc w:val="center"/>
            </w:pPr>
            <w:r>
              <w:rPr>
                <w:b/>
              </w:rPr>
            </w:r>
            <w:r>
              <w:rPr>
                <w:b/>
                <w:i w:val="0"/>
                <w:sz w:val="16"/>
              </w:rPr>
              <w:t>3 962</w:t>
            </w:r>
          </w:p>
        </w:tc>
        <w:tc>
          <w:tcPr>
            <w:tcW w:type="dxa" w:w="850"/>
            <w:vAlign w:val="center"/>
          </w:tcPr>
          <w:p>
            <w:pPr>
              <w:spacing w:after="0" w:line="240" w:lineRule="auto"/>
              <w:jc w:val="center"/>
            </w:pPr>
            <w:r>
              <w:rPr>
                <w:b/>
              </w:rPr>
            </w:r>
            <w:r>
              <w:rPr>
                <w:b/>
                <w:i w:val="0"/>
                <w:sz w:val="16"/>
              </w:rPr>
              <w:t>100,0</w:t>
            </w:r>
          </w:p>
        </w:tc>
        <w:tc>
          <w:tcPr>
            <w:tcW w:type="dxa" w:w="1474"/>
            <w:vAlign w:val="center"/>
          </w:tcPr>
          <w:p>
            <w:pPr>
              <w:spacing w:after="0" w:line="240" w:lineRule="auto"/>
              <w:jc w:val="center"/>
            </w:pPr>
            <w:r>
              <w:rPr>
                <w:b/>
              </w:rPr>
            </w:r>
            <w:r>
              <w:rPr>
                <w:b/>
                <w:i w:val="0"/>
                <w:sz w:val="16"/>
              </w:rPr>
              <w:t>690</w:t>
            </w:r>
          </w:p>
        </w:tc>
        <w:tc>
          <w:tcPr>
            <w:tcW w:type="dxa" w:w="1474"/>
            <w:vAlign w:val="center"/>
          </w:tcPr>
          <w:p>
            <w:pPr>
              <w:spacing w:after="0" w:line="240" w:lineRule="auto"/>
              <w:jc w:val="center"/>
            </w:pPr>
            <w:r>
              <w:rPr>
                <w:b/>
              </w:rPr>
            </w:r>
            <w:r>
              <w:rPr>
                <w:b/>
                <w:i w:val="0"/>
                <w:sz w:val="16"/>
              </w:rPr>
              <w:t>560</w:t>
            </w:r>
          </w:p>
        </w:tc>
      </w:tr>
    </w:tbl>
    <w:p>
      <w:pPr>
        <w:spacing w:after="200"/>
        <w:jc w:val="left"/>
      </w:pPr>
      <w:r>
        <w:rPr>
          <w:i/>
          <w:sz w:val="18"/>
        </w:rPr>
        <w:t>Source : INSEE, SRCV 2015 (base SRCV1_menage), échantillon de travail (3 962 ménages). Calculs des auteurs sous Stata. Commandes : tab1 revenu_tr statut plusieurs_credits autre_immo enfants csp uu maison ; tabstat credits, by(variable) statistics(n mean p50).</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5477"/>
                  <wp:docPr id="5" name="Picture 5"/>
                  <wp:cNvGraphicFramePr>
                    <a:graphicFrameLocks noChangeAspect="1"/>
                  </wp:cNvGraphicFramePr>
                  <a:graphic>
                    <a:graphicData uri="http://schemas.openxmlformats.org/drawingml/2006/picture">
                      <pic:pic>
                        <pic:nvPicPr>
                          <pic:cNvPr id="0" name="fig05_bar_revenu.png"/>
                          <pic:cNvPicPr/>
                        </pic:nvPicPr>
                        <pic:blipFill>
                          <a:blip r:embed="rId14"/>
                          <a:stretch>
                            <a:fillRect/>
                          </a:stretch>
                        </pic:blipFill>
                        <pic:spPr>
                          <a:xfrm>
                            <a:off x="0" y="0"/>
                            <a:ext cx="2682000" cy="1845477"/>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1843875"/>
                  <wp:docPr id="6" name="Picture 6"/>
                  <wp:cNvGraphicFramePr>
                    <a:graphicFrameLocks noChangeAspect="1"/>
                  </wp:cNvGraphicFramePr>
                  <a:graphic>
                    <a:graphicData uri="http://schemas.openxmlformats.org/drawingml/2006/picture">
                      <pic:pic>
                        <pic:nvPicPr>
                          <pic:cNvPr id="0" name="fig06_bar_statut.png"/>
                          <pic:cNvPicPr/>
                        </pic:nvPicPr>
                        <pic:blipFill>
                          <a:blip r:embed="rId15"/>
                          <a:stretch>
                            <a:fillRect/>
                          </a:stretch>
                        </pic:blipFill>
                        <pic:spPr>
                          <a:xfrm>
                            <a:off x="0" y="0"/>
                            <a:ext cx="2682000" cy="1843875"/>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5 – Revenu mensuel du ménage</w:t>
            </w:r>
          </w:p>
        </w:tc>
        <w:tc>
          <w:tcPr>
            <w:tcW w:type="dxa" w:w="4536"/>
            <w:vAlign w:val="center"/>
          </w:tcPr>
          <w:p>
            <w:pPr>
              <w:spacing w:after="0" w:line="240" w:lineRule="auto"/>
              <w:jc w:val="center"/>
            </w:pPr>
            <w:r/>
            <w:r>
              <w:rPr>
                <w:b/>
                <w:i w:val="0"/>
                <w:sz w:val="19"/>
              </w:rPr>
              <w:t>Figure 6 – Statut d’occupation du logement</w:t>
            </w:r>
          </w:p>
        </w:tc>
      </w:tr>
    </w:tbl>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3875"/>
                  <wp:docPr id="7" name="Picture 7"/>
                  <wp:cNvGraphicFramePr>
                    <a:graphicFrameLocks noChangeAspect="1"/>
                  </wp:cNvGraphicFramePr>
                  <a:graphic>
                    <a:graphicData uri="http://schemas.openxmlformats.org/drawingml/2006/picture">
                      <pic:pic>
                        <pic:nvPicPr>
                          <pic:cNvPr id="0" name="fig07_bar_enfants.png"/>
                          <pic:cNvPicPr/>
                        </pic:nvPicPr>
                        <pic:blipFill>
                          <a:blip r:embed="rId16"/>
                          <a:stretch>
                            <a:fillRect/>
                          </a:stretch>
                        </pic:blipFill>
                        <pic:spPr>
                          <a:xfrm>
                            <a:off x="0" y="0"/>
                            <a:ext cx="2682000" cy="1843875"/>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2095312"/>
                  <wp:docPr id="8" name="Picture 8"/>
                  <wp:cNvGraphicFramePr>
                    <a:graphicFrameLocks noChangeAspect="1"/>
                  </wp:cNvGraphicFramePr>
                  <a:graphic>
                    <a:graphicData uri="http://schemas.openxmlformats.org/drawingml/2006/picture">
                      <pic:pic>
                        <pic:nvPicPr>
                          <pic:cNvPr id="0" name="fig08_bar_csp.png"/>
                          <pic:cNvPicPr/>
                        </pic:nvPicPr>
                        <pic:blipFill>
                          <a:blip r:embed="rId17"/>
                          <a:stretch>
                            <a:fillRect/>
                          </a:stretch>
                        </pic:blipFill>
                        <pic:spPr>
                          <a:xfrm>
                            <a:off x="0" y="0"/>
                            <a:ext cx="2682000" cy="2095312"/>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7 – Nombre d’enfants</w:t>
            </w:r>
          </w:p>
        </w:tc>
        <w:tc>
          <w:tcPr>
            <w:tcW w:type="dxa" w:w="4536"/>
            <w:vAlign w:val="center"/>
          </w:tcPr>
          <w:p>
            <w:pPr>
              <w:spacing w:after="0" w:line="240" w:lineRule="auto"/>
              <w:jc w:val="center"/>
            </w:pPr>
            <w:r/>
            <w:r>
              <w:rPr>
                <w:b/>
                <w:i w:val="0"/>
                <w:sz w:val="19"/>
              </w:rPr>
              <w:t>Figure 8 – CSP de la personne de référence</w:t>
            </w:r>
          </w:p>
        </w:tc>
      </w:tr>
    </w:tbl>
    <w:p>
      <w:pPr>
        <w:keepNext/>
        <w:spacing w:after="0"/>
        <w:jc w:val="center"/>
      </w:pPr>
      <w:r>
        <w:drawing>
          <wp:inline xmlns:a="http://schemas.openxmlformats.org/drawingml/2006/main" xmlns:pic="http://schemas.openxmlformats.org/drawingml/2006/picture">
            <wp:extent cx="2682000" cy="1843875"/>
            <wp:docPr id="9" name="Picture 9"/>
            <wp:cNvGraphicFramePr>
              <a:graphicFrameLocks noChangeAspect="1"/>
            </wp:cNvGraphicFramePr>
            <a:graphic>
              <a:graphicData uri="http://schemas.openxmlformats.org/drawingml/2006/picture">
                <pic:pic>
                  <pic:nvPicPr>
                    <pic:cNvPr id="0" name="fig09_bar_uu.png"/>
                    <pic:cNvPicPr/>
                  </pic:nvPicPr>
                  <pic:blipFill>
                    <a:blip r:embed="rId18"/>
                    <a:stretch>
                      <a:fillRect/>
                    </a:stretch>
                  </pic:blipFill>
                  <pic:spPr>
                    <a:xfrm>
                      <a:off x="0" y="0"/>
                      <a:ext cx="2682000" cy="1843875"/>
                    </a:xfrm>
                    <a:prstGeom prst="rect"/>
                  </pic:spPr>
                </pic:pic>
              </a:graphicData>
            </a:graphic>
          </wp:inline>
        </w:drawing>
      </w:r>
    </w:p>
    <w:p>
      <w:pPr>
        <w:spacing w:after="40"/>
        <w:jc w:val="center"/>
      </w:pPr>
      <w:r>
        <w:rPr>
          <w:b/>
          <w:sz w:val="19"/>
        </w:rPr>
        <w:t>Figure 9 – Taille de l’unité urbaine</w:t>
      </w:r>
    </w:p>
    <w:p>
      <w:pPr>
        <w:spacing w:after="200"/>
        <w:jc w:val="left"/>
      </w:pPr>
      <w:r>
        <w:rPr>
          <w:i/>
          <w:sz w:val="18"/>
        </w:rPr>
        <w:t>Source : INSEE, SRCV 2015 (base SRCV1_menage), échantillon de travail (3 962 ménages). Calculs des auteurs sous Stata. Pas de graphique pour les variables binaires.</w:t>
      </w:r>
    </w:p>
    <w:p>
      <w:pPr>
        <w:jc w:val="both"/>
      </w:pPr>
      <w:r>
        <w:t>Chaque tranche de revenu regroupe plus de 10 % des ménages (figure 5), les plus fréquentes étant celles de 2 000 à 2 999 € et de 3 000 à 3 999 € (22,6 % et 22,3 %). Plus de la moitié des ménages (56,8 %) sont propriétaires accédants (figure 6) ; 29,0 % remboursent au moins deux crédits et 12,9 % un crédit pour un autre bien immobilier. 43,9 % des ménages n’ont pas d’enfant (figure 7). Les professions intermédiaires sont la CSP la plus fréquente (23,1 %), devant les retraités et inactifs (20,5 %), ce qui montre que l’endettement ne s’arrête pas à la retraite (figure 8). Enfin, 31,2 % des ménages vivent dans une commune rurale et 8,9 % dans l’agglomération parisienne (figure 9), et 75 % habitent une maison, ce qui reflète la forte part de propriétaires.</w:t>
      </w:r>
    </w:p>
    <w:p>
      <w:pPr>
        <w:pStyle w:val="Heading2"/>
      </w:pPr>
      <w:r>
        <w:t>4. Statistiques descriptives bivariées</w:t>
      </w:r>
    </w:p>
    <w:p>
      <w:pPr>
        <w:jc w:val="both"/>
      </w:pPr>
      <w:r>
        <w:t>Nous relions maintenant ln(CREDITS) à chaque variable explicative. Pour les variables qualitatives, les graphiques représentent les mensualités en euros, plus lisibles que leur logarithme.</w:t>
      </w:r>
    </w:p>
    <w:p>
      <w:pPr>
        <w:pStyle w:val="Heading3"/>
      </w:pPr>
      <w:r>
        <w:t>4.1. Variables explicatives continues</w:t>
      </w:r>
    </w:p>
    <w:p>
      <w:pPr>
        <w:keepNext/>
        <w:spacing w:after="60"/>
        <w:jc w:val="left"/>
      </w:pPr>
      <w:r>
        <w:rPr>
          <w:b/>
          <w:sz w:val="21"/>
        </w:rPr>
        <w:t>Tableau 9 – Corrélations avec le logarithme des mensualités</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3175"/>
        <w:gridCol w:w="1530"/>
        <w:gridCol w:w="1360"/>
        <w:gridCol w:w="1530"/>
        <w:gridCol w:w="1474"/>
      </w:tblGrid>
      <w:tr>
        <w:trPr>
          <w:cantSplit/>
          <w:tblHeader/>
        </w:trPr>
        <w:tc>
          <w:tcPr>
            <w:tcW w:type="dxa" w:w="3175"/>
            <w:shd w:val="clear" w:color="auto" w:fill="E8ECF2"/>
            <w:vAlign w:val="center"/>
          </w:tcPr>
          <w:p>
            <w:pPr>
              <w:keepNext/>
              <w:spacing w:after="0" w:line="240" w:lineRule="auto"/>
              <w:jc w:val="left"/>
            </w:pPr>
            <w:r/>
            <w:r>
              <w:rPr>
                <w:b/>
                <w:i w:val="0"/>
                <w:sz w:val="17"/>
              </w:rPr>
              <w:t>Variable</w:t>
            </w:r>
          </w:p>
        </w:tc>
        <w:tc>
          <w:tcPr>
            <w:tcW w:type="dxa" w:w="1530"/>
            <w:shd w:val="clear" w:color="auto" w:fill="E8ECF2"/>
            <w:vAlign w:val="center"/>
          </w:tcPr>
          <w:p>
            <w:pPr>
              <w:keepNext/>
              <w:spacing w:after="0" w:line="240" w:lineRule="auto"/>
              <w:jc w:val="center"/>
            </w:pPr>
            <w:r/>
            <w:r>
              <w:rPr>
                <w:b/>
                <w:i w:val="0"/>
                <w:sz w:val="17"/>
              </w:rPr>
              <w:t>Coefficient de corrélation</w:t>
            </w:r>
          </w:p>
        </w:tc>
        <w:tc>
          <w:tcPr>
            <w:tcW w:type="dxa" w:w="1360"/>
            <w:shd w:val="clear" w:color="auto" w:fill="E8ECF2"/>
            <w:vAlign w:val="center"/>
          </w:tcPr>
          <w:p>
            <w:pPr>
              <w:keepNext/>
              <w:spacing w:after="0" w:line="240" w:lineRule="auto"/>
              <w:jc w:val="center"/>
            </w:pPr>
            <w:r/>
            <w:r>
              <w:rPr>
                <w:b/>
                <w:i w:val="0"/>
                <w:sz w:val="17"/>
              </w:rPr>
              <w:t>Statistique t</w:t>
            </w:r>
          </w:p>
        </w:tc>
        <w:tc>
          <w:tcPr>
            <w:tcW w:type="dxa" w:w="1530"/>
            <w:shd w:val="clear" w:color="auto" w:fill="E8ECF2"/>
            <w:vAlign w:val="center"/>
          </w:tcPr>
          <w:p>
            <w:pPr>
              <w:keepNext/>
              <w:spacing w:after="0" w:line="240" w:lineRule="auto"/>
              <w:jc w:val="center"/>
            </w:pPr>
            <w:r/>
            <w:r>
              <w:rPr>
                <w:b/>
                <w:i w:val="0"/>
                <w:sz w:val="17"/>
              </w:rPr>
              <w:t>Probabilité critique</w:t>
            </w:r>
          </w:p>
        </w:tc>
        <w:tc>
          <w:tcPr>
            <w:tcW w:type="dxa" w:w="1474"/>
            <w:shd w:val="clear" w:color="auto" w:fill="E8ECF2"/>
            <w:vAlign w:val="center"/>
          </w:tcPr>
          <w:p>
            <w:pPr>
              <w:keepNext/>
              <w:spacing w:after="0" w:line="240" w:lineRule="auto"/>
              <w:jc w:val="center"/>
            </w:pPr>
            <w:r/>
            <w:r>
              <w:rPr>
                <w:b/>
                <w:i w:val="0"/>
                <w:sz w:val="17"/>
              </w:rPr>
              <w:t>Observations</w:t>
            </w:r>
          </w:p>
        </w:tc>
      </w:tr>
      <w:tr>
        <w:trPr>
          <w:cantSplit/>
        </w:trPr>
        <w:tc>
          <w:tcPr>
            <w:tcW w:type="dxa" w:w="3175"/>
            <w:vAlign w:val="center"/>
          </w:tcPr>
          <w:p>
            <w:pPr>
              <w:keepNext/>
              <w:spacing w:after="0" w:line="240" w:lineRule="auto"/>
              <w:jc w:val="left"/>
            </w:pPr>
            <w:r/>
            <w:r>
              <w:rPr>
                <w:b w:val="0"/>
                <w:i w:val="0"/>
                <w:sz w:val="17"/>
              </w:rPr>
              <w:t>Âge de la personne de référence</w:t>
            </w:r>
          </w:p>
        </w:tc>
        <w:tc>
          <w:tcPr>
            <w:tcW w:type="dxa" w:w="1530"/>
            <w:vAlign w:val="center"/>
          </w:tcPr>
          <w:p>
            <w:pPr>
              <w:keepNext/>
              <w:spacing w:after="0" w:line="240" w:lineRule="auto"/>
              <w:jc w:val="center"/>
            </w:pPr>
            <w:r/>
            <w:r>
              <w:rPr>
                <w:b w:val="0"/>
                <w:i w:val="0"/>
                <w:sz w:val="17"/>
              </w:rPr>
              <w:t>–0,222</w:t>
            </w:r>
          </w:p>
        </w:tc>
        <w:tc>
          <w:tcPr>
            <w:tcW w:type="dxa" w:w="1360"/>
            <w:vAlign w:val="center"/>
          </w:tcPr>
          <w:p>
            <w:pPr>
              <w:keepNext/>
              <w:spacing w:after="0" w:line="240" w:lineRule="auto"/>
              <w:jc w:val="center"/>
            </w:pPr>
            <w:r/>
            <w:r>
              <w:rPr>
                <w:b w:val="0"/>
                <w:i w:val="0"/>
                <w:sz w:val="17"/>
              </w:rPr>
              <w:t>–14,31</w:t>
            </w:r>
          </w:p>
        </w:tc>
        <w:tc>
          <w:tcPr>
            <w:tcW w:type="dxa" w:w="1530"/>
            <w:vAlign w:val="center"/>
          </w:tcPr>
          <w:p>
            <w:pPr>
              <w:keepNext/>
              <w:spacing w:after="0" w:line="240" w:lineRule="auto"/>
              <w:jc w:val="center"/>
            </w:pPr>
            <w:r/>
            <w:r>
              <w:rPr>
                <w:b w:val="0"/>
                <w:i w:val="0"/>
                <w:sz w:val="17"/>
              </w:rPr>
              <w:t>&lt; 0,001</w:t>
            </w:r>
          </w:p>
        </w:tc>
        <w:tc>
          <w:tcPr>
            <w:tcW w:type="dxa" w:w="1474"/>
            <w:vAlign w:val="center"/>
          </w:tcPr>
          <w:p>
            <w:pPr>
              <w:keepNext/>
              <w:spacing w:after="0" w:line="240" w:lineRule="auto"/>
              <w:jc w:val="center"/>
            </w:pPr>
            <w:r/>
            <w:r>
              <w:rPr>
                <w:b w:val="0"/>
                <w:i w:val="0"/>
                <w:sz w:val="17"/>
              </w:rPr>
              <w:t>3 962</w:t>
            </w:r>
          </w:p>
        </w:tc>
      </w:tr>
      <w:tr>
        <w:trPr>
          <w:cantSplit/>
        </w:trPr>
        <w:tc>
          <w:tcPr>
            <w:tcW w:type="dxa" w:w="3175"/>
            <w:vAlign w:val="center"/>
          </w:tcPr>
          <w:p>
            <w:pPr>
              <w:keepNext/>
              <w:spacing w:after="0" w:line="240" w:lineRule="auto"/>
              <w:jc w:val="left"/>
            </w:pPr>
            <w:r/>
            <w:r>
              <w:rPr>
                <w:b w:val="0"/>
                <w:i w:val="0"/>
                <w:sz w:val="17"/>
              </w:rPr>
              <w:t>Logarithme du revenu mensuel</w:t>
            </w:r>
          </w:p>
        </w:tc>
        <w:tc>
          <w:tcPr>
            <w:tcW w:type="dxa" w:w="1530"/>
            <w:vAlign w:val="center"/>
          </w:tcPr>
          <w:p>
            <w:pPr>
              <w:keepNext/>
              <w:spacing w:after="0" w:line="240" w:lineRule="auto"/>
              <w:jc w:val="center"/>
            </w:pPr>
            <w:r/>
            <w:r>
              <w:rPr>
                <w:b w:val="0"/>
                <w:i w:val="0"/>
                <w:sz w:val="17"/>
              </w:rPr>
              <w:t>0,551</w:t>
            </w:r>
          </w:p>
        </w:tc>
        <w:tc>
          <w:tcPr>
            <w:tcW w:type="dxa" w:w="1360"/>
            <w:vAlign w:val="center"/>
          </w:tcPr>
          <w:p>
            <w:pPr>
              <w:keepNext/>
              <w:spacing w:after="0" w:line="240" w:lineRule="auto"/>
              <w:jc w:val="center"/>
            </w:pPr>
            <w:r/>
            <w:r>
              <w:rPr>
                <w:b w:val="0"/>
                <w:i w:val="0"/>
                <w:sz w:val="17"/>
              </w:rPr>
              <w:t>39,06</w:t>
            </w:r>
          </w:p>
        </w:tc>
        <w:tc>
          <w:tcPr>
            <w:tcW w:type="dxa" w:w="1530"/>
            <w:vAlign w:val="center"/>
          </w:tcPr>
          <w:p>
            <w:pPr>
              <w:keepNext/>
              <w:spacing w:after="0" w:line="240" w:lineRule="auto"/>
              <w:jc w:val="center"/>
            </w:pPr>
            <w:r/>
            <w:r>
              <w:rPr>
                <w:b w:val="0"/>
                <w:i w:val="0"/>
                <w:sz w:val="17"/>
              </w:rPr>
              <w:t>&lt; 0,001</w:t>
            </w:r>
          </w:p>
        </w:tc>
        <w:tc>
          <w:tcPr>
            <w:tcW w:type="dxa" w:w="1474"/>
            <w:vAlign w:val="center"/>
          </w:tcPr>
          <w:p>
            <w:pPr>
              <w:keepNext/>
              <w:spacing w:after="0" w:line="240" w:lineRule="auto"/>
              <w:jc w:val="center"/>
            </w:pPr>
            <w:r/>
            <w:r>
              <w:rPr>
                <w:b w:val="0"/>
                <w:i w:val="0"/>
                <w:sz w:val="17"/>
              </w:rPr>
              <w:t>3 502</w:t>
            </w:r>
          </w:p>
        </w:tc>
      </w:tr>
    </w:tbl>
    <w:p>
      <w:pPr>
        <w:spacing w:after="200"/>
        <w:jc w:val="left"/>
      </w:pPr>
      <w:r>
        <w:rPr>
          <w:i/>
          <w:sz w:val="18"/>
        </w:rPr>
        <w:t>Source : INSEE, SRCV 2015 (base SRCV1_menage), échantillon de travail (3 962 ménages). Calculs des auteurs sous Stata. Commandes : pwcorr lncredits agepr, sig obs ; pwcorr lncredits lnrevenu, sig obs. La statistique t est calculée à la main.</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96410"/>
                  <wp:docPr id="10" name="Picture 10"/>
                  <wp:cNvGraphicFramePr>
                    <a:graphicFrameLocks noChangeAspect="1"/>
                  </wp:cNvGraphicFramePr>
                  <a:graphic>
                    <a:graphicData uri="http://schemas.openxmlformats.org/drawingml/2006/picture">
                      <pic:pic>
                        <pic:nvPicPr>
                          <pic:cNvPr id="0" name="fig10_age_lncredits.png"/>
                          <pic:cNvPicPr/>
                        </pic:nvPicPr>
                        <pic:blipFill>
                          <a:blip r:embed="rId19"/>
                          <a:stretch>
                            <a:fillRect/>
                          </a:stretch>
                        </pic:blipFill>
                        <pic:spPr>
                          <a:xfrm>
                            <a:off x="0" y="0"/>
                            <a:ext cx="2682000" cy="1896410"/>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1927688"/>
                  <wp:docPr id="11" name="Picture 11"/>
                  <wp:cNvGraphicFramePr>
                    <a:graphicFrameLocks noChangeAspect="1"/>
                  </wp:cNvGraphicFramePr>
                  <a:graphic>
                    <a:graphicData uri="http://schemas.openxmlformats.org/drawingml/2006/picture">
                      <pic:pic>
                        <pic:nvPicPr>
                          <pic:cNvPr id="0" name="fig11_revenu_lncredits.png"/>
                          <pic:cNvPicPr/>
                        </pic:nvPicPr>
                        <pic:blipFill>
                          <a:blip r:embed="rId20"/>
                          <a:stretch>
                            <a:fillRect/>
                          </a:stretch>
                        </pic:blipFill>
                        <pic:spPr>
                          <a:xfrm>
                            <a:off x="0" y="0"/>
                            <a:ext cx="2682000" cy="1927688"/>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10 – ln(mensualités) moyen selon l’âge</w:t>
            </w:r>
          </w:p>
        </w:tc>
        <w:tc>
          <w:tcPr>
            <w:tcW w:type="dxa" w:w="4536"/>
            <w:vAlign w:val="center"/>
          </w:tcPr>
          <w:p>
            <w:pPr>
              <w:spacing w:after="0" w:line="240" w:lineRule="auto"/>
              <w:jc w:val="center"/>
            </w:pPr>
            <w:r/>
            <w:r>
              <w:rPr>
                <w:b/>
                <w:i w:val="0"/>
                <w:sz w:val="19"/>
              </w:rPr>
              <w:t>Figure 11 – Mensualités et revenu (logarithmes)</w:t>
            </w:r>
          </w:p>
        </w:tc>
      </w:tr>
    </w:tbl>
    <w:p>
      <w:pPr>
        <w:spacing w:after="200"/>
        <w:jc w:val="left"/>
      </w:pPr>
      <w:r>
        <w:rPr>
          <w:i/>
          <w:sz w:val="18"/>
        </w:rPr>
        <w:t>Source : INSEE, SRCV 2015 (base SRCV1_menage), échantillon de travail (3 962 ménages). Calculs des auteurs sous Stata. Figure 11 : 3 502 ménages ayant déclaré leur revenu. Droites ajustées sur les données individuelles.</w:t>
      </w:r>
    </w:p>
    <w:p>
      <w:pPr>
        <w:jc w:val="both"/>
      </w:pPr>
      <w:r>
        <w:rPr>
          <w:b/>
        </w:rPr>
        <w:t>Âge.</w:t>
      </w:r>
      <w:r>
        <w:t xml:space="preserve"> La corrélation vaut –0,222. Pour tester H0 : ρ = 0, la statistique t = r√(n – 2) / √(1 – r²) = –0,222 × √3 960 / √(1 – 0,222²) ≈ –14,31 suit une loi de Student à 3 960 degrés de liberté ; en valeur absolue, elle dépasse largement 1,96 (seuil de 5 %) : </w:t>
      </w:r>
      <w:r>
        <w:rPr>
          <w:b/>
        </w:rPr>
        <w:t>la corrélation est significativement négative</w:t>
      </w:r>
      <w:r>
        <w:t xml:space="preserve">. La figure 10 montre toutefois une relation non linéaire : le logarithme moyen des mensualités augmente fortement jusqu’à 35 ans, reste élevé jusqu’à 50 ans environ, puis diminue. La droite représente mal ce profil en cloche, conforme au cycle de vie, alors que l’ajustement quadratique le suit bien : </w:t>
      </w:r>
      <w:r>
        <w:rPr>
          <w:b/>
        </w:rPr>
        <w:t>l’âge entrera dans le modèle avec son carré</w:t>
      </w:r>
      <w:r>
        <w:t>.</w:t>
      </w:r>
    </w:p>
    <w:p>
      <w:pPr>
        <w:jc w:val="both"/>
      </w:pPr>
      <w:r>
        <w:rPr>
          <w:b/>
        </w:rPr>
        <w:t>Revenu.</w:t>
      </w:r>
      <w:r>
        <w:t xml:space="preserve"> La corrélation entre ln(CREDITS) et ln(revenu) vaut 0,551 (t ≈ 39,06), la plus forte de nos variables. La relation entre les deux logarithmes est à peu près linéaire (figure 11), ce qui suggère une élasticité constante. Pour garder les 460 ménages sans revenu déclaré, nous utiliserons cependant les tranches : la mensualité moyenne y croît régulièrement, de 294 € à 1 277 € (figure 12), à peu près proportionnellement au revenu. Celle des non-déclarants (787 €) se situe entre la 3e et la 4e tranche : ces ménages ne sont pas particulièrement modestes, et les supprimer aurait pu biaiser l’échantillon.</w:t>
      </w:r>
    </w:p>
    <w:p>
      <w:pPr>
        <w:pStyle w:val="Heading3"/>
      </w:pPr>
      <w:r>
        <w:t>4.2. Variables explicatives qualitatives</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3875"/>
                  <wp:docPr id="12" name="Picture 12"/>
                  <wp:cNvGraphicFramePr>
                    <a:graphicFrameLocks noChangeAspect="1"/>
                  </wp:cNvGraphicFramePr>
                  <a:graphic>
                    <a:graphicData uri="http://schemas.openxmlformats.org/drawingml/2006/picture">
                      <pic:pic>
                        <pic:nvPicPr>
                          <pic:cNvPr id="0" name="fig12_moy_revenu.png"/>
                          <pic:cNvPicPr/>
                        </pic:nvPicPr>
                        <pic:blipFill>
                          <a:blip r:embed="rId21"/>
                          <a:stretch>
                            <a:fillRect/>
                          </a:stretch>
                        </pic:blipFill>
                        <pic:spPr>
                          <a:xfrm>
                            <a:off x="0" y="0"/>
                            <a:ext cx="2682000" cy="1843875"/>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1845477"/>
                  <wp:docPr id="13" name="Picture 13"/>
                  <wp:cNvGraphicFramePr>
                    <a:graphicFrameLocks noChangeAspect="1"/>
                  </wp:cNvGraphicFramePr>
                  <a:graphic>
                    <a:graphicData uri="http://schemas.openxmlformats.org/drawingml/2006/picture">
                      <pic:pic>
                        <pic:nvPicPr>
                          <pic:cNvPr id="0" name="fig13_moy_statut.png"/>
                          <pic:cNvPicPr/>
                        </pic:nvPicPr>
                        <pic:blipFill>
                          <a:blip r:embed="rId22"/>
                          <a:stretch>
                            <a:fillRect/>
                          </a:stretch>
                        </pic:blipFill>
                        <pic:spPr>
                          <a:xfrm>
                            <a:off x="0" y="0"/>
                            <a:ext cx="2682000" cy="1845477"/>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12 – Selon le revenu</w:t>
            </w:r>
          </w:p>
        </w:tc>
        <w:tc>
          <w:tcPr>
            <w:tcW w:type="dxa" w:w="4536"/>
            <w:vAlign w:val="center"/>
          </w:tcPr>
          <w:p>
            <w:pPr>
              <w:spacing w:after="0" w:line="240" w:lineRule="auto"/>
              <w:jc w:val="center"/>
            </w:pPr>
            <w:r/>
            <w:r>
              <w:rPr>
                <w:b/>
                <w:i w:val="0"/>
                <w:sz w:val="19"/>
              </w:rPr>
              <w:t>Figure 13 – Selon le statut d’occupation</w:t>
            </w:r>
          </w:p>
        </w:tc>
      </w:tr>
    </w:tbl>
    <w:tbl>
      <w:tblPr>
        <w:tblW w:type="dxa" w:w="9072"/>
        <w:jc w:val="center"/>
        <w:tblLook w:firstColumn="1" w:firstRow="1" w:lastColumn="0" w:lastRow="0" w:noHBand="0" w:noVBand="1" w:val="04A0"/>
      </w:tblPr>
      <w:tblGrid>
        <w:gridCol w:w="3022"/>
        <w:gridCol w:w="3022"/>
        <w:gridCol w:w="3027"/>
      </w:tblGrid>
      <w:tr>
        <w:trPr>
          <w:cantSplit/>
        </w:trPr>
        <w:tc>
          <w:tcPr>
            <w:tcW w:type="dxa" w:w="3022"/>
          </w:tcPr>
          <w:p>
            <w:pPr>
              <w:keepNext/>
              <w:spacing w:after="0"/>
              <w:jc w:val="center"/>
            </w:pPr>
            <w:r>
              <w:drawing>
                <wp:inline xmlns:a="http://schemas.openxmlformats.org/drawingml/2006/main" xmlns:pic="http://schemas.openxmlformats.org/drawingml/2006/picture">
                  <wp:extent cx="1745999" cy="1610632"/>
                  <wp:docPr id="14" name="Picture 14"/>
                  <wp:cNvGraphicFramePr>
                    <a:graphicFrameLocks noChangeAspect="1"/>
                  </wp:cNvGraphicFramePr>
                  <a:graphic>
                    <a:graphicData uri="http://schemas.openxmlformats.org/drawingml/2006/picture">
                      <pic:pic>
                        <pic:nvPicPr>
                          <pic:cNvPr id="0" name="fig14_moy_nbcredits.png"/>
                          <pic:cNvPicPr/>
                        </pic:nvPicPr>
                        <pic:blipFill>
                          <a:blip r:embed="rId23"/>
                          <a:stretch>
                            <a:fillRect/>
                          </a:stretch>
                        </pic:blipFill>
                        <pic:spPr>
                          <a:xfrm>
                            <a:off x="0" y="0"/>
                            <a:ext cx="1745999" cy="1610632"/>
                          </a:xfrm>
                          <a:prstGeom prst="rect"/>
                        </pic:spPr>
                      </pic:pic>
                    </a:graphicData>
                  </a:graphic>
                </wp:inline>
              </w:drawing>
            </w:r>
          </w:p>
        </w:tc>
        <w:tc>
          <w:tcPr>
            <w:tcW w:type="dxa" w:w="3022"/>
          </w:tcPr>
          <w:p>
            <w:pPr>
              <w:keepNext/>
              <w:spacing w:after="0"/>
              <w:jc w:val="center"/>
            </w:pPr>
            <w:r>
              <w:drawing>
                <wp:inline xmlns:a="http://schemas.openxmlformats.org/drawingml/2006/main" xmlns:pic="http://schemas.openxmlformats.org/drawingml/2006/picture">
                  <wp:extent cx="1745999" cy="1610632"/>
                  <wp:docPr id="15" name="Picture 15"/>
                  <wp:cNvGraphicFramePr>
                    <a:graphicFrameLocks noChangeAspect="1"/>
                  </wp:cNvGraphicFramePr>
                  <a:graphic>
                    <a:graphicData uri="http://schemas.openxmlformats.org/drawingml/2006/picture">
                      <pic:pic>
                        <pic:nvPicPr>
                          <pic:cNvPr id="0" name="fig15_moy_autreimmo.png"/>
                          <pic:cNvPicPr/>
                        </pic:nvPicPr>
                        <pic:blipFill>
                          <a:blip r:embed="rId24"/>
                          <a:stretch>
                            <a:fillRect/>
                          </a:stretch>
                        </pic:blipFill>
                        <pic:spPr>
                          <a:xfrm>
                            <a:off x="0" y="0"/>
                            <a:ext cx="1745999" cy="1610632"/>
                          </a:xfrm>
                          <a:prstGeom prst="rect"/>
                        </pic:spPr>
                      </pic:pic>
                    </a:graphicData>
                  </a:graphic>
                </wp:inline>
              </w:drawing>
            </w:r>
          </w:p>
        </w:tc>
        <w:tc>
          <w:tcPr>
            <w:tcW w:type="dxa" w:w="3027"/>
          </w:tcPr>
          <w:p>
            <w:pPr>
              <w:keepNext/>
              <w:spacing w:after="0"/>
              <w:jc w:val="center"/>
            </w:pPr>
            <w:r>
              <w:drawing>
                <wp:inline xmlns:a="http://schemas.openxmlformats.org/drawingml/2006/main" xmlns:pic="http://schemas.openxmlformats.org/drawingml/2006/picture">
                  <wp:extent cx="1745999" cy="1610632"/>
                  <wp:docPr id="16" name="Picture 16"/>
                  <wp:cNvGraphicFramePr>
                    <a:graphicFrameLocks noChangeAspect="1"/>
                  </wp:cNvGraphicFramePr>
                  <a:graphic>
                    <a:graphicData uri="http://schemas.openxmlformats.org/drawingml/2006/picture">
                      <pic:pic>
                        <pic:nvPicPr>
                          <pic:cNvPr id="0" name="fig16_moy_logement.png"/>
                          <pic:cNvPicPr/>
                        </pic:nvPicPr>
                        <pic:blipFill>
                          <a:blip r:embed="rId25"/>
                          <a:stretch>
                            <a:fillRect/>
                          </a:stretch>
                        </pic:blipFill>
                        <pic:spPr>
                          <a:xfrm>
                            <a:off x="0" y="0"/>
                            <a:ext cx="1745999" cy="1610632"/>
                          </a:xfrm>
                          <a:prstGeom prst="rect"/>
                        </pic:spPr>
                      </pic:pic>
                    </a:graphicData>
                  </a:graphic>
                </wp:inline>
              </w:drawing>
            </w:r>
          </w:p>
        </w:tc>
      </w:tr>
      <w:tr>
        <w:trPr>
          <w:cantSplit/>
        </w:trPr>
        <w:tc>
          <w:tcPr>
            <w:tcW w:type="dxa" w:w="3022"/>
            <w:vAlign w:val="center"/>
          </w:tcPr>
          <w:p>
            <w:pPr>
              <w:spacing w:after="0" w:line="240" w:lineRule="auto"/>
              <w:jc w:val="center"/>
            </w:pPr>
            <w:r/>
            <w:r>
              <w:rPr>
                <w:b/>
                <w:i w:val="0"/>
                <w:sz w:val="18"/>
              </w:rPr>
              <w:t>Figure 14 – Selon le nombre de crédits</w:t>
            </w:r>
          </w:p>
        </w:tc>
        <w:tc>
          <w:tcPr>
            <w:tcW w:type="dxa" w:w="3022"/>
            <w:vAlign w:val="center"/>
          </w:tcPr>
          <w:p>
            <w:pPr>
              <w:spacing w:after="0" w:line="240" w:lineRule="auto"/>
              <w:jc w:val="center"/>
            </w:pPr>
            <w:r/>
            <w:r>
              <w:rPr>
                <w:b/>
                <w:i w:val="0"/>
                <w:sz w:val="18"/>
              </w:rPr>
              <w:t>Figure 15 – Selon l’existence d’un crédit pour un autre bien immobilier</w:t>
            </w:r>
          </w:p>
        </w:tc>
        <w:tc>
          <w:tcPr>
            <w:tcW w:type="dxa" w:w="3027"/>
            <w:vAlign w:val="center"/>
          </w:tcPr>
          <w:p>
            <w:pPr>
              <w:spacing w:after="0" w:line="240" w:lineRule="auto"/>
              <w:jc w:val="center"/>
            </w:pPr>
            <w:r/>
            <w:r>
              <w:rPr>
                <w:b/>
                <w:i w:val="0"/>
                <w:sz w:val="18"/>
              </w:rPr>
              <w:t>Figure 16 – Selon le type de logement</w:t>
            </w:r>
          </w:p>
        </w:tc>
      </w:tr>
    </w:tbl>
    <w:p>
      <w:pPr>
        <w:spacing w:after="200"/>
        <w:jc w:val="left"/>
      </w:pPr>
      <w:r>
        <w:rPr>
          <w:i/>
          <w:sz w:val="18"/>
        </w:rPr>
        <w:t>Source : INSEE, SRCV 2015 (base SRCV1_menage), échantillon de travail (3 962 ménages). Calculs des auteurs sous Stata. Mensualité moyenne en euros.</w:t>
      </w:r>
    </w:p>
    <w:p>
      <w:pPr>
        <w:jc w:val="both"/>
      </w:pPr>
      <w:r>
        <w:t xml:space="preserve">L’écart le plus net concerne le </w:t>
      </w:r>
      <w:r>
        <w:rPr>
          <w:b/>
        </w:rPr>
        <w:t>statut d’occupation</w:t>
      </w:r>
      <w:r>
        <w:t xml:space="preserve"> (figure 13) : 900 € par mois en moyenne pour les accédants, contre 529 € pour les propriétaires non accédants et 328 € pour les locataires. Les ménages qui ont </w:t>
      </w:r>
      <w:r>
        <w:rPr>
          <w:b/>
        </w:rPr>
        <w:t>au moins deux crédits</w:t>
      </w:r>
      <w:r>
        <w:t xml:space="preserve"> remboursent presque deux fois plus que les autres (1 028 € contre 552 €), et ceux qui ont un </w:t>
      </w:r>
      <w:r>
        <w:rPr>
          <w:b/>
        </w:rPr>
        <w:t>crédit pour un autre bien immobilier</w:t>
      </w:r>
      <w:r>
        <w:t xml:space="preserve"> 1 135 € contre 624 € (figures 14 et 15). Les ménages vivant dans une </w:t>
      </w:r>
      <w:r>
        <w:rPr>
          <w:b/>
        </w:rPr>
        <w:t>maison</w:t>
      </w:r>
      <w:r>
        <w:t xml:space="preserve"> remboursent aussi davantage (745 € contre 525 €, figure 16), en partie parce qu’ils sont plus souvent accédants (65 % contre 33 % en appartement).</w:t>
      </w:r>
    </w:p>
    <w:tbl>
      <w:tblPr>
        <w:tblW w:type="dxa" w:w="9072"/>
        <w:jc w:val="center"/>
        <w:tblLook w:firstColumn="1" w:firstRow="1" w:lastColumn="0" w:lastRow="0" w:noHBand="0" w:noVBand="1" w:val="04A0"/>
      </w:tblPr>
      <w:tblGrid>
        <w:gridCol w:w="4536"/>
        <w:gridCol w:w="4536"/>
      </w:tblGrid>
      <w:tr>
        <w:trPr>
          <w:cantSplit/>
        </w:trPr>
        <w:tc>
          <w:tcPr>
            <w:tcW w:type="dxa" w:w="4536"/>
          </w:tcPr>
          <w:p>
            <w:pPr>
              <w:keepNext/>
              <w:spacing w:after="0"/>
              <w:jc w:val="center"/>
            </w:pPr>
            <w:r>
              <w:drawing>
                <wp:inline xmlns:a="http://schemas.openxmlformats.org/drawingml/2006/main" xmlns:pic="http://schemas.openxmlformats.org/drawingml/2006/picture">
                  <wp:extent cx="2682000" cy="1845477"/>
                  <wp:docPr id="17" name="Picture 17"/>
                  <wp:cNvGraphicFramePr>
                    <a:graphicFrameLocks noChangeAspect="1"/>
                  </wp:cNvGraphicFramePr>
                  <a:graphic>
                    <a:graphicData uri="http://schemas.openxmlformats.org/drawingml/2006/picture">
                      <pic:pic>
                        <pic:nvPicPr>
                          <pic:cNvPr id="0" name="fig17_moy_enfants.png"/>
                          <pic:cNvPicPr/>
                        </pic:nvPicPr>
                        <pic:blipFill>
                          <a:blip r:embed="rId26"/>
                          <a:stretch>
                            <a:fillRect/>
                          </a:stretch>
                        </pic:blipFill>
                        <pic:spPr>
                          <a:xfrm>
                            <a:off x="0" y="0"/>
                            <a:ext cx="2682000" cy="1845477"/>
                          </a:xfrm>
                          <a:prstGeom prst="rect"/>
                        </pic:spPr>
                      </pic:pic>
                    </a:graphicData>
                  </a:graphic>
                </wp:inline>
              </w:drawing>
            </w:r>
          </w:p>
        </w:tc>
        <w:tc>
          <w:tcPr>
            <w:tcW w:type="dxa" w:w="4536"/>
          </w:tcPr>
          <w:p>
            <w:pPr>
              <w:keepNext/>
              <w:spacing w:after="0"/>
              <w:jc w:val="center"/>
            </w:pPr>
            <w:r>
              <w:drawing>
                <wp:inline xmlns:a="http://schemas.openxmlformats.org/drawingml/2006/main" xmlns:pic="http://schemas.openxmlformats.org/drawingml/2006/picture">
                  <wp:extent cx="2682000" cy="2095312"/>
                  <wp:docPr id="18" name="Picture 18"/>
                  <wp:cNvGraphicFramePr>
                    <a:graphicFrameLocks noChangeAspect="1"/>
                  </wp:cNvGraphicFramePr>
                  <a:graphic>
                    <a:graphicData uri="http://schemas.openxmlformats.org/drawingml/2006/picture">
                      <pic:pic>
                        <pic:nvPicPr>
                          <pic:cNvPr id="0" name="fig18_moy_csp.png"/>
                          <pic:cNvPicPr/>
                        </pic:nvPicPr>
                        <pic:blipFill>
                          <a:blip r:embed="rId27"/>
                          <a:stretch>
                            <a:fillRect/>
                          </a:stretch>
                        </pic:blipFill>
                        <pic:spPr>
                          <a:xfrm>
                            <a:off x="0" y="0"/>
                            <a:ext cx="2682000" cy="2095312"/>
                          </a:xfrm>
                          <a:prstGeom prst="rect"/>
                        </pic:spPr>
                      </pic:pic>
                    </a:graphicData>
                  </a:graphic>
                </wp:inline>
              </w:drawing>
            </w:r>
          </w:p>
        </w:tc>
      </w:tr>
      <w:tr>
        <w:trPr>
          <w:cantSplit/>
        </w:trPr>
        <w:tc>
          <w:tcPr>
            <w:tcW w:type="dxa" w:w="4536"/>
            <w:vAlign w:val="center"/>
          </w:tcPr>
          <w:p>
            <w:pPr>
              <w:spacing w:after="0" w:line="240" w:lineRule="auto"/>
              <w:jc w:val="center"/>
            </w:pPr>
            <w:r/>
            <w:r>
              <w:rPr>
                <w:b/>
                <w:i w:val="0"/>
                <w:sz w:val="19"/>
              </w:rPr>
              <w:t>Figure 17 – Selon le nombre d’enfants</w:t>
            </w:r>
          </w:p>
        </w:tc>
        <w:tc>
          <w:tcPr>
            <w:tcW w:type="dxa" w:w="4536"/>
            <w:vAlign w:val="center"/>
          </w:tcPr>
          <w:p>
            <w:pPr>
              <w:spacing w:after="0" w:line="240" w:lineRule="auto"/>
              <w:jc w:val="center"/>
            </w:pPr>
            <w:r/>
            <w:r>
              <w:rPr>
                <w:b/>
                <w:i w:val="0"/>
                <w:sz w:val="19"/>
              </w:rPr>
              <w:t>Figure 18 – Selon la CSP</w:t>
            </w:r>
          </w:p>
        </w:tc>
      </w:tr>
    </w:tbl>
    <w:p>
      <w:pPr>
        <w:keepNext/>
        <w:spacing w:after="0"/>
        <w:jc w:val="center"/>
      </w:pPr>
      <w:r>
        <w:drawing>
          <wp:inline xmlns:a="http://schemas.openxmlformats.org/drawingml/2006/main" xmlns:pic="http://schemas.openxmlformats.org/drawingml/2006/picture">
            <wp:extent cx="2682000" cy="1820175"/>
            <wp:docPr id="19" name="Picture 19"/>
            <wp:cNvGraphicFramePr>
              <a:graphicFrameLocks noChangeAspect="1"/>
            </wp:cNvGraphicFramePr>
            <a:graphic>
              <a:graphicData uri="http://schemas.openxmlformats.org/drawingml/2006/picture">
                <pic:pic>
                  <pic:nvPicPr>
                    <pic:cNvPr id="0" name="fig19_moy_uu.png"/>
                    <pic:cNvPicPr/>
                  </pic:nvPicPr>
                  <pic:blipFill>
                    <a:blip r:embed="rId28"/>
                    <a:stretch>
                      <a:fillRect/>
                    </a:stretch>
                  </pic:blipFill>
                  <pic:spPr>
                    <a:xfrm>
                      <a:off x="0" y="0"/>
                      <a:ext cx="2682000" cy="1820175"/>
                    </a:xfrm>
                    <a:prstGeom prst="rect"/>
                  </pic:spPr>
                </pic:pic>
              </a:graphicData>
            </a:graphic>
          </wp:inline>
        </w:drawing>
      </w:r>
    </w:p>
    <w:p>
      <w:pPr>
        <w:spacing w:after="40"/>
        <w:jc w:val="center"/>
      </w:pPr>
      <w:r>
        <w:rPr>
          <w:b/>
          <w:sz w:val="19"/>
        </w:rPr>
        <w:t>Figure 19 – Selon la taille de l’unité urbaine</w:t>
      </w:r>
    </w:p>
    <w:p>
      <w:pPr>
        <w:spacing w:after="200"/>
        <w:jc w:val="left"/>
      </w:pPr>
      <w:r>
        <w:rPr>
          <w:i/>
          <w:sz w:val="18"/>
        </w:rPr>
        <w:t>Source : INSEE, SRCV 2015 (base SRCV1_menage), échantillon de travail (3 962 ménages). Calculs des auteurs sous Stata. Mensualité moyenne en euros.</w:t>
      </w:r>
    </w:p>
    <w:p>
      <w:pPr>
        <w:jc w:val="both"/>
      </w:pPr>
      <w:r>
        <w:t xml:space="preserve">La mensualité augmente avec le </w:t>
      </w:r>
      <w:r>
        <w:rPr>
          <w:b/>
        </w:rPr>
        <w:t>nombre d’enfants</w:t>
      </w:r>
      <w:r>
        <w:t xml:space="preserve">, de 528 € sans enfant à 930 € avec trois enfants ou plus (figure 17). Ce lien reflète en partie l’âge et l’accession à la propriété : les ménages sans enfant sont plus âgés (54,7 ans en moyenne, contre 42,5 ans pour ceux qui ont deux enfants) et moins souvent accédants (44 % contre 74 %). Selon la </w:t>
      </w:r>
      <w:r>
        <w:rPr>
          <w:b/>
        </w:rPr>
        <w:t>CSP</w:t>
      </w:r>
      <w:r>
        <w:t xml:space="preserve"> (figure 18), les cadres (1 075 €) et les indépendants (955 €) remboursent le plus et les retraités et inactifs le moins (408 €), ce qui suit la hiérarchie des revenus et le cycle de vie. Enfin, le lien avec la </w:t>
      </w:r>
      <w:r>
        <w:rPr>
          <w:b/>
        </w:rPr>
        <w:t>taille de l’unité urbaine</w:t>
      </w:r>
      <w:r>
        <w:t xml:space="preserve"> n’est pas monotone (figure 19) : les mensualités sont proches entre communes rurales et villes de province (de 627 à 695 €), mais nettement plus élevées dans l’agglomération parisienne (914 €), où l’immobilier est le plus cher. Nous garderons donc cette variable sous forme d’indicatrices.</w:t>
      </w:r>
    </w:p>
    <w:p>
      <w:pPr>
        <w:pStyle w:val="Heading2"/>
      </w:pPr>
      <w:r>
        <w:t>5. Synthèse</w:t>
      </w:r>
    </w:p>
    <w:p>
      <w:pPr>
        <w:keepNext/>
        <w:spacing w:after="60"/>
        <w:jc w:val="left"/>
      </w:pPr>
      <w:r>
        <w:rPr>
          <w:b/>
          <w:sz w:val="21"/>
        </w:rPr>
        <w:t>Tableau 10 – Liens observés et formes retenues pour le modèle</w:t>
      </w:r>
    </w:p>
    <w:tbl>
      <w:tblPr>
        <w:tblW w:type="dxa" w:w="9072"/>
        <w:jc w:val="center"/>
        <w:tblBorders>
          <w:top w:val="single" w:sz="6" w:color="1F3A68"/>
          <w:left w:val="nil"/>
          <w:bottom w:val="single" w:sz="6" w:color="1F3A68"/>
          <w:right w:val="nil"/>
          <w:insideH w:val="single" w:sz="2" w:color="7F8A99"/>
          <w:insideV w:val="nil"/>
        </w:tblBorders>
        <w:tblLayout w:type="fixed"/>
        <w:tblLook w:firstColumn="1" w:firstRow="1" w:lastColumn="0" w:lastRow="0" w:noHBand="0" w:noVBand="1" w:val="04A0"/>
      </w:tblPr>
      <w:tblGrid>
        <w:gridCol w:w="2721"/>
        <w:gridCol w:w="3742"/>
        <w:gridCol w:w="2608"/>
      </w:tblGrid>
      <w:tr>
        <w:trPr>
          <w:cantSplit/>
          <w:tblHeader/>
        </w:trPr>
        <w:tc>
          <w:tcPr>
            <w:tcW w:type="dxa" w:w="2721"/>
            <w:shd w:val="clear" w:color="auto" w:fill="E8ECF2"/>
            <w:vAlign w:val="center"/>
          </w:tcPr>
          <w:p>
            <w:pPr>
              <w:keepNext/>
              <w:spacing w:after="0" w:line="240" w:lineRule="auto"/>
              <w:jc w:val="left"/>
            </w:pPr>
            <w:r/>
            <w:r>
              <w:rPr>
                <w:b/>
                <w:i w:val="0"/>
                <w:sz w:val="17"/>
              </w:rPr>
              <w:t>Variable</w:t>
            </w:r>
          </w:p>
        </w:tc>
        <w:tc>
          <w:tcPr>
            <w:tcW w:type="dxa" w:w="3742"/>
            <w:shd w:val="clear" w:color="auto" w:fill="E8ECF2"/>
            <w:vAlign w:val="center"/>
          </w:tcPr>
          <w:p>
            <w:pPr>
              <w:keepNext/>
              <w:spacing w:after="0" w:line="240" w:lineRule="auto"/>
              <w:jc w:val="center"/>
            </w:pPr>
            <w:r/>
            <w:r>
              <w:rPr>
                <w:b/>
                <w:i w:val="0"/>
                <w:sz w:val="17"/>
              </w:rPr>
              <w:t>Lien observé avec les mensualités</w:t>
            </w:r>
          </w:p>
        </w:tc>
        <w:tc>
          <w:tcPr>
            <w:tcW w:type="dxa" w:w="2608"/>
            <w:shd w:val="clear" w:color="auto" w:fill="E8ECF2"/>
            <w:vAlign w:val="center"/>
          </w:tcPr>
          <w:p>
            <w:pPr>
              <w:keepNext/>
              <w:spacing w:after="0" w:line="240" w:lineRule="auto"/>
              <w:jc w:val="center"/>
            </w:pPr>
            <w:r/>
            <w:r>
              <w:rPr>
                <w:b/>
                <w:i w:val="0"/>
                <w:sz w:val="17"/>
              </w:rPr>
              <w:t>Forme retenue</w:t>
            </w:r>
          </w:p>
        </w:tc>
      </w:tr>
      <w:tr>
        <w:trPr>
          <w:cantSplit/>
        </w:trPr>
        <w:tc>
          <w:tcPr>
            <w:tcW w:type="dxa" w:w="2721"/>
            <w:vAlign w:val="center"/>
          </w:tcPr>
          <w:p>
            <w:pPr>
              <w:keepNext/>
              <w:spacing w:after="0" w:line="240" w:lineRule="auto"/>
              <w:jc w:val="left"/>
            </w:pPr>
            <w:r/>
            <w:r>
              <w:rPr>
                <w:b w:val="0"/>
                <w:i w:val="0"/>
                <w:sz w:val="17"/>
              </w:rPr>
              <w:t>Revenu mensuel du ménage</w:t>
            </w:r>
          </w:p>
        </w:tc>
        <w:tc>
          <w:tcPr>
            <w:tcW w:type="dxa" w:w="3742"/>
            <w:vAlign w:val="center"/>
          </w:tcPr>
          <w:p>
            <w:pPr>
              <w:keepNext/>
              <w:spacing w:after="0" w:line="240" w:lineRule="auto"/>
              <w:jc w:val="left"/>
            </w:pPr>
            <w:r/>
            <w:r>
              <w:rPr>
                <w:b w:val="0"/>
                <w:i w:val="0"/>
                <w:sz w:val="17"/>
              </w:rPr>
              <w:t>Croissant et régulier ; corrélation de 0,55 en logarithmes</w:t>
            </w:r>
          </w:p>
        </w:tc>
        <w:tc>
          <w:tcPr>
            <w:tcW w:type="dxa" w:w="2608"/>
            <w:vAlign w:val="center"/>
          </w:tcPr>
          <w:p>
            <w:pPr>
              <w:keepNext/>
              <w:spacing w:after="0" w:line="240" w:lineRule="auto"/>
              <w:jc w:val="left"/>
            </w:pPr>
            <w:r/>
            <w:r>
              <w:rPr>
                <w:b w:val="0"/>
                <w:i w:val="0"/>
                <w:sz w:val="17"/>
              </w:rPr>
              <w:t>Indicatrices de tranches, dont « non déclaré »</w:t>
            </w:r>
          </w:p>
        </w:tc>
      </w:tr>
      <w:tr>
        <w:trPr>
          <w:cantSplit/>
        </w:trPr>
        <w:tc>
          <w:tcPr>
            <w:tcW w:type="dxa" w:w="2721"/>
            <w:vAlign w:val="center"/>
          </w:tcPr>
          <w:p>
            <w:pPr>
              <w:keepNext/>
              <w:spacing w:after="0" w:line="240" w:lineRule="auto"/>
              <w:jc w:val="left"/>
            </w:pPr>
            <w:r/>
            <w:r>
              <w:rPr>
                <w:b w:val="0"/>
                <w:i w:val="0"/>
                <w:sz w:val="17"/>
              </w:rPr>
              <w:t>Âge de la personne de référence</w:t>
            </w:r>
          </w:p>
        </w:tc>
        <w:tc>
          <w:tcPr>
            <w:tcW w:type="dxa" w:w="3742"/>
            <w:vAlign w:val="center"/>
          </w:tcPr>
          <w:p>
            <w:pPr>
              <w:keepNext/>
              <w:spacing w:after="0" w:line="240" w:lineRule="auto"/>
              <w:jc w:val="left"/>
            </w:pPr>
            <w:r/>
            <w:r>
              <w:rPr>
                <w:b w:val="0"/>
                <w:i w:val="0"/>
                <w:sz w:val="17"/>
              </w:rPr>
              <w:t>En cloche, maximum vers 35-50 ans</w:t>
            </w:r>
          </w:p>
        </w:tc>
        <w:tc>
          <w:tcPr>
            <w:tcW w:type="dxa" w:w="2608"/>
            <w:vAlign w:val="center"/>
          </w:tcPr>
          <w:p>
            <w:pPr>
              <w:keepNext/>
              <w:spacing w:after="0" w:line="240" w:lineRule="auto"/>
              <w:jc w:val="left"/>
            </w:pPr>
            <w:r/>
            <w:r>
              <w:rPr>
                <w:b w:val="0"/>
                <w:i w:val="0"/>
                <w:sz w:val="17"/>
              </w:rPr>
              <w:t>Âge et âge au carré</w:t>
            </w:r>
          </w:p>
        </w:tc>
      </w:tr>
      <w:tr>
        <w:trPr>
          <w:cantSplit/>
        </w:trPr>
        <w:tc>
          <w:tcPr>
            <w:tcW w:type="dxa" w:w="2721"/>
            <w:vAlign w:val="center"/>
          </w:tcPr>
          <w:p>
            <w:pPr>
              <w:keepNext/>
              <w:spacing w:after="0" w:line="240" w:lineRule="auto"/>
              <w:jc w:val="left"/>
            </w:pPr>
            <w:r/>
            <w:r>
              <w:rPr>
                <w:b w:val="0"/>
                <w:i w:val="0"/>
                <w:sz w:val="17"/>
              </w:rPr>
              <w:t>Statut d’occupation</w:t>
            </w:r>
          </w:p>
        </w:tc>
        <w:tc>
          <w:tcPr>
            <w:tcW w:type="dxa" w:w="3742"/>
            <w:vAlign w:val="center"/>
          </w:tcPr>
          <w:p>
            <w:pPr>
              <w:keepNext/>
              <w:spacing w:after="0" w:line="240" w:lineRule="auto"/>
              <w:jc w:val="left"/>
            </w:pPr>
            <w:r/>
            <w:r>
              <w:rPr>
                <w:b w:val="0"/>
                <w:i w:val="0"/>
                <w:sz w:val="17"/>
              </w:rPr>
              <w:t>Accédants bien au-dessus des locataires</w:t>
            </w:r>
          </w:p>
        </w:tc>
        <w:tc>
          <w:tcPr>
            <w:tcW w:type="dxa" w:w="2608"/>
            <w:vAlign w:val="center"/>
          </w:tcPr>
          <w:p>
            <w:pPr>
              <w:keepNext/>
              <w:spacing w:after="0" w:line="240" w:lineRule="auto"/>
              <w:jc w:val="left"/>
            </w:pPr>
            <w:r/>
            <w:r>
              <w:rPr>
                <w:b w:val="0"/>
                <w:i w:val="0"/>
                <w:sz w:val="17"/>
              </w:rPr>
              <w:t>Indicatrices</w:t>
            </w:r>
          </w:p>
        </w:tc>
      </w:tr>
      <w:tr>
        <w:trPr>
          <w:cantSplit/>
        </w:trPr>
        <w:tc>
          <w:tcPr>
            <w:tcW w:type="dxa" w:w="2721"/>
            <w:vAlign w:val="center"/>
          </w:tcPr>
          <w:p>
            <w:pPr>
              <w:keepNext/>
              <w:spacing w:after="0" w:line="240" w:lineRule="auto"/>
              <w:jc w:val="left"/>
            </w:pPr>
            <w:r/>
            <w:r>
              <w:rPr>
                <w:b w:val="0"/>
                <w:i w:val="0"/>
                <w:sz w:val="17"/>
              </w:rPr>
              <w:t>Nombre de crédits ; autre bien immobilier</w:t>
            </w:r>
          </w:p>
        </w:tc>
        <w:tc>
          <w:tcPr>
            <w:tcW w:type="dxa" w:w="3742"/>
            <w:vAlign w:val="center"/>
          </w:tcPr>
          <w:p>
            <w:pPr>
              <w:keepNext/>
              <w:spacing w:after="0" w:line="240" w:lineRule="auto"/>
              <w:jc w:val="left"/>
            </w:pPr>
            <w:r/>
            <w:r>
              <w:rPr>
                <w:b w:val="0"/>
                <w:i w:val="0"/>
                <w:sz w:val="17"/>
              </w:rPr>
              <w:t>Mensualités nettement plus élevées</w:t>
            </w:r>
          </w:p>
        </w:tc>
        <w:tc>
          <w:tcPr>
            <w:tcW w:type="dxa" w:w="2608"/>
            <w:vAlign w:val="center"/>
          </w:tcPr>
          <w:p>
            <w:pPr>
              <w:keepNext/>
              <w:spacing w:after="0" w:line="240" w:lineRule="auto"/>
              <w:jc w:val="left"/>
            </w:pPr>
            <w:r/>
            <w:r>
              <w:rPr>
                <w:b w:val="0"/>
                <w:i w:val="0"/>
                <w:sz w:val="17"/>
              </w:rPr>
              <w:t>Indicatrices</w:t>
            </w:r>
          </w:p>
        </w:tc>
      </w:tr>
      <w:tr>
        <w:trPr>
          <w:cantSplit/>
        </w:trPr>
        <w:tc>
          <w:tcPr>
            <w:tcW w:type="dxa" w:w="2721"/>
            <w:vAlign w:val="center"/>
          </w:tcPr>
          <w:p>
            <w:pPr>
              <w:keepNext/>
              <w:spacing w:after="0" w:line="240" w:lineRule="auto"/>
              <w:jc w:val="left"/>
            </w:pPr>
            <w:r/>
            <w:r>
              <w:rPr>
                <w:b w:val="0"/>
                <w:i w:val="0"/>
                <w:sz w:val="17"/>
              </w:rPr>
              <w:t>Nombre d’enfants</w:t>
            </w:r>
          </w:p>
        </w:tc>
        <w:tc>
          <w:tcPr>
            <w:tcW w:type="dxa" w:w="3742"/>
            <w:vAlign w:val="center"/>
          </w:tcPr>
          <w:p>
            <w:pPr>
              <w:keepNext/>
              <w:spacing w:after="0" w:line="240" w:lineRule="auto"/>
              <w:jc w:val="left"/>
            </w:pPr>
            <w:r/>
            <w:r>
              <w:rPr>
                <w:b w:val="0"/>
                <w:i w:val="0"/>
                <w:sz w:val="17"/>
              </w:rPr>
              <w:t>Croissant (en partie effet de l’âge)</w:t>
            </w:r>
          </w:p>
        </w:tc>
        <w:tc>
          <w:tcPr>
            <w:tcW w:type="dxa" w:w="2608"/>
            <w:vAlign w:val="center"/>
          </w:tcPr>
          <w:p>
            <w:pPr>
              <w:keepNext/>
              <w:spacing w:after="0" w:line="240" w:lineRule="auto"/>
              <w:jc w:val="left"/>
            </w:pPr>
            <w:r/>
            <w:r>
              <w:rPr>
                <w:b w:val="0"/>
                <w:i w:val="0"/>
                <w:sz w:val="17"/>
              </w:rPr>
              <w:t>Indicatrices</w:t>
            </w:r>
          </w:p>
        </w:tc>
      </w:tr>
      <w:tr>
        <w:trPr>
          <w:cantSplit/>
        </w:trPr>
        <w:tc>
          <w:tcPr>
            <w:tcW w:type="dxa" w:w="2721"/>
            <w:vAlign w:val="center"/>
          </w:tcPr>
          <w:p>
            <w:pPr>
              <w:keepNext/>
              <w:spacing w:after="0" w:line="240" w:lineRule="auto"/>
              <w:jc w:val="left"/>
            </w:pPr>
            <w:r/>
            <w:r>
              <w:rPr>
                <w:b w:val="0"/>
                <w:i w:val="0"/>
                <w:sz w:val="17"/>
              </w:rPr>
              <w:t>CSP</w:t>
            </w:r>
          </w:p>
        </w:tc>
        <w:tc>
          <w:tcPr>
            <w:tcW w:type="dxa" w:w="3742"/>
            <w:vAlign w:val="center"/>
          </w:tcPr>
          <w:p>
            <w:pPr>
              <w:keepNext/>
              <w:spacing w:after="0" w:line="240" w:lineRule="auto"/>
              <w:jc w:val="left"/>
            </w:pPr>
            <w:r/>
            <w:r>
              <w:rPr>
                <w:b w:val="0"/>
                <w:i w:val="0"/>
                <w:sz w:val="17"/>
              </w:rPr>
              <w:t>Cadres et indépendants au-dessus, retraités en dessous</w:t>
            </w:r>
          </w:p>
        </w:tc>
        <w:tc>
          <w:tcPr>
            <w:tcW w:type="dxa" w:w="2608"/>
            <w:vAlign w:val="center"/>
          </w:tcPr>
          <w:p>
            <w:pPr>
              <w:keepNext/>
              <w:spacing w:after="0" w:line="240" w:lineRule="auto"/>
              <w:jc w:val="left"/>
            </w:pPr>
            <w:r/>
            <w:r>
              <w:rPr>
                <w:b w:val="0"/>
                <w:i w:val="0"/>
                <w:sz w:val="17"/>
              </w:rPr>
              <w:t>Indicatrices</w:t>
            </w:r>
          </w:p>
        </w:tc>
      </w:tr>
      <w:tr>
        <w:trPr>
          <w:cantSplit/>
        </w:trPr>
        <w:tc>
          <w:tcPr>
            <w:tcW w:type="dxa" w:w="2721"/>
            <w:vAlign w:val="center"/>
          </w:tcPr>
          <w:p>
            <w:pPr>
              <w:keepNext/>
              <w:spacing w:after="0" w:line="240" w:lineRule="auto"/>
              <w:jc w:val="left"/>
            </w:pPr>
            <w:r/>
            <w:r>
              <w:rPr>
                <w:b w:val="0"/>
                <w:i w:val="0"/>
                <w:sz w:val="17"/>
              </w:rPr>
              <w:t>Taille de l’unité urbaine</w:t>
            </w:r>
          </w:p>
        </w:tc>
        <w:tc>
          <w:tcPr>
            <w:tcW w:type="dxa" w:w="3742"/>
            <w:vAlign w:val="center"/>
          </w:tcPr>
          <w:p>
            <w:pPr>
              <w:keepNext/>
              <w:spacing w:after="0" w:line="240" w:lineRule="auto"/>
              <w:jc w:val="left"/>
            </w:pPr>
            <w:r/>
            <w:r>
              <w:rPr>
                <w:b w:val="0"/>
                <w:i w:val="0"/>
                <w:sz w:val="17"/>
              </w:rPr>
              <w:t>Seule l’agglomération parisienne se distingue</w:t>
            </w:r>
          </w:p>
        </w:tc>
        <w:tc>
          <w:tcPr>
            <w:tcW w:type="dxa" w:w="2608"/>
            <w:vAlign w:val="center"/>
          </w:tcPr>
          <w:p>
            <w:pPr>
              <w:keepNext/>
              <w:spacing w:after="0" w:line="240" w:lineRule="auto"/>
              <w:jc w:val="left"/>
            </w:pPr>
            <w:r/>
            <w:r>
              <w:rPr>
                <w:b w:val="0"/>
                <w:i w:val="0"/>
                <w:sz w:val="17"/>
              </w:rPr>
              <w:t>Indicatrices</w:t>
            </w:r>
          </w:p>
        </w:tc>
      </w:tr>
      <w:tr>
        <w:trPr>
          <w:cantSplit/>
        </w:trPr>
        <w:tc>
          <w:tcPr>
            <w:tcW w:type="dxa" w:w="2721"/>
            <w:vAlign w:val="center"/>
          </w:tcPr>
          <w:p>
            <w:pPr>
              <w:keepNext/>
              <w:spacing w:after="0" w:line="240" w:lineRule="auto"/>
              <w:jc w:val="left"/>
            </w:pPr>
            <w:r/>
            <w:r>
              <w:rPr>
                <w:b w:val="0"/>
                <w:i w:val="0"/>
                <w:sz w:val="17"/>
              </w:rPr>
              <w:t>Type de logement</w:t>
            </w:r>
          </w:p>
        </w:tc>
        <w:tc>
          <w:tcPr>
            <w:tcW w:type="dxa" w:w="3742"/>
            <w:vAlign w:val="center"/>
          </w:tcPr>
          <w:p>
            <w:pPr>
              <w:keepNext/>
              <w:spacing w:after="0" w:line="240" w:lineRule="auto"/>
              <w:jc w:val="left"/>
            </w:pPr>
            <w:r/>
            <w:r>
              <w:rPr>
                <w:b w:val="0"/>
                <w:i w:val="0"/>
                <w:sz w:val="17"/>
              </w:rPr>
              <w:t>Plus élevées en maison</w:t>
            </w:r>
          </w:p>
        </w:tc>
        <w:tc>
          <w:tcPr>
            <w:tcW w:type="dxa" w:w="2608"/>
            <w:vAlign w:val="center"/>
          </w:tcPr>
          <w:p>
            <w:pPr>
              <w:keepNext/>
              <w:spacing w:after="0" w:line="240" w:lineRule="auto"/>
              <w:jc w:val="left"/>
            </w:pPr>
            <w:r/>
            <w:r>
              <w:rPr>
                <w:b w:val="0"/>
                <w:i w:val="0"/>
                <w:sz w:val="17"/>
              </w:rPr>
              <w:t>Indicatrice</w:t>
            </w:r>
          </w:p>
        </w:tc>
      </w:tr>
    </w:tbl>
    <w:p>
      <w:pPr>
        <w:jc w:val="both"/>
      </w:pPr>
      <w:r>
        <w:t xml:space="preserve">Ces liens bruts confirment nos intuitions, mais nos variables sont liées entre elles : les familles avec enfants sont plus jeunes et plus souvent accédantes, les cadres ont des revenus plus élevés, les maisons sont plus souvent achetées à crédit. La partie 2 estimera donc par les moindres carrés ordinaires le modèle suivant, afin de mesurer l’effet de chaque variable </w:t>
      </w:r>
      <w:r>
        <w:rPr>
          <w:b/>
        </w:rPr>
        <w:t>toutes choses égales par ailleurs</w:t>
      </w:r>
      <w:r>
        <w:t xml:space="preserve"> :</w:t>
      </w:r>
    </w:p>
    <w:p>
      <w:pPr>
        <w:jc w:val="center"/>
      </w:pPr>
      <w:r>
        <w:rPr>
          <w:i/>
        </w:rPr>
        <w:t>ln(CREDITS</w:t>
      </w:r>
      <w:r>
        <w:rPr>
          <w:i/>
          <w:vertAlign w:val="subscript"/>
        </w:rPr>
        <w:t>i</w:t>
      </w:r>
      <w:r>
        <w:rPr>
          <w:i/>
        </w:rPr>
        <w:t>) = β</w:t>
      </w:r>
      <w:r>
        <w:rPr>
          <w:i/>
          <w:vertAlign w:val="subscript"/>
        </w:rPr>
        <w:t>0</w:t>
      </w:r>
      <w:r>
        <w:rPr>
          <w:i/>
        </w:rPr>
        <w:t xml:space="preserve"> + Σ</w:t>
      </w:r>
      <w:r>
        <w:rPr>
          <w:i/>
          <w:vertAlign w:val="subscript"/>
        </w:rPr>
        <w:t>k</w:t>
      </w:r>
      <w:r>
        <w:rPr>
          <w:i/>
        </w:rPr>
        <w:t xml:space="preserve"> γ</w:t>
      </w:r>
      <w:r>
        <w:rPr>
          <w:i/>
          <w:vertAlign w:val="subscript"/>
        </w:rPr>
        <w:t>k</w:t>
      </w:r>
      <w:r>
        <w:rPr>
          <w:i/>
        </w:rPr>
        <w:t xml:space="preserve"> Revenu</w:t>
      </w:r>
      <w:r>
        <w:rPr>
          <w:i/>
          <w:vertAlign w:val="subscript"/>
        </w:rPr>
        <w:t>ki</w:t>
      </w:r>
      <w:r>
        <w:rPr>
          <w:i/>
        </w:rPr>
        <w:t xml:space="preserve"> + β</w:t>
      </w:r>
      <w:r>
        <w:rPr>
          <w:i/>
          <w:vertAlign w:val="subscript"/>
        </w:rPr>
        <w:t>1</w:t>
      </w:r>
      <w:r>
        <w:rPr>
          <w:i/>
        </w:rPr>
        <w:t xml:space="preserve"> Âge</w:t>
      </w:r>
      <w:r>
        <w:rPr>
          <w:i/>
          <w:vertAlign w:val="subscript"/>
        </w:rPr>
        <w:t>i</w:t>
      </w:r>
      <w:r>
        <w:rPr>
          <w:i/>
        </w:rPr>
        <w:t xml:space="preserve"> + β</w:t>
      </w:r>
      <w:r>
        <w:rPr>
          <w:i/>
          <w:vertAlign w:val="subscript"/>
        </w:rPr>
        <w:t>2</w:t>
      </w:r>
      <w:r>
        <w:rPr>
          <w:i/>
        </w:rPr>
        <w:t xml:space="preserve"> Âge</w:t>
      </w:r>
      <w:r>
        <w:rPr>
          <w:i/>
          <w:vertAlign w:val="subscript"/>
        </w:rPr>
        <w:t>i</w:t>
      </w:r>
      <w:r>
        <w:rPr>
          <w:i/>
          <w:vertAlign w:val="superscript"/>
        </w:rPr>
        <w:t>2</w:t>
      </w:r>
      <w:r>
        <w:rPr>
          <w:i/>
        </w:rPr>
        <w:t xml:space="preserve"> + X’</w:t>
      </w:r>
      <w:r>
        <w:rPr>
          <w:i/>
          <w:vertAlign w:val="subscript"/>
        </w:rPr>
        <w:t>i</w:t>
      </w:r>
      <w:r>
        <w:rPr>
          <w:i/>
        </w:rPr>
        <w:t>δ + u</w:t>
      </w:r>
      <w:r>
        <w:rPr>
          <w:i/>
          <w:vertAlign w:val="subscript"/>
        </w:rPr>
        <w:t>i</w:t>
      </w:r>
    </w:p>
    <w:p>
      <w:pPr>
        <w:jc w:val="both"/>
      </w:pPr>
      <w:r>
        <w:t>où Revenu</w:t>
      </w:r>
      <w:r>
        <w:rPr>
          <w:vertAlign w:val="subscript"/>
        </w:rPr>
        <w:t>ki</w:t>
      </w:r>
      <w:r>
        <w:t xml:space="preserve"> désigne les indicatrices de tranches de revenu, X</w:t>
      </w:r>
      <w:r>
        <w:rPr>
          <w:vertAlign w:val="subscript"/>
        </w:rPr>
        <w:t>i</w:t>
      </w:r>
      <w:r>
        <w:t xml:space="preserve"> les variables de contrôle sous forme d’indicatrices et u</w:t>
      </w:r>
      <w:r>
        <w:rPr>
          <w:vertAlign w:val="subscript"/>
        </w:rPr>
        <w:t>i</w:t>
      </w:r>
      <w:r>
        <w:t xml:space="preserve"> la perturbation.</w:t>
      </w:r>
    </w:p>
    <w:p>
      <w:pPr>
        <w:pStyle w:val="Heading1"/>
      </w:pPr>
      <w:r>
        <w:t>Références</w:t>
      </w:r>
    </w:p>
    <w:p>
      <w:pPr>
        <w:spacing w:after="60"/>
        <w:ind w:left="340" w:hanging="340"/>
        <w:jc w:val="left"/>
      </w:pPr>
      <w:r>
        <w:rPr>
          <w:sz w:val="21"/>
        </w:rPr>
        <w:t xml:space="preserve">Friedman M. (1957), </w:t>
      </w:r>
      <w:r>
        <w:rPr>
          <w:i/>
          <w:sz w:val="21"/>
        </w:rPr>
        <w:t>A Theory of the Consumption Function</w:t>
      </w:r>
      <w:r>
        <w:rPr>
          <w:sz w:val="21"/>
        </w:rPr>
        <w:t>, Princeton University Press.</w:t>
      </w:r>
    </w:p>
    <w:p>
      <w:pPr>
        <w:spacing w:after="60"/>
        <w:ind w:left="340" w:hanging="340"/>
        <w:jc w:val="left"/>
      </w:pPr>
      <w:r>
        <w:rPr>
          <w:sz w:val="21"/>
        </w:rPr>
        <w:t>Haut Conseil de stabilité financière (2019), recommandation du 20 décembre 2019 relative à l’octroi de crédits immobiliers ; décision du 29 septembre 2021, applicable au 1er janvier 2022.</w:t>
      </w:r>
    </w:p>
    <w:p>
      <w:pPr>
        <w:spacing w:after="60"/>
        <w:ind w:left="340" w:hanging="340"/>
        <w:jc w:val="left"/>
      </w:pPr>
      <w:r>
        <w:rPr>
          <w:sz w:val="21"/>
        </w:rPr>
        <w:t>INSEE, enquête Statistiques sur les ressources et les conditions de vie (SRCV) 2015 ; dictionnaire des codes de la base SRCV1_menage fourni pour le projet.</w:t>
      </w:r>
    </w:p>
    <w:p>
      <w:pPr>
        <w:spacing w:after="60"/>
        <w:ind w:left="340" w:hanging="340"/>
        <w:jc w:val="left"/>
      </w:pPr>
      <w:r>
        <w:rPr>
          <w:sz w:val="21"/>
        </w:rPr>
        <w:t xml:space="preserve">Modigliani F. et Brumberg R. (1954), « Utility Analysis and the Consumption Function: An Interpretation of Cross-Section Data », in K. Kurihara (dir.), </w:t>
      </w:r>
      <w:r>
        <w:rPr>
          <w:i/>
          <w:sz w:val="21"/>
        </w:rPr>
        <w:t>Post-Keynesian Economics</w:t>
      </w:r>
      <w:r>
        <w:rPr>
          <w:sz w:val="21"/>
        </w:rPr>
        <w:t>, Rutgers University Press.</w:t>
      </w:r>
    </w:p>
    <w:p>
      <w:pPr>
        <w:spacing w:after="60"/>
        <w:ind w:left="340" w:hanging="340"/>
        <w:jc w:val="left"/>
      </w:pPr>
      <w:r>
        <w:rPr>
          <w:sz w:val="21"/>
        </w:rPr>
        <w:t xml:space="preserve">Observatoire Crédit Logement/CSA (2015), </w:t>
      </w:r>
      <w:r>
        <w:rPr>
          <w:i/>
          <w:sz w:val="21"/>
        </w:rPr>
        <w:t>Tableaux de bord mensuels</w:t>
      </w:r>
      <w:r>
        <w:rPr>
          <w:sz w:val="21"/>
        </w:rPr>
        <w:t>.</w:t>
      </w:r>
    </w:p>
    <w:p>
      <w:pPr>
        <w:spacing w:after="60"/>
        <w:ind w:left="340" w:hanging="340"/>
        <w:jc w:val="left"/>
      </w:pPr>
      <w:r>
        <w:rPr>
          <w:sz w:val="21"/>
        </w:rPr>
        <w:t xml:space="preserve">Observatoire des crédits aux ménages (2016), </w:t>
      </w:r>
      <w:r>
        <w:rPr>
          <w:i/>
          <w:sz w:val="21"/>
        </w:rPr>
        <w:t>28e rapport annuel</w:t>
      </w:r>
      <w:r>
        <w:rPr>
          <w:sz w:val="21"/>
        </w:rPr>
        <w:t>, Fédération bancaire française, janvier 2016.</w:t>
      </w:r>
    </w:p>
    <w:p>
      <w:pPr>
        <w:spacing w:after="60"/>
        <w:ind w:left="340" w:hanging="340"/>
        <w:jc w:val="left"/>
      </w:pPr>
      <w:r>
        <w:rPr>
          <w:sz w:val="21"/>
        </w:rPr>
        <w:t xml:space="preserve">Stiglitz J. et Weiss A. (1981), « Credit Rationing in Markets with Imperfect Information », </w:t>
      </w:r>
      <w:r>
        <w:rPr>
          <w:i/>
          <w:sz w:val="21"/>
        </w:rPr>
        <w:t>American Economic Review</w:t>
      </w:r>
      <w:r>
        <w:rPr>
          <w:sz w:val="21"/>
        </w:rPr>
        <w:t>, vol. 71, n° 3, p. 393-410.</w:t>
      </w:r>
    </w:p>
    <w:p>
      <w:r>
        <w:br w:type="page"/>
      </w:r>
    </w:p>
    <w:p>
      <w:pPr>
        <w:pStyle w:val="Heading1"/>
      </w:pPr>
      <w:r>
        <w:t>Annexe – Programme Stata</w:t>
      </w:r>
    </w:p>
    <w:p>
      <w:pPr>
        <w:jc w:val="both"/>
      </w:pPr>
      <w:r>
        <w:t>Le programme ci-dessous reproduit, dans l’ordre, l’ensemble des tableaux et des figures du document. Il suffit de modifier le chemin du dossier de travail (commande cd) pour l’exécuter ; les figures sont enregistrées dans le sous-dossier « graphiques ».</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PROJET D'ECONOMETRIE - L3 S1 - Année 2026-2027</w:t>
      </w:r>
    </w:p>
    <w:p>
      <w:pPr>
        <w:spacing w:after="0" w:line="240" w:lineRule="auto"/>
      </w:pPr>
      <w:r>
        <w:rPr>
          <w:rFonts w:ascii="Courier New" w:hAnsi="Courier New" w:eastAsia="Courier New"/>
          <w:sz w:val="15"/>
        </w:rPr>
        <w:t>**  Sujet : Déterminants du montant des emprunts contractés</w:t>
      </w:r>
    </w:p>
    <w:p>
      <w:pPr>
        <w:spacing w:after="0" w:line="240" w:lineRule="auto"/>
      </w:pPr>
      <w:r>
        <w:rPr>
          <w:rFonts w:ascii="Courier New" w:hAnsi="Courier New" w:eastAsia="Courier New"/>
          <w:sz w:val="15"/>
        </w:rPr>
        <w:t>**  Base  : SRCV1_menage (enquête SRCV 2015, INSEE - Eurostat)</w:t>
      </w:r>
    </w:p>
    <w:p>
      <w:pPr>
        <w:spacing w:after="0" w:line="240" w:lineRule="auto"/>
      </w:pPr>
      <w:r>
        <w:rPr>
          <w:rFonts w:ascii="Courier New" w:hAnsi="Courier New" w:eastAsia="Courier New"/>
          <w:sz w:val="15"/>
        </w:rPr>
        <w:t>**  Charles GIACOMOTTO et Lucas STANUCH</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VERSION INTERMEDIAIRE : Introduction + Partie 1 (statistiques descriptives)</w:t>
      </w:r>
    </w:p>
    <w:p>
      <w:pPr>
        <w:spacing w:after="0" w:line="240" w:lineRule="auto"/>
      </w:pPr>
      <w:r>
        <w:rPr>
          <w:rFonts w:ascii="Courier New" w:hAnsi="Courier New" w:eastAsia="Courier New"/>
          <w:sz w:val="15"/>
        </w:rPr>
        <w:t>**  Les numéros de tableaux et de figures en commentaire renvoient au rapport.</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clear all</w:t>
      </w:r>
    </w:p>
    <w:p>
      <w:pPr>
        <w:spacing w:after="0" w:line="240" w:lineRule="auto"/>
      </w:pPr>
      <w:r>
        <w:rPr>
          <w:rFonts w:ascii="Courier New" w:hAnsi="Courier New" w:eastAsia="Courier New"/>
          <w:sz w:val="15"/>
        </w:rPr>
        <w:t>set more off</w:t>
      </w:r>
    </w:p>
    <w:p>
      <w:pPr>
        <w:spacing w:after="0" w:line="240" w:lineRule="auto"/>
      </w:pPr>
      <w:r>
        <w:rPr>
          <w:rFonts w:ascii="Courier New" w:hAnsi="Courier New" w:eastAsia="Courier New"/>
          <w:sz w:val="15"/>
        </w:rPr>
        <w:t>set scheme s1color</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Dossier de travail (A MODIFIER) : il doit contenir le fichier base1.dta</w:t>
      </w:r>
    </w:p>
    <w:p>
      <w:pPr>
        <w:spacing w:after="0" w:line="240" w:lineRule="auto"/>
      </w:pPr>
      <w:r>
        <w:rPr>
          <w:rFonts w:ascii="Courier New" w:hAnsi="Courier New" w:eastAsia="Courier New"/>
          <w:sz w:val="15"/>
        </w:rPr>
        <w:t>cd "C:\Users\charles\Documents\L3\Econometrie\Projet"</w:t>
      </w:r>
    </w:p>
    <w:p>
      <w:pPr>
        <w:spacing w:after="0" w:line="240" w:lineRule="auto"/>
      </w:pPr>
      <w:r>
        <w:rPr>
          <w:rFonts w:ascii="Courier New" w:hAnsi="Courier New" w:eastAsia="Courier New"/>
          <w:sz w:val="15"/>
        </w:rPr>
        <w:t>capture mkdir "graphiques"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use base1, clear</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PARTIE 1 - 1. DESCRIPTION DE LA BASE DE DONNEES</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describe</w:t>
      </w:r>
    </w:p>
    <w:p>
      <w:pPr>
        <w:spacing w:after="0" w:line="240" w:lineRule="auto"/>
      </w:pPr>
      <w:r>
        <w:rPr>
          <w:rFonts w:ascii="Courier New" w:hAnsi="Courier New" w:eastAsia="Courier New"/>
          <w:sz w:val="15"/>
        </w:rPr>
        <w:t>count</w:t>
      </w:r>
    </w:p>
    <w:p>
      <w:pPr>
        <w:spacing w:after="0" w:line="240" w:lineRule="auto"/>
      </w:pPr>
      <w:r>
        <w:rPr>
          <w:rFonts w:ascii="Courier New" w:hAnsi="Courier New" w:eastAsia="Courier New"/>
          <w:sz w:val="15"/>
        </w:rPr>
        <w:t>** -&gt; 4 198 ménages et 20 variables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Tous les ménages de la base remboursent au moins un crédit :</w:t>
      </w:r>
    </w:p>
    <w:p>
      <w:pPr>
        <w:spacing w:after="0" w:line="240" w:lineRule="auto"/>
      </w:pPr>
      <w:r>
        <w:rPr>
          <w:rFonts w:ascii="Courier New" w:hAnsi="Courier New" w:eastAsia="Courier New"/>
          <w:sz w:val="15"/>
        </w:rPr>
        <w:t>sum nb_credits credits</w:t>
      </w:r>
    </w:p>
    <w:p>
      <w:pPr>
        <w:spacing w:after="0" w:line="240" w:lineRule="auto"/>
      </w:pPr>
      <w:r>
        <w:rPr>
          <w:rFonts w:ascii="Courier New" w:hAnsi="Courier New" w:eastAsia="Courier New"/>
          <w:sz w:val="15"/>
        </w:rPr>
        <w:t>** -&gt; nb_credits vaut au minimum 1 et credits est toujours &gt; 0 : la base ne contient</w:t>
      </w:r>
    </w:p>
    <w:p>
      <w:pPr>
        <w:spacing w:after="0" w:line="240" w:lineRule="auto"/>
      </w:pPr>
      <w:r>
        <w:rPr>
          <w:rFonts w:ascii="Courier New" w:hAnsi="Courier New" w:eastAsia="Courier New"/>
          <w:sz w:val="15"/>
        </w:rPr>
        <w:t>**    que des ménages endettés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PARTIE 1 - 2. SELECTION DE L'ECHANTILLON DE TRAVAIL</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2.a Distributions sur la base brute (4 198 ménages)</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Variable expliquée : montant mensuel des crédits à rembourser (Tableau 2)</w:t>
      </w:r>
    </w:p>
    <w:p>
      <w:pPr>
        <w:spacing w:after="0" w:line="240" w:lineRule="auto"/>
      </w:pPr>
      <w:r>
        <w:rPr>
          <w:rFonts w:ascii="Courier New" w:hAnsi="Courier New" w:eastAsia="Courier New"/>
          <w:sz w:val="15"/>
        </w:rPr>
        <w:t>codebook credits</w:t>
      </w:r>
    </w:p>
    <w:p>
      <w:pPr>
        <w:spacing w:after="0" w:line="240" w:lineRule="auto"/>
      </w:pPr>
      <w:r>
        <w:rPr>
          <w:rFonts w:ascii="Courier New" w:hAnsi="Courier New" w:eastAsia="Courier New"/>
          <w:sz w:val="15"/>
        </w:rPr>
        <w:t>sum credits, d</w:t>
      </w:r>
    </w:p>
    <w:p>
      <w:pPr>
        <w:spacing w:after="0" w:line="240" w:lineRule="auto"/>
      </w:pPr>
      <w:r>
        <w:rPr>
          <w:rFonts w:ascii="Courier New" w:hAnsi="Courier New" w:eastAsia="Courier New"/>
          <w:sz w:val="15"/>
        </w:rPr>
        <w:t>** -&gt; aucune valeur manquante ; min = 1 euro et max = 15 672 euros : valeurs extrêmes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Variables explicatives continues (Tableau 2)</w:t>
      </w:r>
    </w:p>
    <w:p>
      <w:pPr>
        <w:spacing w:after="0" w:line="240" w:lineRule="auto"/>
      </w:pPr>
      <w:r>
        <w:rPr>
          <w:rFonts w:ascii="Courier New" w:hAnsi="Courier New" w:eastAsia="Courier New"/>
          <w:sz w:val="15"/>
        </w:rPr>
        <w:t>sum agepr, d</w:t>
      </w:r>
    </w:p>
    <w:p>
      <w:pPr>
        <w:spacing w:after="0" w:line="240" w:lineRule="auto"/>
      </w:pPr>
      <w:r>
        <w:rPr>
          <w:rFonts w:ascii="Courier New" w:hAnsi="Courier New" w:eastAsia="Courier New"/>
          <w:sz w:val="15"/>
        </w:rPr>
        <w:t>count if missing(agepr)</w:t>
      </w:r>
    </w:p>
    <w:p>
      <w:pPr>
        <w:spacing w:after="0" w:line="240" w:lineRule="auto"/>
      </w:pPr>
      <w:r>
        <w:rPr>
          <w:rFonts w:ascii="Courier New" w:hAnsi="Courier New" w:eastAsia="Courier New"/>
          <w:sz w:val="15"/>
        </w:rPr>
        <w:t>** -&gt; 3 valeurs manquantes ; une personne de référence a 17 ans</w:t>
      </w:r>
    </w:p>
    <w:p>
      <w:pPr>
        <w:spacing w:after="0" w:line="240" w:lineRule="auto"/>
      </w:pPr>
      <w:r>
        <w:rPr>
          <w:rFonts w:ascii="Courier New" w:hAnsi="Courier New" w:eastAsia="Courier New"/>
          <w:sz w:val="15"/>
        </w:rPr>
        <w:t>sum totreven, d</w:t>
      </w:r>
    </w:p>
    <w:p>
      <w:pPr>
        <w:spacing w:after="0" w:line="240" w:lineRule="auto"/>
      </w:pPr>
      <w:r>
        <w:rPr>
          <w:rFonts w:ascii="Courier New" w:hAnsi="Courier New" w:eastAsia="Courier New"/>
          <w:sz w:val="15"/>
        </w:rPr>
        <w:t>count if missing(totreven)</w:t>
      </w:r>
    </w:p>
    <w:p>
      <w:pPr>
        <w:spacing w:after="0" w:line="240" w:lineRule="auto"/>
      </w:pPr>
      <w:r>
        <w:rPr>
          <w:rFonts w:ascii="Courier New" w:hAnsi="Courier New" w:eastAsia="Courier New"/>
          <w:sz w:val="15"/>
        </w:rPr>
        <w:t>** -&gt; 501 valeurs manquantes, soit 11,9 % des ménages (&gt; 5 %)</w:t>
      </w:r>
    </w:p>
    <w:p>
      <w:pPr>
        <w:spacing w:after="0" w:line="240" w:lineRule="auto"/>
      </w:pPr>
      <w:r>
        <w:rPr>
          <w:rFonts w:ascii="Courier New" w:hAnsi="Courier New" w:eastAsia="Courier New"/>
          <w:sz w:val="15"/>
        </w:rPr>
        <w:t>list totreven credits if totreven&lt;500</w:t>
      </w:r>
    </w:p>
    <w:p>
      <w:pPr>
        <w:spacing w:after="0" w:line="240" w:lineRule="auto"/>
      </w:pPr>
      <w:r>
        <w:rPr>
          <w:rFonts w:ascii="Courier New" w:hAnsi="Courier New" w:eastAsia="Courier New"/>
          <w:sz w:val="15"/>
        </w:rPr>
        <w:t>** -&gt; 3 revenus inférieurs à 500 euros (1, 150 et 300 euros) : non crédibles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Variables qualitatives (Tableaux 3 et 4)</w:t>
      </w:r>
    </w:p>
    <w:p>
      <w:pPr>
        <w:spacing w:after="0" w:line="240" w:lineRule="auto"/>
      </w:pPr>
      <w:r>
        <w:rPr>
          <w:rFonts w:ascii="Courier New" w:hAnsi="Courier New" w:eastAsia="Courier New"/>
          <w:sz w:val="15"/>
        </w:rPr>
        <w:t>tab sto credit_immo, m</w:t>
      </w:r>
    </w:p>
    <w:p>
      <w:pPr>
        <w:spacing w:after="0" w:line="240" w:lineRule="auto"/>
      </w:pPr>
      <w:r>
        <w:rPr>
          <w:rFonts w:ascii="Courier New" w:hAnsi="Courier New" w:eastAsia="Courier New"/>
          <w:sz w:val="15"/>
        </w:rPr>
        <w:t>tab1 nb_credits motif_a nenfants cs24pr tuu10 typlog, m</w:t>
      </w:r>
    </w:p>
    <w:p>
      <w:pPr>
        <w:spacing w:after="0" w:line="240" w:lineRule="auto"/>
      </w:pPr>
      <w:r>
        <w:rPr>
          <w:rFonts w:ascii="Courier New" w:hAnsi="Courier New" w:eastAsia="Courier New"/>
          <w:sz w:val="15"/>
        </w:rPr>
        <w:t>** -&gt; valeurs manquantes : cs24pr (66, soit 1,6 %) et typlog (80, soit 1,9 %)</w:t>
      </w:r>
    </w:p>
    <w:p>
      <w:pPr>
        <w:spacing w:after="0" w:line="240" w:lineRule="auto"/>
      </w:pPr>
      <w:r>
        <w:rPr>
          <w:rFonts w:ascii="Courier New" w:hAnsi="Courier New" w:eastAsia="Courier New"/>
          <w:sz w:val="15"/>
        </w:rPr>
        <w:t>** -&gt; modalités à faible effectif : nb_credits &gt;= 3, nenfants &gt;= 4, typlog = 6 ou 7, etc.</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2.b Nettoyage de la base (Tableau 5)</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Etape 1 : valeurs atypiques de la variable expliquée</w:t>
      </w:r>
    </w:p>
    <w:p>
      <w:pPr>
        <w:spacing w:after="0" w:line="240" w:lineRule="auto"/>
      </w:pPr>
      <w:r>
        <w:rPr>
          <w:rFonts w:ascii="Courier New" w:hAnsi="Courier New" w:eastAsia="Courier New"/>
          <w:sz w:val="15"/>
        </w:rPr>
        <w:t>** On conserve les ménages situés entre le 1er et le 99e centile des mensualités</w:t>
      </w:r>
    </w:p>
    <w:p>
      <w:pPr>
        <w:spacing w:after="0" w:line="240" w:lineRule="auto"/>
      </w:pPr>
      <w:r>
        <w:rPr>
          <w:rFonts w:ascii="Courier New" w:hAnsi="Courier New" w:eastAsia="Courier New"/>
          <w:sz w:val="15"/>
        </w:rPr>
        <w:t>sum credits, d</w:t>
      </w:r>
    </w:p>
    <w:p>
      <w:pPr>
        <w:spacing w:after="0" w:line="240" w:lineRule="auto"/>
      </w:pPr>
      <w:r>
        <w:rPr>
          <w:rFonts w:ascii="Courier New" w:hAnsi="Courier New" w:eastAsia="Courier New"/>
          <w:sz w:val="15"/>
        </w:rPr>
        <w:t>keep if inrange(credits, r(p1), r(p99))</w:t>
      </w:r>
    </w:p>
    <w:p>
      <w:pPr>
        <w:spacing w:after="0" w:line="240" w:lineRule="auto"/>
      </w:pPr>
      <w:r>
        <w:rPr>
          <w:rFonts w:ascii="Courier New" w:hAnsi="Courier New" w:eastAsia="Courier New"/>
          <w:sz w:val="15"/>
        </w:rPr>
        <w:t>count</w:t>
      </w:r>
    </w:p>
    <w:p>
      <w:pPr>
        <w:spacing w:after="0" w:line="240" w:lineRule="auto"/>
      </w:pPr>
      <w:r>
        <w:rPr>
          <w:rFonts w:ascii="Courier New" w:hAnsi="Courier New" w:eastAsia="Courier New"/>
          <w:sz w:val="15"/>
        </w:rPr>
        <w:t>** -&gt; 81 observations supprimées, il reste 4 117 ménages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Etape 2 : âge de la personne de référence</w:t>
      </w:r>
    </w:p>
    <w:p>
      <w:pPr>
        <w:spacing w:after="0" w:line="240" w:lineRule="auto"/>
      </w:pPr>
      <w:r>
        <w:rPr>
          <w:rFonts w:ascii="Courier New" w:hAnsi="Courier New" w:eastAsia="Courier New"/>
          <w:sz w:val="15"/>
        </w:rPr>
        <w:t>drop if missing(agepr)</w:t>
      </w:r>
    </w:p>
    <w:p>
      <w:pPr>
        <w:spacing w:after="0" w:line="240" w:lineRule="auto"/>
      </w:pPr>
      <w:r>
        <w:rPr>
          <w:rFonts w:ascii="Courier New" w:hAnsi="Courier New" w:eastAsia="Courier New"/>
          <w:sz w:val="15"/>
        </w:rPr>
        <w:t>** -&gt; 2 observations supprimées</w:t>
      </w:r>
    </w:p>
    <w:p>
      <w:pPr>
        <w:spacing w:after="0" w:line="240" w:lineRule="auto"/>
      </w:pPr>
      <w:r>
        <w:rPr>
          <w:rFonts w:ascii="Courier New" w:hAnsi="Courier New" w:eastAsia="Courier New"/>
          <w:sz w:val="15"/>
        </w:rPr>
        <w:t>drop if agepr&lt;18</w:t>
      </w:r>
    </w:p>
    <w:p>
      <w:pPr>
        <w:spacing w:after="0" w:line="240" w:lineRule="auto"/>
      </w:pPr>
      <w:r>
        <w:rPr>
          <w:rFonts w:ascii="Courier New" w:hAnsi="Courier New" w:eastAsia="Courier New"/>
          <w:sz w:val="15"/>
        </w:rPr>
        <w:t>** -&gt; 1 observation supprimée (personne de référence âgée de 17 ans)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Etape 3 : revenu mensuel du ménage</w:t>
      </w:r>
    </w:p>
    <w:p>
      <w:pPr>
        <w:spacing w:after="0" w:line="240" w:lineRule="auto"/>
      </w:pPr>
      <w:r>
        <w:rPr>
          <w:rFonts w:ascii="Courier New" w:hAnsi="Courier New" w:eastAsia="Courier New"/>
          <w:sz w:val="15"/>
        </w:rPr>
        <w:t>drop if totreven&lt;500</w:t>
      </w:r>
    </w:p>
    <w:p>
      <w:pPr>
        <w:spacing w:after="0" w:line="240" w:lineRule="auto"/>
      </w:pPr>
      <w:r>
        <w:rPr>
          <w:rFonts w:ascii="Courier New" w:hAnsi="Courier New" w:eastAsia="Courier New"/>
          <w:sz w:val="15"/>
        </w:rPr>
        <w:t>** -&gt; 2 observations supprimées (revenus de 150 et 300 euros)</w:t>
      </w:r>
    </w:p>
    <w:p>
      <w:pPr>
        <w:spacing w:after="0" w:line="240" w:lineRule="auto"/>
      </w:pPr>
      <w:r>
        <w:rPr>
          <w:rFonts w:ascii="Courier New" w:hAnsi="Courier New" w:eastAsia="Courier New"/>
          <w:sz w:val="15"/>
        </w:rPr>
        <w:t>** (le ménage déclarant 1 euro de revenu a déjà été supprimé à l'étape 1)</w:t>
      </w:r>
    </w:p>
    <w:p>
      <w:pPr>
        <w:spacing w:after="0" w:line="240" w:lineRule="auto"/>
      </w:pPr>
      <w:r>
        <w:rPr>
          <w:rFonts w:ascii="Courier New" w:hAnsi="Courier New" w:eastAsia="Courier New"/>
          <w:sz w:val="15"/>
        </w:rPr>
        <w:t>gen double taux_effort = credits/totreven</w:t>
      </w:r>
    </w:p>
    <w:p>
      <w:pPr>
        <w:spacing w:after="0" w:line="240" w:lineRule="auto"/>
      </w:pPr>
      <w:r>
        <w:rPr>
          <w:rFonts w:ascii="Courier New" w:hAnsi="Courier New" w:eastAsia="Courier New"/>
          <w:sz w:val="15"/>
        </w:rPr>
        <w:t>list totreven credits if taux_effort&gt;1 &amp; !missing(taux_effort)</w:t>
      </w:r>
    </w:p>
    <w:p>
      <w:pPr>
        <w:spacing w:after="0" w:line="240" w:lineRule="auto"/>
      </w:pPr>
      <w:r>
        <w:rPr>
          <w:rFonts w:ascii="Courier New" w:hAnsi="Courier New" w:eastAsia="Courier New"/>
          <w:sz w:val="15"/>
        </w:rPr>
        <w:t>drop if taux_effort&gt;1 &amp; !missing(taux_effort)</w:t>
      </w:r>
    </w:p>
    <w:p>
      <w:pPr>
        <w:spacing w:after="0" w:line="240" w:lineRule="auto"/>
      </w:pPr>
      <w:r>
        <w:rPr>
          <w:rFonts w:ascii="Courier New" w:hAnsi="Courier New" w:eastAsia="Courier New"/>
          <w:sz w:val="15"/>
        </w:rPr>
        <w:t>** -&gt; 3 observations supprimées : mensualités supérieures au revenu mensuel déclaré</w:t>
      </w:r>
    </w:p>
    <w:p>
      <w:pPr>
        <w:spacing w:after="0" w:line="240" w:lineRule="auto"/>
      </w:pPr>
      <w:r>
        <w:rPr>
          <w:rFonts w:ascii="Courier New" w:hAnsi="Courier New" w:eastAsia="Courier New"/>
          <w:sz w:val="15"/>
        </w:rPr>
        <w:t>count if missing(totreven)</w:t>
      </w:r>
    </w:p>
    <w:p>
      <w:pPr>
        <w:spacing w:after="0" w:line="240" w:lineRule="auto"/>
      </w:pPr>
      <w:r>
        <w:rPr>
          <w:rFonts w:ascii="Courier New" w:hAnsi="Courier New" w:eastAsia="Courier New"/>
          <w:sz w:val="15"/>
        </w:rPr>
        <w:t>** -&gt; 485 revenus manquants (11,8 % &gt; 5 %) : on garde ces ménages et on crée</w:t>
      </w:r>
    </w:p>
    <w:p>
      <w:pPr>
        <w:spacing w:after="0" w:line="240" w:lineRule="auto"/>
      </w:pPr>
      <w:r>
        <w:rPr>
          <w:rFonts w:ascii="Courier New" w:hAnsi="Courier New" w:eastAsia="Courier New"/>
          <w:sz w:val="15"/>
        </w:rPr>
        <w:t>**    une tranche "revenu non déclaré" (voir plus bas)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Etape 4 : variables qualitatives</w:t>
      </w:r>
    </w:p>
    <w:p>
      <w:pPr>
        <w:spacing w:after="0" w:line="240" w:lineRule="auto"/>
      </w:pPr>
      <w:r>
        <w:rPr>
          <w:rFonts w:ascii="Courier New" w:hAnsi="Courier New" w:eastAsia="Courier New"/>
          <w:sz w:val="15"/>
        </w:rPr>
        <w:t>drop if missing(cs24pr)</w:t>
      </w:r>
    </w:p>
    <w:p>
      <w:pPr>
        <w:spacing w:after="0" w:line="240" w:lineRule="auto"/>
      </w:pPr>
      <w:r>
        <w:rPr>
          <w:rFonts w:ascii="Courier New" w:hAnsi="Courier New" w:eastAsia="Courier New"/>
          <w:sz w:val="15"/>
        </w:rPr>
        <w:t>** -&gt; 63 observations supprimées</w:t>
      </w:r>
    </w:p>
    <w:p>
      <w:pPr>
        <w:spacing w:after="0" w:line="240" w:lineRule="auto"/>
      </w:pPr>
      <w:r>
        <w:rPr>
          <w:rFonts w:ascii="Courier New" w:hAnsi="Courier New" w:eastAsia="Courier New"/>
          <w:sz w:val="15"/>
        </w:rPr>
        <w:t>drop if missing(typlog)</w:t>
      </w:r>
    </w:p>
    <w:p>
      <w:pPr>
        <w:spacing w:after="0" w:line="240" w:lineRule="auto"/>
      </w:pPr>
      <w:r>
        <w:rPr>
          <w:rFonts w:ascii="Courier New" w:hAnsi="Courier New" w:eastAsia="Courier New"/>
          <w:sz w:val="15"/>
        </w:rPr>
        <w:t>** -&gt; 76 observations supprimées</w:t>
      </w:r>
    </w:p>
    <w:p>
      <w:pPr>
        <w:spacing w:after="0" w:line="240" w:lineRule="auto"/>
      </w:pPr>
      <w:r>
        <w:rPr>
          <w:rFonts w:ascii="Courier New" w:hAnsi="Courier New" w:eastAsia="Courier New"/>
          <w:sz w:val="15"/>
        </w:rPr>
        <w:t>drop if typlog==6 | typlog==7</w:t>
      </w:r>
    </w:p>
    <w:p>
      <w:pPr>
        <w:spacing w:after="0" w:line="240" w:lineRule="auto"/>
      </w:pPr>
      <w:r>
        <w:rPr>
          <w:rFonts w:ascii="Courier New" w:hAnsi="Courier New" w:eastAsia="Courier New"/>
          <w:sz w:val="15"/>
        </w:rPr>
        <w:t>** -&gt; 8 observations supprimées (habitations précaires et autres types de logement)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count</w:t>
      </w:r>
    </w:p>
    <w:p>
      <w:pPr>
        <w:spacing w:after="0" w:line="240" w:lineRule="auto"/>
      </w:pPr>
      <w:r>
        <w:rPr>
          <w:rFonts w:ascii="Courier New" w:hAnsi="Courier New" w:eastAsia="Courier New"/>
          <w:sz w:val="15"/>
        </w:rPr>
        <w:t>** -&gt; ECHANTILLON DE TRAVAIL : 3 962 ménages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2.c Création et regroupement des variables</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Variable expliquée en logarithme</w:t>
      </w:r>
    </w:p>
    <w:p>
      <w:pPr>
        <w:spacing w:after="0" w:line="240" w:lineRule="auto"/>
      </w:pPr>
      <w:r>
        <w:rPr>
          <w:rFonts w:ascii="Courier New" w:hAnsi="Courier New" w:eastAsia="Courier New"/>
          <w:sz w:val="15"/>
        </w:rPr>
        <w:t>gen double lncredits = ln(credits)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Revenu : logarithme (ménages ayant déclaré leur revenu) et tranches</w:t>
      </w:r>
    </w:p>
    <w:p>
      <w:pPr>
        <w:spacing w:after="0" w:line="240" w:lineRule="auto"/>
      </w:pPr>
      <w:r>
        <w:rPr>
          <w:rFonts w:ascii="Courier New" w:hAnsi="Courier New" w:eastAsia="Courier New"/>
          <w:sz w:val="15"/>
        </w:rPr>
        <w:t>gen double lnrevenu = ln(totreven)</w:t>
      </w:r>
    </w:p>
    <w:p>
      <w:pPr>
        <w:spacing w:after="0" w:line="240" w:lineRule="auto"/>
      </w:pPr>
      <w:r>
        <w:rPr>
          <w:rFonts w:ascii="Courier New" w:hAnsi="Courier New" w:eastAsia="Courier New"/>
          <w:sz w:val="15"/>
        </w:rPr>
        <w:t>gen revenu_tr = .</w:t>
      </w:r>
    </w:p>
    <w:p>
      <w:pPr>
        <w:spacing w:after="0" w:line="240" w:lineRule="auto"/>
      </w:pPr>
      <w:r>
        <w:rPr>
          <w:rFonts w:ascii="Courier New" w:hAnsi="Courier New" w:eastAsia="Courier New"/>
          <w:sz w:val="15"/>
        </w:rPr>
        <w:t>replace revenu_tr = 1 if totreven&lt;2000</w:t>
      </w:r>
    </w:p>
    <w:p>
      <w:pPr>
        <w:spacing w:after="0" w:line="240" w:lineRule="auto"/>
      </w:pPr>
      <w:r>
        <w:rPr>
          <w:rFonts w:ascii="Courier New" w:hAnsi="Courier New" w:eastAsia="Courier New"/>
          <w:sz w:val="15"/>
        </w:rPr>
        <w:t>replace revenu_tr = 2 if totreven&gt;=2000 &amp; totreven&lt;3000</w:t>
      </w:r>
    </w:p>
    <w:p>
      <w:pPr>
        <w:spacing w:after="0" w:line="240" w:lineRule="auto"/>
      </w:pPr>
      <w:r>
        <w:rPr>
          <w:rFonts w:ascii="Courier New" w:hAnsi="Courier New" w:eastAsia="Courier New"/>
          <w:sz w:val="15"/>
        </w:rPr>
        <w:t>replace revenu_tr = 3 if totreven&gt;=3000 &amp; totreven&lt;4000</w:t>
      </w:r>
    </w:p>
    <w:p>
      <w:pPr>
        <w:spacing w:after="0" w:line="240" w:lineRule="auto"/>
      </w:pPr>
      <w:r>
        <w:rPr>
          <w:rFonts w:ascii="Courier New" w:hAnsi="Courier New" w:eastAsia="Courier New"/>
          <w:sz w:val="15"/>
        </w:rPr>
        <w:t>replace revenu_tr = 4 if totreven&gt;=4000 &amp; totreven&lt;5000</w:t>
      </w:r>
    </w:p>
    <w:p>
      <w:pPr>
        <w:spacing w:after="0" w:line="240" w:lineRule="auto"/>
      </w:pPr>
      <w:r>
        <w:rPr>
          <w:rFonts w:ascii="Courier New" w:hAnsi="Courier New" w:eastAsia="Courier New"/>
          <w:sz w:val="15"/>
        </w:rPr>
        <w:t>replace revenu_tr = 5 if totreven&gt;=5000 &amp; !missing(totreven)</w:t>
      </w:r>
    </w:p>
    <w:p>
      <w:pPr>
        <w:spacing w:after="0" w:line="240" w:lineRule="auto"/>
      </w:pPr>
      <w:r>
        <w:rPr>
          <w:rFonts w:ascii="Courier New" w:hAnsi="Courier New" w:eastAsia="Courier New"/>
          <w:sz w:val="15"/>
        </w:rPr>
        <w:t>replace revenu_tr = 6 if missing(totreven)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Statut d'occupation croisé avec le crédit immobilier sur la résidence principale</w:t>
      </w:r>
    </w:p>
    <w:p>
      <w:pPr>
        <w:spacing w:after="0" w:line="240" w:lineRule="auto"/>
      </w:pPr>
      <w:r>
        <w:rPr>
          <w:rFonts w:ascii="Courier New" w:hAnsi="Courier New" w:eastAsia="Courier New"/>
          <w:sz w:val="15"/>
        </w:rPr>
        <w:t>** (credit_immo = 1 uniquement pour des propriétaires : voir tab sto credit_immo)</w:t>
      </w:r>
    </w:p>
    <w:p>
      <w:pPr>
        <w:spacing w:after="0" w:line="240" w:lineRule="auto"/>
      </w:pPr>
      <w:r>
        <w:rPr>
          <w:rFonts w:ascii="Courier New" w:hAnsi="Courier New" w:eastAsia="Courier New"/>
          <w:sz w:val="15"/>
        </w:rPr>
        <w:t>gen statut = .</w:t>
      </w:r>
    </w:p>
    <w:p>
      <w:pPr>
        <w:spacing w:after="0" w:line="240" w:lineRule="auto"/>
      </w:pPr>
      <w:r>
        <w:rPr>
          <w:rFonts w:ascii="Courier New" w:hAnsi="Courier New" w:eastAsia="Courier New"/>
          <w:sz w:val="15"/>
        </w:rPr>
        <w:t>replace statut = 1 if credit_immo==1</w:t>
      </w:r>
    </w:p>
    <w:p>
      <w:pPr>
        <w:spacing w:after="0" w:line="240" w:lineRule="auto"/>
      </w:pPr>
      <w:r>
        <w:rPr>
          <w:rFonts w:ascii="Courier New" w:hAnsi="Courier New" w:eastAsia="Courier New"/>
          <w:sz w:val="15"/>
        </w:rPr>
        <w:t>replace statut = 2 if sto==1 &amp; credit_immo==0</w:t>
      </w:r>
    </w:p>
    <w:p>
      <w:pPr>
        <w:spacing w:after="0" w:line="240" w:lineRule="auto"/>
      </w:pPr>
      <w:r>
        <w:rPr>
          <w:rFonts w:ascii="Courier New" w:hAnsi="Courier New" w:eastAsia="Courier New"/>
          <w:sz w:val="15"/>
        </w:rPr>
        <w:t>replace statut = 3 if sto==2 | sto==3</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Nombre de crédits : 1 / 2 ou plus</w:t>
      </w:r>
    </w:p>
    <w:p>
      <w:pPr>
        <w:spacing w:after="0" w:line="240" w:lineRule="auto"/>
      </w:pPr>
      <w:r>
        <w:rPr>
          <w:rFonts w:ascii="Courier New" w:hAnsi="Courier New" w:eastAsia="Courier New"/>
          <w:sz w:val="15"/>
        </w:rPr>
        <w:t>gen plusieurs_credits = (nb_credits&gt;=2)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Crédit pour un bien immobilier autre que la résidence principale</w:t>
      </w:r>
    </w:p>
    <w:p>
      <w:pPr>
        <w:spacing w:after="0" w:line="240" w:lineRule="auto"/>
      </w:pPr>
      <w:r>
        <w:rPr>
          <w:rFonts w:ascii="Courier New" w:hAnsi="Courier New" w:eastAsia="Courier New"/>
          <w:sz w:val="15"/>
        </w:rPr>
        <w:t>gen autre_immo = motif_a</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Nombre d'enfants : 0 / 1 / 2 / 3 ou plus</w:t>
      </w:r>
    </w:p>
    <w:p>
      <w:pPr>
        <w:spacing w:after="0" w:line="240" w:lineRule="auto"/>
      </w:pPr>
      <w:r>
        <w:rPr>
          <w:rFonts w:ascii="Courier New" w:hAnsi="Courier New" w:eastAsia="Courier New"/>
          <w:sz w:val="15"/>
        </w:rPr>
        <w:t>gen enfants = nenfants</w:t>
      </w:r>
    </w:p>
    <w:p>
      <w:pPr>
        <w:spacing w:after="0" w:line="240" w:lineRule="auto"/>
      </w:pPr>
      <w:r>
        <w:rPr>
          <w:rFonts w:ascii="Courier New" w:hAnsi="Courier New" w:eastAsia="Courier New"/>
          <w:sz w:val="15"/>
        </w:rPr>
        <w:t>replace enfants = 3 if nenfants&gt;=3</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CSP de la personne de référence en 6 groupes</w:t>
      </w:r>
    </w:p>
    <w:p>
      <w:pPr>
        <w:spacing w:after="0" w:line="240" w:lineRule="auto"/>
      </w:pPr>
      <w:r>
        <w:rPr>
          <w:rFonts w:ascii="Courier New" w:hAnsi="Courier New" w:eastAsia="Courier New"/>
          <w:sz w:val="15"/>
        </w:rPr>
        <w:t>gen csp = .</w:t>
      </w:r>
    </w:p>
    <w:p>
      <w:pPr>
        <w:spacing w:after="0" w:line="240" w:lineRule="auto"/>
      </w:pPr>
      <w:r>
        <w:rPr>
          <w:rFonts w:ascii="Courier New" w:hAnsi="Courier New" w:eastAsia="Courier New"/>
          <w:sz w:val="15"/>
        </w:rPr>
        <w:t>replace csp = 1 if cs24pr&gt;=10 &amp; cs24pr&lt;=23</w:t>
      </w:r>
    </w:p>
    <w:p>
      <w:pPr>
        <w:spacing w:after="0" w:line="240" w:lineRule="auto"/>
      </w:pPr>
      <w:r>
        <w:rPr>
          <w:rFonts w:ascii="Courier New" w:hAnsi="Courier New" w:eastAsia="Courier New"/>
          <w:sz w:val="15"/>
        </w:rPr>
        <w:t>replace csp = 2 if cs24pr&gt;=31 &amp; cs24pr&lt;=36</w:t>
      </w:r>
    </w:p>
    <w:p>
      <w:pPr>
        <w:spacing w:after="0" w:line="240" w:lineRule="auto"/>
      </w:pPr>
      <w:r>
        <w:rPr>
          <w:rFonts w:ascii="Courier New" w:hAnsi="Courier New" w:eastAsia="Courier New"/>
          <w:sz w:val="15"/>
        </w:rPr>
        <w:t>replace csp = 3 if cs24pr&gt;=41 &amp; cs24pr&lt;=48</w:t>
      </w:r>
    </w:p>
    <w:p>
      <w:pPr>
        <w:spacing w:after="0" w:line="240" w:lineRule="auto"/>
      </w:pPr>
      <w:r>
        <w:rPr>
          <w:rFonts w:ascii="Courier New" w:hAnsi="Courier New" w:eastAsia="Courier New"/>
          <w:sz w:val="15"/>
        </w:rPr>
        <w:t>replace csp = 4 if cs24pr&gt;=51 &amp; cs24pr&lt;=56</w:t>
      </w:r>
    </w:p>
    <w:p>
      <w:pPr>
        <w:spacing w:after="0" w:line="240" w:lineRule="auto"/>
      </w:pPr>
      <w:r>
        <w:rPr>
          <w:rFonts w:ascii="Courier New" w:hAnsi="Courier New" w:eastAsia="Courier New"/>
          <w:sz w:val="15"/>
        </w:rPr>
        <w:t>replace csp = 5 if cs24pr&gt;=61 &amp; cs24pr&lt;=69</w:t>
      </w:r>
    </w:p>
    <w:p>
      <w:pPr>
        <w:spacing w:after="0" w:line="240" w:lineRule="auto"/>
      </w:pPr>
      <w:r>
        <w:rPr>
          <w:rFonts w:ascii="Courier New" w:hAnsi="Courier New" w:eastAsia="Courier New"/>
          <w:sz w:val="15"/>
        </w:rPr>
        <w:t>replace csp = 6 if cs24pr&gt;=71 &amp; cs24pr&lt;=82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Taille de l'unité urbaine en 5 groupes</w:t>
      </w:r>
    </w:p>
    <w:p>
      <w:pPr>
        <w:spacing w:after="0" w:line="240" w:lineRule="auto"/>
      </w:pPr>
      <w:r>
        <w:rPr>
          <w:rFonts w:ascii="Courier New" w:hAnsi="Courier New" w:eastAsia="Courier New"/>
          <w:sz w:val="15"/>
        </w:rPr>
        <w:t>gen uu = .</w:t>
      </w:r>
    </w:p>
    <w:p>
      <w:pPr>
        <w:spacing w:after="0" w:line="240" w:lineRule="auto"/>
      </w:pPr>
      <w:r>
        <w:rPr>
          <w:rFonts w:ascii="Courier New" w:hAnsi="Courier New" w:eastAsia="Courier New"/>
          <w:sz w:val="15"/>
        </w:rPr>
        <w:t>replace uu = 1 if tuu10==0</w:t>
      </w:r>
    </w:p>
    <w:p>
      <w:pPr>
        <w:spacing w:after="0" w:line="240" w:lineRule="auto"/>
      </w:pPr>
      <w:r>
        <w:rPr>
          <w:rFonts w:ascii="Courier New" w:hAnsi="Courier New" w:eastAsia="Courier New"/>
          <w:sz w:val="15"/>
        </w:rPr>
        <w:t>replace uu = 2 if tuu10&gt;=1 &amp; tuu10&lt;=3</w:t>
      </w:r>
    </w:p>
    <w:p>
      <w:pPr>
        <w:spacing w:after="0" w:line="240" w:lineRule="auto"/>
      </w:pPr>
      <w:r>
        <w:rPr>
          <w:rFonts w:ascii="Courier New" w:hAnsi="Courier New" w:eastAsia="Courier New"/>
          <w:sz w:val="15"/>
        </w:rPr>
        <w:t>replace uu = 3 if tuu10&gt;=4 &amp; tuu10&lt;=6</w:t>
      </w:r>
    </w:p>
    <w:p>
      <w:pPr>
        <w:spacing w:after="0" w:line="240" w:lineRule="auto"/>
      </w:pPr>
      <w:r>
        <w:rPr>
          <w:rFonts w:ascii="Courier New" w:hAnsi="Courier New" w:eastAsia="Courier New"/>
          <w:sz w:val="15"/>
        </w:rPr>
        <w:t>replace uu = 4 if tuu10==7</w:t>
      </w:r>
    </w:p>
    <w:p>
      <w:pPr>
        <w:spacing w:after="0" w:line="240" w:lineRule="auto"/>
      </w:pPr>
      <w:r>
        <w:rPr>
          <w:rFonts w:ascii="Courier New" w:hAnsi="Courier New" w:eastAsia="Courier New"/>
          <w:sz w:val="15"/>
        </w:rPr>
        <w:t>replace uu = 5 if tuu10==8</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Type de logement : maison / appartement</w:t>
      </w:r>
    </w:p>
    <w:p>
      <w:pPr>
        <w:spacing w:after="0" w:line="240" w:lineRule="auto"/>
      </w:pPr>
      <w:r>
        <w:rPr>
          <w:rFonts w:ascii="Courier New" w:hAnsi="Courier New" w:eastAsia="Courier New"/>
          <w:sz w:val="15"/>
        </w:rPr>
        <w:t>gen maison = (typlog&lt;=2)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Libellés des variables</w:t>
      </w:r>
    </w:p>
    <w:p>
      <w:pPr>
        <w:spacing w:after="0" w:line="240" w:lineRule="auto"/>
      </w:pPr>
      <w:r>
        <w:rPr>
          <w:rFonts w:ascii="Courier New" w:hAnsi="Courier New" w:eastAsia="Courier New"/>
          <w:sz w:val="15"/>
        </w:rPr>
        <w:t>label variable credits "Mensualités de remboursement des crédits (euros)"</w:t>
      </w:r>
    </w:p>
    <w:p>
      <w:pPr>
        <w:spacing w:after="0" w:line="240" w:lineRule="auto"/>
      </w:pPr>
      <w:r>
        <w:rPr>
          <w:rFonts w:ascii="Courier New" w:hAnsi="Courier New" w:eastAsia="Courier New"/>
          <w:sz w:val="15"/>
        </w:rPr>
        <w:t>label variable lncredits "Logarithme des mensualités de remboursement"</w:t>
      </w:r>
    </w:p>
    <w:p>
      <w:pPr>
        <w:spacing w:after="0" w:line="240" w:lineRule="auto"/>
      </w:pPr>
      <w:r>
        <w:rPr>
          <w:rFonts w:ascii="Courier New" w:hAnsi="Courier New" w:eastAsia="Courier New"/>
          <w:sz w:val="15"/>
        </w:rPr>
        <w:t>label variable agepr "Âge de la personne de référence"</w:t>
      </w:r>
    </w:p>
    <w:p>
      <w:pPr>
        <w:spacing w:after="0" w:line="240" w:lineRule="auto"/>
      </w:pPr>
      <w:r>
        <w:rPr>
          <w:rFonts w:ascii="Courier New" w:hAnsi="Courier New" w:eastAsia="Courier New"/>
          <w:sz w:val="15"/>
        </w:rPr>
        <w:t>label variable totreven "Revenu mensuel du ménage (euros)"</w:t>
      </w:r>
    </w:p>
    <w:p>
      <w:pPr>
        <w:spacing w:after="0" w:line="240" w:lineRule="auto"/>
      </w:pPr>
      <w:r>
        <w:rPr>
          <w:rFonts w:ascii="Courier New" w:hAnsi="Courier New" w:eastAsia="Courier New"/>
          <w:sz w:val="15"/>
        </w:rPr>
        <w:t>label variable lnrevenu "Logarithme du revenu mensuel du ménage"</w:t>
      </w:r>
    </w:p>
    <w:p>
      <w:pPr>
        <w:spacing w:after="0" w:line="240" w:lineRule="auto"/>
      </w:pPr>
      <w:r>
        <w:rPr>
          <w:rFonts w:ascii="Courier New" w:hAnsi="Courier New" w:eastAsia="Courier New"/>
          <w:sz w:val="15"/>
        </w:rPr>
        <w:t>label variable revenu_tr "Revenu mensuel du ménage"</w:t>
      </w:r>
    </w:p>
    <w:p>
      <w:pPr>
        <w:spacing w:after="0" w:line="240" w:lineRule="auto"/>
      </w:pPr>
      <w:r>
        <w:rPr>
          <w:rFonts w:ascii="Courier New" w:hAnsi="Courier New" w:eastAsia="Courier New"/>
          <w:sz w:val="15"/>
        </w:rPr>
        <w:t>label variable statut "Statut d'occupation du logement"</w:t>
      </w:r>
    </w:p>
    <w:p>
      <w:pPr>
        <w:spacing w:after="0" w:line="240" w:lineRule="auto"/>
      </w:pPr>
      <w:r>
        <w:rPr>
          <w:rFonts w:ascii="Courier New" w:hAnsi="Courier New" w:eastAsia="Courier New"/>
          <w:sz w:val="15"/>
        </w:rPr>
        <w:t>label variable plusieurs_credits "Nombre de crédits en cours"</w:t>
      </w:r>
    </w:p>
    <w:p>
      <w:pPr>
        <w:spacing w:after="0" w:line="240" w:lineRule="auto"/>
      </w:pPr>
      <w:r>
        <w:rPr>
          <w:rFonts w:ascii="Courier New" w:hAnsi="Courier New" w:eastAsia="Courier New"/>
          <w:sz w:val="15"/>
        </w:rPr>
        <w:t>label variable autre_immo "Crédit pour un autre bien immobilier"</w:t>
      </w:r>
    </w:p>
    <w:p>
      <w:pPr>
        <w:spacing w:after="0" w:line="240" w:lineRule="auto"/>
      </w:pPr>
      <w:r>
        <w:rPr>
          <w:rFonts w:ascii="Courier New" w:hAnsi="Courier New" w:eastAsia="Courier New"/>
          <w:sz w:val="15"/>
        </w:rPr>
        <w:t>label variable enfants "Nombre d'enfants dans le ménage"</w:t>
      </w:r>
    </w:p>
    <w:p>
      <w:pPr>
        <w:spacing w:after="0" w:line="240" w:lineRule="auto"/>
      </w:pPr>
      <w:r>
        <w:rPr>
          <w:rFonts w:ascii="Courier New" w:hAnsi="Courier New" w:eastAsia="Courier New"/>
          <w:sz w:val="15"/>
        </w:rPr>
        <w:t>label variable csp "CSP de la personne de référence"</w:t>
      </w:r>
    </w:p>
    <w:p>
      <w:pPr>
        <w:spacing w:after="0" w:line="240" w:lineRule="auto"/>
      </w:pPr>
      <w:r>
        <w:rPr>
          <w:rFonts w:ascii="Courier New" w:hAnsi="Courier New" w:eastAsia="Courier New"/>
          <w:sz w:val="15"/>
        </w:rPr>
        <w:t>label variable uu "Taille de l'unité urbaine"</w:t>
      </w:r>
    </w:p>
    <w:p>
      <w:pPr>
        <w:spacing w:after="0" w:line="240" w:lineRule="auto"/>
      </w:pPr>
      <w:r>
        <w:rPr>
          <w:rFonts w:ascii="Courier New" w:hAnsi="Courier New" w:eastAsia="Courier New"/>
          <w:sz w:val="15"/>
        </w:rPr>
        <w:t>label variable maison "Type de logement"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Libellés des modalités</w:t>
      </w:r>
    </w:p>
    <w:p>
      <w:pPr>
        <w:spacing w:after="0" w:line="240" w:lineRule="auto"/>
      </w:pPr>
      <w:r>
        <w:rPr>
          <w:rFonts w:ascii="Courier New" w:hAnsi="Courier New" w:eastAsia="Courier New"/>
          <w:sz w:val="15"/>
        </w:rPr>
        <w:t>label define lab_rev 1 "Moins de 2 000 €" 2 "2 000 à 2 999 €" 3 "3 000 à 3 999 €" 4 "4 000 à 4 999 €" 5 "5 000 € et plus" 6 "Revenu non déclaré"</w:t>
      </w:r>
    </w:p>
    <w:p>
      <w:pPr>
        <w:spacing w:after="0" w:line="240" w:lineRule="auto"/>
      </w:pPr>
      <w:r>
        <w:rPr>
          <w:rFonts w:ascii="Courier New" w:hAnsi="Courier New" w:eastAsia="Courier New"/>
          <w:sz w:val="15"/>
        </w:rPr>
        <w:t>label define lab_statut 1 "Propriétaire accédant" 2 "Propriétaire non accédant" 3 "Locataire ou logé gratuitement"</w:t>
      </w:r>
    </w:p>
    <w:p>
      <w:pPr>
        <w:spacing w:after="0" w:line="240" w:lineRule="auto"/>
      </w:pPr>
      <w:r>
        <w:rPr>
          <w:rFonts w:ascii="Courier New" w:hAnsi="Courier New" w:eastAsia="Courier New"/>
          <w:sz w:val="15"/>
        </w:rPr>
        <w:t>label define lab_plus 0 "Un seul crédit" 1 "Deux crédits ou plus"</w:t>
      </w:r>
    </w:p>
    <w:p>
      <w:pPr>
        <w:spacing w:after="0" w:line="240" w:lineRule="auto"/>
      </w:pPr>
      <w:r>
        <w:rPr>
          <w:rFonts w:ascii="Courier New" w:hAnsi="Courier New" w:eastAsia="Courier New"/>
          <w:sz w:val="15"/>
        </w:rPr>
        <w:t>label define lab_ouinon 0 "Non" 1 "Oui"</w:t>
      </w:r>
    </w:p>
    <w:p>
      <w:pPr>
        <w:spacing w:after="0" w:line="240" w:lineRule="auto"/>
      </w:pPr>
      <w:r>
        <w:rPr>
          <w:rFonts w:ascii="Courier New" w:hAnsi="Courier New" w:eastAsia="Courier New"/>
          <w:sz w:val="15"/>
        </w:rPr>
        <w:t>label define lab_enf 0 "Aucun enfant" 1 "1 enfant" 2 "2 enfants" 3 "3 enfants ou plus"</w:t>
      </w:r>
    </w:p>
    <w:p>
      <w:pPr>
        <w:spacing w:after="0" w:line="240" w:lineRule="auto"/>
      </w:pPr>
      <w:r>
        <w:rPr>
          <w:rFonts w:ascii="Courier New" w:hAnsi="Courier New" w:eastAsia="Courier New"/>
          <w:sz w:val="15"/>
        </w:rPr>
        <w:t>label define lab_csp 1 "Agriculteurs, artisans, commerçants, chefs d'ent." 2 "Cadres, prof. intellectuelles sup." 3 "Professions intermédiaires" 4 "Employés" 5 "Ouvriers" 6 "Retraités et autres inactifs"</w:t>
      </w:r>
    </w:p>
    <w:p>
      <w:pPr>
        <w:spacing w:after="0" w:line="240" w:lineRule="auto"/>
      </w:pPr>
      <w:r>
        <w:rPr>
          <w:rFonts w:ascii="Courier New" w:hAnsi="Courier New" w:eastAsia="Courier New"/>
          <w:sz w:val="15"/>
        </w:rPr>
        <w:t>label define lab_uu 1 "Commune rurale" 2 "Moins de 20 000 hab." 3 "20 000 à 199 999 hab." 4 "200 000 hab. et plus (hors Paris)" 5 "Agglomération parisienne"</w:t>
      </w:r>
    </w:p>
    <w:p>
      <w:pPr>
        <w:spacing w:after="0" w:line="240" w:lineRule="auto"/>
      </w:pPr>
      <w:r>
        <w:rPr>
          <w:rFonts w:ascii="Courier New" w:hAnsi="Courier New" w:eastAsia="Courier New"/>
          <w:sz w:val="15"/>
        </w:rPr>
        <w:t>label define lab_maison 0 "Appartement" 1 "Maison"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label values revenu_tr lab_rev</w:t>
      </w:r>
    </w:p>
    <w:p>
      <w:pPr>
        <w:spacing w:after="0" w:line="240" w:lineRule="auto"/>
      </w:pPr>
      <w:r>
        <w:rPr>
          <w:rFonts w:ascii="Courier New" w:hAnsi="Courier New" w:eastAsia="Courier New"/>
          <w:sz w:val="15"/>
        </w:rPr>
        <w:t>label values statut lab_statut</w:t>
      </w:r>
    </w:p>
    <w:p>
      <w:pPr>
        <w:spacing w:after="0" w:line="240" w:lineRule="auto"/>
      </w:pPr>
      <w:r>
        <w:rPr>
          <w:rFonts w:ascii="Courier New" w:hAnsi="Courier New" w:eastAsia="Courier New"/>
          <w:sz w:val="15"/>
        </w:rPr>
        <w:t>label values plusieurs_credits lab_plus</w:t>
      </w:r>
    </w:p>
    <w:p>
      <w:pPr>
        <w:spacing w:after="0" w:line="240" w:lineRule="auto"/>
      </w:pPr>
      <w:r>
        <w:rPr>
          <w:rFonts w:ascii="Courier New" w:hAnsi="Courier New" w:eastAsia="Courier New"/>
          <w:sz w:val="15"/>
        </w:rPr>
        <w:t>label values autre_immo lab_ouinon</w:t>
      </w:r>
    </w:p>
    <w:p>
      <w:pPr>
        <w:spacing w:after="0" w:line="240" w:lineRule="auto"/>
      </w:pPr>
      <w:r>
        <w:rPr>
          <w:rFonts w:ascii="Courier New" w:hAnsi="Courier New" w:eastAsia="Courier New"/>
          <w:sz w:val="15"/>
        </w:rPr>
        <w:t>label values enfants lab_enf</w:t>
      </w:r>
    </w:p>
    <w:p>
      <w:pPr>
        <w:spacing w:after="0" w:line="240" w:lineRule="auto"/>
      </w:pPr>
      <w:r>
        <w:rPr>
          <w:rFonts w:ascii="Courier New" w:hAnsi="Courier New" w:eastAsia="Courier New"/>
          <w:sz w:val="15"/>
        </w:rPr>
        <w:t>label values csp lab_csp</w:t>
      </w:r>
    </w:p>
    <w:p>
      <w:pPr>
        <w:spacing w:after="0" w:line="240" w:lineRule="auto"/>
      </w:pPr>
      <w:r>
        <w:rPr>
          <w:rFonts w:ascii="Courier New" w:hAnsi="Courier New" w:eastAsia="Courier New"/>
          <w:sz w:val="15"/>
        </w:rPr>
        <w:t>label values uu lab_uu</w:t>
      </w:r>
    </w:p>
    <w:p>
      <w:pPr>
        <w:spacing w:after="0" w:line="240" w:lineRule="auto"/>
      </w:pPr>
      <w:r>
        <w:rPr>
          <w:rFonts w:ascii="Courier New" w:hAnsi="Courier New" w:eastAsia="Courier New"/>
          <w:sz w:val="15"/>
        </w:rPr>
        <w:t>label values maison lab_maison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Vérification des regroupements</w:t>
      </w:r>
    </w:p>
    <w:p>
      <w:pPr>
        <w:spacing w:after="0" w:line="240" w:lineRule="auto"/>
      </w:pPr>
      <w:r>
        <w:rPr>
          <w:rFonts w:ascii="Courier New" w:hAnsi="Courier New" w:eastAsia="Courier New"/>
          <w:sz w:val="15"/>
        </w:rPr>
        <w:t>tab sto statut, m</w:t>
      </w:r>
    </w:p>
    <w:p>
      <w:pPr>
        <w:spacing w:after="0" w:line="240" w:lineRule="auto"/>
      </w:pPr>
      <w:r>
        <w:rPr>
          <w:rFonts w:ascii="Courier New" w:hAnsi="Courier New" w:eastAsia="Courier New"/>
          <w:sz w:val="15"/>
        </w:rPr>
        <w:t>tab nb_credits plusieurs_credits, m</w:t>
      </w:r>
    </w:p>
    <w:p>
      <w:pPr>
        <w:spacing w:after="0" w:line="240" w:lineRule="auto"/>
      </w:pPr>
      <w:r>
        <w:rPr>
          <w:rFonts w:ascii="Courier New" w:hAnsi="Courier New" w:eastAsia="Courier New"/>
          <w:sz w:val="15"/>
        </w:rPr>
        <w:t>tab cs24pr csp, m</w:t>
      </w:r>
    </w:p>
    <w:p>
      <w:pPr>
        <w:spacing w:after="0" w:line="240" w:lineRule="auto"/>
      </w:pPr>
      <w:r>
        <w:rPr>
          <w:rFonts w:ascii="Courier New" w:hAnsi="Courier New" w:eastAsia="Courier New"/>
          <w:sz w:val="15"/>
        </w:rPr>
        <w:t>tab tuu10 uu, m</w:t>
      </w:r>
    </w:p>
    <w:p>
      <w:pPr>
        <w:spacing w:after="0" w:line="240" w:lineRule="auto"/>
      </w:pPr>
      <w:r>
        <w:rPr>
          <w:rFonts w:ascii="Courier New" w:hAnsi="Courier New" w:eastAsia="Courier New"/>
          <w:sz w:val="15"/>
        </w:rPr>
        <w:t>tab typlog maison, m</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Sauvegarde de l'échantillon de travail (utilisé pour toute la suite du projet)</w:t>
      </w:r>
    </w:p>
    <w:p>
      <w:pPr>
        <w:spacing w:after="0" w:line="240" w:lineRule="auto"/>
      </w:pPr>
      <w:r>
        <w:rPr>
          <w:rFonts w:ascii="Courier New" w:hAnsi="Courier New" w:eastAsia="Courier New"/>
          <w:sz w:val="15"/>
        </w:rPr>
        <w:t>save base_travail, replace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PARTIE 1 - 3. STATISTIQUES DESCRIPTIVES UNIVARIEES (échantillon de travail)</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3.i Variable expliquée : credits ou ln(credits)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1</w:t>
      </w:r>
    </w:p>
    <w:p>
      <w:pPr>
        <w:spacing w:after="0" w:line="240" w:lineRule="auto"/>
      </w:pPr>
      <w:r>
        <w:rPr>
          <w:rFonts w:ascii="Courier New" w:hAnsi="Courier New" w:eastAsia="Courier New"/>
          <w:sz w:val="15"/>
        </w:rPr>
        <w:t>histogram credits, start(0.5) width(100) percent fcolor("42 120 214") lcolor(white) ///</w:t>
      </w:r>
    </w:p>
    <w:p>
      <w:pPr>
        <w:spacing w:after="0" w:line="240" w:lineRule="auto"/>
      </w:pPr>
      <w:r>
        <w:rPr>
          <w:rFonts w:ascii="Courier New" w:hAnsi="Courier New" w:eastAsia="Courier New"/>
          <w:sz w:val="15"/>
        </w:rPr>
        <w:t xml:space="preserve">    xlabel(0(500)4000) ytitle("Pourcentage des ménages") ///</w:t>
      </w:r>
    </w:p>
    <w:p>
      <w:pPr>
        <w:spacing w:after="0" w:line="240" w:lineRule="auto"/>
      </w:pPr>
      <w:r>
        <w:rPr>
          <w:rFonts w:ascii="Courier New" w:hAnsi="Courier New" w:eastAsia="Courier New"/>
          <w:sz w:val="15"/>
        </w:rPr>
        <w:t xml:space="preserve">    xtitle("Mensualités de remboursement des crédits (euros)") ///</w:t>
      </w:r>
    </w:p>
    <w:p>
      <w:pPr>
        <w:spacing w:after="0" w:line="240" w:lineRule="auto"/>
      </w:pPr>
      <w:r>
        <w:rPr>
          <w:rFonts w:ascii="Courier New" w:hAnsi="Courier New" w:eastAsia="Courier New"/>
          <w:sz w:val="15"/>
        </w:rPr>
        <w:t xml:space="preserve">    title("Distribution des mensualités de remboursement")</w:t>
      </w:r>
    </w:p>
    <w:p>
      <w:pPr>
        <w:spacing w:after="0" w:line="240" w:lineRule="auto"/>
      </w:pPr>
      <w:r>
        <w:rPr>
          <w:rFonts w:ascii="Courier New" w:hAnsi="Courier New" w:eastAsia="Courier New"/>
          <w:sz w:val="15"/>
        </w:rPr>
        <w:t>graph export "graphiques/fig01_hist_credits.png",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2</w:t>
      </w:r>
    </w:p>
    <w:p>
      <w:pPr>
        <w:spacing w:after="0" w:line="240" w:lineRule="auto"/>
      </w:pPr>
      <w:r>
        <w:rPr>
          <w:rFonts w:ascii="Courier New" w:hAnsi="Courier New" w:eastAsia="Courier New"/>
          <w:sz w:val="15"/>
        </w:rPr>
        <w:t>histogram lncredits, start(3.5) width(0.1) percent fcolor("42 120 214") lcolor(white) ///</w:t>
      </w:r>
    </w:p>
    <w:p>
      <w:pPr>
        <w:spacing w:after="0" w:line="240" w:lineRule="auto"/>
      </w:pPr>
      <w:r>
        <w:rPr>
          <w:rFonts w:ascii="Courier New" w:hAnsi="Courier New" w:eastAsia="Courier New"/>
          <w:sz w:val="15"/>
        </w:rPr>
        <w:t xml:space="preserve">    ytitle("Pourcentage des ménages") ///</w:t>
      </w:r>
    </w:p>
    <w:p>
      <w:pPr>
        <w:spacing w:after="0" w:line="240" w:lineRule="auto"/>
      </w:pPr>
      <w:r>
        <w:rPr>
          <w:rFonts w:ascii="Courier New" w:hAnsi="Courier New" w:eastAsia="Courier New"/>
          <w:sz w:val="15"/>
        </w:rPr>
        <w:t xml:space="preserve">    xtitle("Logarithme des mensualités de remboursement") ///</w:t>
      </w:r>
    </w:p>
    <w:p>
      <w:pPr>
        <w:spacing w:after="0" w:line="240" w:lineRule="auto"/>
      </w:pPr>
      <w:r>
        <w:rPr>
          <w:rFonts w:ascii="Courier New" w:hAnsi="Courier New" w:eastAsia="Courier New"/>
          <w:sz w:val="15"/>
        </w:rPr>
        <w:t xml:space="preserve">    title("Distribution du logarithme des mensualités")</w:t>
      </w:r>
    </w:p>
    <w:p>
      <w:pPr>
        <w:spacing w:after="0" w:line="240" w:lineRule="auto"/>
      </w:pPr>
      <w:r>
        <w:rPr>
          <w:rFonts w:ascii="Courier New" w:hAnsi="Courier New" w:eastAsia="Courier New"/>
          <w:sz w:val="15"/>
        </w:rPr>
        <w:t>graph export "graphiques/fig02_hist_lncredits.png",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Tableau 6</w:t>
      </w:r>
    </w:p>
    <w:p>
      <w:pPr>
        <w:spacing w:after="0" w:line="240" w:lineRule="auto"/>
      </w:pPr>
      <w:r>
        <w:rPr>
          <w:rFonts w:ascii="Courier New" w:hAnsi="Courier New" w:eastAsia="Courier New"/>
          <w:sz w:val="15"/>
        </w:rPr>
        <w:t>sum credits, d</w:t>
      </w:r>
    </w:p>
    <w:p>
      <w:pPr>
        <w:spacing w:after="0" w:line="240" w:lineRule="auto"/>
      </w:pPr>
      <w:r>
        <w:rPr>
          <w:rFonts w:ascii="Courier New" w:hAnsi="Courier New" w:eastAsia="Courier New"/>
          <w:sz w:val="15"/>
        </w:rPr>
        <w:t>sum lncredits, d</w:t>
      </w:r>
    </w:p>
    <w:p>
      <w:pPr>
        <w:spacing w:after="0" w:line="240" w:lineRule="auto"/>
      </w:pPr>
      <w:r>
        <w:rPr>
          <w:rFonts w:ascii="Courier New" w:hAnsi="Courier New" w:eastAsia="Courier New"/>
          <w:sz w:val="15"/>
        </w:rPr>
        <w:t>** Part des mensualités déclarées en multiples de 50 euros (pics de l'histogramme)</w:t>
      </w:r>
    </w:p>
    <w:p>
      <w:pPr>
        <w:spacing w:after="0" w:line="240" w:lineRule="auto"/>
      </w:pPr>
      <w:r>
        <w:rPr>
          <w:rFonts w:ascii="Courier New" w:hAnsi="Courier New" w:eastAsia="Courier New"/>
          <w:sz w:val="15"/>
        </w:rPr>
        <w:t>count if mod(credits,50)==0</w:t>
      </w:r>
    </w:p>
    <w:p>
      <w:pPr>
        <w:spacing w:after="0" w:line="240" w:lineRule="auto"/>
      </w:pPr>
      <w:r>
        <w:rPr>
          <w:rFonts w:ascii="Courier New" w:hAnsi="Courier New" w:eastAsia="Courier New"/>
          <w:sz w:val="15"/>
        </w:rPr>
        <w:t>** -&gt; 1 270 ménages sur 3 962, soit 32 %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Tableau 6 (suite) : tests de normalité</w:t>
      </w:r>
    </w:p>
    <w:p>
      <w:pPr>
        <w:spacing w:after="0" w:line="240" w:lineRule="auto"/>
      </w:pPr>
      <w:r>
        <w:rPr>
          <w:rFonts w:ascii="Courier New" w:hAnsi="Courier New" w:eastAsia="Courier New"/>
          <w:sz w:val="15"/>
        </w:rPr>
        <w:t>sktest credits lncredits, noadjust</w:t>
      </w:r>
    </w:p>
    <w:p>
      <w:pPr>
        <w:spacing w:after="0" w:line="240" w:lineRule="auto"/>
      </w:pPr>
      <w:r>
        <w:rPr>
          <w:rFonts w:ascii="Courier New" w:hAnsi="Courier New" w:eastAsia="Courier New"/>
          <w:sz w:val="15"/>
        </w:rPr>
        <w:t>swilk credits lncredits</w:t>
      </w:r>
    </w:p>
    <w:p>
      <w:pPr>
        <w:spacing w:after="0" w:line="240" w:lineRule="auto"/>
      </w:pPr>
      <w:r>
        <w:rPr>
          <w:rFonts w:ascii="Courier New" w:hAnsi="Courier New" w:eastAsia="Courier New"/>
          <w:sz w:val="15"/>
        </w:rPr>
        <w:t>** -&gt; la normalité est rejetée pour les deux variables, mais lncredits a un skewness</w:t>
      </w:r>
    </w:p>
    <w:p>
      <w:pPr>
        <w:spacing w:after="0" w:line="240" w:lineRule="auto"/>
      </w:pPr>
      <w:r>
        <w:rPr>
          <w:rFonts w:ascii="Courier New" w:hAnsi="Courier New" w:eastAsia="Courier New"/>
          <w:sz w:val="15"/>
        </w:rPr>
        <w:t>**    et un kurtosis beaucoup plus proches de ceux d'une loi normale (0 et 3)</w:t>
      </w:r>
    </w:p>
    <w:p>
      <w:pPr>
        <w:spacing w:after="0" w:line="240" w:lineRule="auto"/>
      </w:pPr>
      <w:r>
        <w:rPr>
          <w:rFonts w:ascii="Courier New" w:hAnsi="Courier New" w:eastAsia="Courier New"/>
          <w:sz w:val="15"/>
        </w:rPr>
        <w:t>**    =&gt; on modélisera ln(credits) dans la suite du projet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3.ii Variables explicatives continues</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Tableau 7</w:t>
      </w:r>
    </w:p>
    <w:p>
      <w:pPr>
        <w:spacing w:after="0" w:line="240" w:lineRule="auto"/>
      </w:pPr>
      <w:r>
        <w:rPr>
          <w:rFonts w:ascii="Courier New" w:hAnsi="Courier New" w:eastAsia="Courier New"/>
          <w:sz w:val="15"/>
        </w:rPr>
        <w:t>tabstat agepr totreven lnrevenu, statistics(n mean sd min p10 p25 p50 p75 p90 max skewness kurtosis) ///</w:t>
      </w:r>
    </w:p>
    <w:p>
      <w:pPr>
        <w:spacing w:after="0" w:line="240" w:lineRule="auto"/>
      </w:pPr>
      <w:r>
        <w:rPr>
          <w:rFonts w:ascii="Courier New" w:hAnsi="Courier New" w:eastAsia="Courier New"/>
          <w:sz w:val="15"/>
        </w:rPr>
        <w:t xml:space="preserve">    columns(statistics) format(%9.4g)</w:t>
      </w:r>
    </w:p>
    <w:p>
      <w:pPr>
        <w:spacing w:after="0" w:line="240" w:lineRule="auto"/>
      </w:pPr>
      <w:r>
        <w:rPr>
          <w:rFonts w:ascii="Courier New" w:hAnsi="Courier New" w:eastAsia="Courier New"/>
          <w:sz w:val="15"/>
        </w:rPr>
        <w:t>count if agepr&lt;25</w:t>
      </w:r>
    </w:p>
    <w:p>
      <w:pPr>
        <w:spacing w:after="0" w:line="240" w:lineRule="auto"/>
      </w:pPr>
      <w:r>
        <w:rPr>
          <w:rFonts w:ascii="Courier New" w:hAnsi="Courier New" w:eastAsia="Courier New"/>
          <w:sz w:val="15"/>
        </w:rPr>
        <w:t>count if agepr&gt;80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Taux d'effort (mensualités / revenu), ménages ayant déclaré leur revenu</w:t>
      </w:r>
    </w:p>
    <w:p>
      <w:pPr>
        <w:spacing w:after="0" w:line="240" w:lineRule="auto"/>
      </w:pPr>
      <w:r>
        <w:rPr>
          <w:rFonts w:ascii="Courier New" w:hAnsi="Courier New" w:eastAsia="Courier New"/>
          <w:sz w:val="15"/>
        </w:rPr>
        <w:t>sum taux_effort, 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3</w:t>
      </w:r>
    </w:p>
    <w:p>
      <w:pPr>
        <w:spacing w:after="0" w:line="240" w:lineRule="auto"/>
      </w:pPr>
      <w:r>
        <w:rPr>
          <w:rFonts w:ascii="Courier New" w:hAnsi="Courier New" w:eastAsia="Courier New"/>
          <w:sz w:val="15"/>
        </w:rPr>
        <w:t>histogram agepr, start(19.5) width(2) percent fcolor("42 120 214") lcolor(white) ///</w:t>
      </w:r>
    </w:p>
    <w:p>
      <w:pPr>
        <w:spacing w:after="0" w:line="240" w:lineRule="auto"/>
      </w:pPr>
      <w:r>
        <w:rPr>
          <w:rFonts w:ascii="Courier New" w:hAnsi="Courier New" w:eastAsia="Courier New"/>
          <w:sz w:val="15"/>
        </w:rPr>
        <w:t xml:space="preserve">    xlabel(20(10)90) ytitle("Pourcentage des ménages") ///</w:t>
      </w:r>
    </w:p>
    <w:p>
      <w:pPr>
        <w:spacing w:after="0" w:line="240" w:lineRule="auto"/>
      </w:pPr>
      <w:r>
        <w:rPr>
          <w:rFonts w:ascii="Courier New" w:hAnsi="Courier New" w:eastAsia="Courier New"/>
          <w:sz w:val="15"/>
        </w:rPr>
        <w:t xml:space="preserve">    xtitle("Âge de la personne de référence (années)") ///</w:t>
      </w:r>
    </w:p>
    <w:p>
      <w:pPr>
        <w:spacing w:after="0" w:line="240" w:lineRule="auto"/>
      </w:pPr>
      <w:r>
        <w:rPr>
          <w:rFonts w:ascii="Courier New" w:hAnsi="Courier New" w:eastAsia="Courier New"/>
          <w:sz w:val="15"/>
        </w:rPr>
        <w:t xml:space="preserve">    title("Distribution de l'âge de la personne de référence")</w:t>
      </w:r>
    </w:p>
    <w:p>
      <w:pPr>
        <w:spacing w:after="0" w:line="240" w:lineRule="auto"/>
      </w:pPr>
      <w:r>
        <w:rPr>
          <w:rFonts w:ascii="Courier New" w:hAnsi="Courier New" w:eastAsia="Courier New"/>
          <w:sz w:val="15"/>
        </w:rPr>
        <w:t>graph export "graphiques/fig03_hist_age.png",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4 (ménages ayant déclaré leur revenu)</w:t>
      </w:r>
    </w:p>
    <w:p>
      <w:pPr>
        <w:spacing w:after="0" w:line="240" w:lineRule="auto"/>
      </w:pPr>
      <w:r>
        <w:rPr>
          <w:rFonts w:ascii="Courier New" w:hAnsi="Courier New" w:eastAsia="Courier New"/>
          <w:sz w:val="15"/>
        </w:rPr>
        <w:t>histogram totreven, start(499.5) width(500) percent fcolor("42 120 214") lcolor(white) ///</w:t>
      </w:r>
    </w:p>
    <w:p>
      <w:pPr>
        <w:spacing w:after="0" w:line="240" w:lineRule="auto"/>
      </w:pPr>
      <w:r>
        <w:rPr>
          <w:rFonts w:ascii="Courier New" w:hAnsi="Courier New" w:eastAsia="Courier New"/>
          <w:sz w:val="15"/>
        </w:rPr>
        <w:t xml:space="preserve">    xlabel(0(5000)25000) ytitle("Pourcentage des ménages") ///</w:t>
      </w:r>
    </w:p>
    <w:p>
      <w:pPr>
        <w:spacing w:after="0" w:line="240" w:lineRule="auto"/>
      </w:pPr>
      <w:r>
        <w:rPr>
          <w:rFonts w:ascii="Courier New" w:hAnsi="Courier New" w:eastAsia="Courier New"/>
          <w:sz w:val="15"/>
        </w:rPr>
        <w:t xml:space="preserve">    xtitle("Revenu mensuel du ménage (euros)") ///</w:t>
      </w:r>
    </w:p>
    <w:p>
      <w:pPr>
        <w:spacing w:after="0" w:line="240" w:lineRule="auto"/>
      </w:pPr>
      <w:r>
        <w:rPr>
          <w:rFonts w:ascii="Courier New" w:hAnsi="Courier New" w:eastAsia="Courier New"/>
          <w:sz w:val="15"/>
        </w:rPr>
        <w:t xml:space="preserve">    title("Distribution du revenu mensuel du ménage")</w:t>
      </w:r>
    </w:p>
    <w:p>
      <w:pPr>
        <w:spacing w:after="0" w:line="240" w:lineRule="auto"/>
      </w:pPr>
      <w:r>
        <w:rPr>
          <w:rFonts w:ascii="Courier New" w:hAnsi="Courier New" w:eastAsia="Courier New"/>
          <w:sz w:val="15"/>
        </w:rPr>
        <w:t>graph export "graphiques/fig04_hist_revenu.png",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3.iii Variables explicatives qualitatives</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Tableau 8 (effectifs et pourcentages)</w:t>
      </w:r>
    </w:p>
    <w:p>
      <w:pPr>
        <w:spacing w:after="0" w:line="240" w:lineRule="auto"/>
      </w:pPr>
      <w:r>
        <w:rPr>
          <w:rFonts w:ascii="Courier New" w:hAnsi="Courier New" w:eastAsia="Courier New"/>
          <w:sz w:val="15"/>
        </w:rPr>
        <w:t>tab1 revenu_tr statut plusieurs_credits autre_immo enfants csp uu maison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Pas de graphique pour les variables binaires (plusieurs_credits, autre_immo, maison)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5</w:t>
      </w:r>
    </w:p>
    <w:p>
      <w:pPr>
        <w:spacing w:after="0" w:line="240" w:lineRule="auto"/>
      </w:pPr>
      <w:r>
        <w:rPr>
          <w:rFonts w:ascii="Courier New" w:hAnsi="Courier New" w:eastAsia="Courier New"/>
          <w:sz w:val="15"/>
        </w:rPr>
        <w:t>graph bar, over(revenu_tr, label(labsize(small) angle(20))) bar(1, color("42 120 214")) ///</w:t>
      </w:r>
    </w:p>
    <w:p>
      <w:pPr>
        <w:spacing w:after="0" w:line="240" w:lineRule="auto"/>
      </w:pPr>
      <w:r>
        <w:rPr>
          <w:rFonts w:ascii="Courier New" w:hAnsi="Courier New" w:eastAsia="Courier New"/>
          <w:sz w:val="15"/>
        </w:rPr>
        <w:t xml:space="preserve">    blabel(bar, format(%4.1f)) ytitle("Pourcentage des ménages") ///</w:t>
      </w:r>
    </w:p>
    <w:p>
      <w:pPr>
        <w:spacing w:after="0" w:line="240" w:lineRule="auto"/>
      </w:pPr>
      <w:r>
        <w:rPr>
          <w:rFonts w:ascii="Courier New" w:hAnsi="Courier New" w:eastAsia="Courier New"/>
          <w:sz w:val="15"/>
        </w:rPr>
        <w:t xml:space="preserve">    title("Revenu mensuel du ménage")</w:t>
      </w:r>
    </w:p>
    <w:p>
      <w:pPr>
        <w:spacing w:after="0" w:line="240" w:lineRule="auto"/>
      </w:pPr>
      <w:r>
        <w:rPr>
          <w:rFonts w:ascii="Courier New" w:hAnsi="Courier New" w:eastAsia="Courier New"/>
          <w:sz w:val="15"/>
        </w:rPr>
        <w:t>graph export "graphiques/fig05_bar_revenu.png",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6</w:t>
      </w:r>
    </w:p>
    <w:p>
      <w:pPr>
        <w:spacing w:after="0" w:line="240" w:lineRule="auto"/>
      </w:pPr>
      <w:r>
        <w:rPr>
          <w:rFonts w:ascii="Courier New" w:hAnsi="Courier New" w:eastAsia="Courier New"/>
          <w:sz w:val="15"/>
        </w:rPr>
        <w:t>graph bar, over(statut, label(labsize(small))) bar(1, color("42 120 214")) ///</w:t>
      </w:r>
    </w:p>
    <w:p>
      <w:pPr>
        <w:spacing w:after="0" w:line="240" w:lineRule="auto"/>
      </w:pPr>
      <w:r>
        <w:rPr>
          <w:rFonts w:ascii="Courier New" w:hAnsi="Courier New" w:eastAsia="Courier New"/>
          <w:sz w:val="15"/>
        </w:rPr>
        <w:t xml:space="preserve">    blabel(bar, format(%4.1f)) ytitle("Pourcentage des ménages") ///</w:t>
      </w:r>
    </w:p>
    <w:p>
      <w:pPr>
        <w:spacing w:after="0" w:line="240" w:lineRule="auto"/>
      </w:pPr>
      <w:r>
        <w:rPr>
          <w:rFonts w:ascii="Courier New" w:hAnsi="Courier New" w:eastAsia="Courier New"/>
          <w:sz w:val="15"/>
        </w:rPr>
        <w:t xml:space="preserve">    title("Statut d'occupation du logement")</w:t>
      </w:r>
    </w:p>
    <w:p>
      <w:pPr>
        <w:spacing w:after="0" w:line="240" w:lineRule="auto"/>
      </w:pPr>
      <w:r>
        <w:rPr>
          <w:rFonts w:ascii="Courier New" w:hAnsi="Courier New" w:eastAsia="Courier New"/>
          <w:sz w:val="15"/>
        </w:rPr>
        <w:t>graph export "graphiques/fig06_bar_statut.png",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7</w:t>
      </w:r>
    </w:p>
    <w:p>
      <w:pPr>
        <w:spacing w:after="0" w:line="240" w:lineRule="auto"/>
      </w:pPr>
      <w:r>
        <w:rPr>
          <w:rFonts w:ascii="Courier New" w:hAnsi="Courier New" w:eastAsia="Courier New"/>
          <w:sz w:val="15"/>
        </w:rPr>
        <w:t>graph bar, over(enfants) bar(1, color("42 120 214")) ///</w:t>
      </w:r>
    </w:p>
    <w:p>
      <w:pPr>
        <w:spacing w:after="0" w:line="240" w:lineRule="auto"/>
      </w:pPr>
      <w:r>
        <w:rPr>
          <w:rFonts w:ascii="Courier New" w:hAnsi="Courier New" w:eastAsia="Courier New"/>
          <w:sz w:val="15"/>
        </w:rPr>
        <w:t xml:space="preserve">    blabel(bar, format(%4.1f)) ytitle("Pourcentage des ménages") ///</w:t>
      </w:r>
    </w:p>
    <w:p>
      <w:pPr>
        <w:spacing w:after="0" w:line="240" w:lineRule="auto"/>
      </w:pPr>
      <w:r>
        <w:rPr>
          <w:rFonts w:ascii="Courier New" w:hAnsi="Courier New" w:eastAsia="Courier New"/>
          <w:sz w:val="15"/>
        </w:rPr>
        <w:t xml:space="preserve">    title("Nombre d'enfants dans le ménage")</w:t>
      </w:r>
    </w:p>
    <w:p>
      <w:pPr>
        <w:spacing w:after="0" w:line="240" w:lineRule="auto"/>
      </w:pPr>
      <w:r>
        <w:rPr>
          <w:rFonts w:ascii="Courier New" w:hAnsi="Courier New" w:eastAsia="Courier New"/>
          <w:sz w:val="15"/>
        </w:rPr>
        <w:t>graph export "graphiques/fig07_bar_enfants.png",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8 (modalités non ordonnées : barres triées par fréquence)</w:t>
      </w:r>
    </w:p>
    <w:p>
      <w:pPr>
        <w:spacing w:after="0" w:line="240" w:lineRule="auto"/>
      </w:pPr>
      <w:r>
        <w:rPr>
          <w:rFonts w:ascii="Courier New" w:hAnsi="Courier New" w:eastAsia="Courier New"/>
          <w:sz w:val="15"/>
        </w:rPr>
        <w:t>graph hbar, over(csp, sort(1) descending) bar(1, color("42 120 214")) ///</w:t>
      </w:r>
    </w:p>
    <w:p>
      <w:pPr>
        <w:spacing w:after="0" w:line="240" w:lineRule="auto"/>
      </w:pPr>
      <w:r>
        <w:rPr>
          <w:rFonts w:ascii="Courier New" w:hAnsi="Courier New" w:eastAsia="Courier New"/>
          <w:sz w:val="15"/>
        </w:rPr>
        <w:t xml:space="preserve">    blabel(bar, format(%4.1f)) ytitle("Pourcentage des ménages") ///</w:t>
      </w:r>
    </w:p>
    <w:p>
      <w:pPr>
        <w:spacing w:after="0" w:line="240" w:lineRule="auto"/>
      </w:pPr>
      <w:r>
        <w:rPr>
          <w:rFonts w:ascii="Courier New" w:hAnsi="Courier New" w:eastAsia="Courier New"/>
          <w:sz w:val="15"/>
        </w:rPr>
        <w:t xml:space="preserve">    title("CSP de la personne de référence")</w:t>
      </w:r>
    </w:p>
    <w:p>
      <w:pPr>
        <w:spacing w:after="0" w:line="240" w:lineRule="auto"/>
      </w:pPr>
      <w:r>
        <w:rPr>
          <w:rFonts w:ascii="Courier New" w:hAnsi="Courier New" w:eastAsia="Courier New"/>
          <w:sz w:val="15"/>
        </w:rPr>
        <w:t>graph export "graphiques/fig08_bar_csp.png",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Figure 9</w:t>
      </w:r>
    </w:p>
    <w:p>
      <w:pPr>
        <w:spacing w:after="0" w:line="240" w:lineRule="auto"/>
      </w:pPr>
      <w:r>
        <w:rPr>
          <w:rFonts w:ascii="Courier New" w:hAnsi="Courier New" w:eastAsia="Courier New"/>
          <w:sz w:val="15"/>
        </w:rPr>
        <w:t>graph hbar, over(uu) bar(1, color("42 120 214")) ///</w:t>
      </w:r>
    </w:p>
    <w:p>
      <w:pPr>
        <w:spacing w:after="0" w:line="240" w:lineRule="auto"/>
      </w:pPr>
      <w:r>
        <w:rPr>
          <w:rFonts w:ascii="Courier New" w:hAnsi="Courier New" w:eastAsia="Courier New"/>
          <w:sz w:val="15"/>
        </w:rPr>
        <w:t xml:space="preserve">    blabel(bar, format(%4.1f)) ytitle("Pourcentage des ménages") ///</w:t>
      </w:r>
    </w:p>
    <w:p>
      <w:pPr>
        <w:spacing w:after="0" w:line="240" w:lineRule="auto"/>
      </w:pPr>
      <w:r>
        <w:rPr>
          <w:rFonts w:ascii="Courier New" w:hAnsi="Courier New" w:eastAsia="Courier New"/>
          <w:sz w:val="15"/>
        </w:rPr>
        <w:t xml:space="preserve">    title("Taille de l'unité urbaine de résidence")</w:t>
      </w:r>
    </w:p>
    <w:p>
      <w:pPr>
        <w:spacing w:after="0" w:line="240" w:lineRule="auto"/>
      </w:pPr>
      <w:r>
        <w:rPr>
          <w:rFonts w:ascii="Courier New" w:hAnsi="Courier New" w:eastAsia="Courier New"/>
          <w:sz w:val="15"/>
        </w:rPr>
        <w:t>graph export "graphiques/fig09_bar_uu.png",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PARTIE 1 - 4. STATISTIQUES DESCRIPTIVES BIVARIEES</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 La variable expliquée retenue est lncredits. Pour les graphiques en barres,</w:t>
      </w:r>
    </w:p>
    <w:p>
      <w:pPr>
        <w:spacing w:after="0" w:line="240" w:lineRule="auto"/>
      </w:pPr>
      <w:r>
        <w:rPr>
          <w:rFonts w:ascii="Courier New" w:hAnsi="Courier New" w:eastAsia="Courier New"/>
          <w:sz w:val="15"/>
        </w:rPr>
        <w:t>** on représente les mensualités en euros (plus lisibles que le logarithme).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4.a Variables explicatives continues</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Age (Tableau 9 et Figure 10)</w:t>
      </w:r>
    </w:p>
    <w:p>
      <w:pPr>
        <w:spacing w:after="0" w:line="240" w:lineRule="auto"/>
      </w:pPr>
      <w:r>
        <w:rPr>
          <w:rFonts w:ascii="Courier New" w:hAnsi="Courier New" w:eastAsia="Courier New"/>
          <w:sz w:val="15"/>
        </w:rPr>
        <w:t>pwcorr lncredits agepr, sig obs</w:t>
      </w:r>
    </w:p>
    <w:p>
      <w:pPr>
        <w:spacing w:after="0" w:line="240" w:lineRule="auto"/>
      </w:pPr>
      <w:r>
        <w:rPr>
          <w:rFonts w:ascii="Courier New" w:hAnsi="Courier New" w:eastAsia="Courier New"/>
          <w:sz w:val="15"/>
        </w:rPr>
        <w:t>bysort agepr: egen moy_lncredits = mean(lncredits)</w:t>
      </w:r>
    </w:p>
    <w:p>
      <w:pPr>
        <w:spacing w:after="0" w:line="240" w:lineRule="auto"/>
      </w:pPr>
      <w:r>
        <w:rPr>
          <w:rFonts w:ascii="Courier New" w:hAnsi="Courier New" w:eastAsia="Courier New"/>
          <w:sz w:val="15"/>
        </w:rPr>
        <w:t>egen tag_age = tag(agepr)</w:t>
      </w:r>
    </w:p>
    <w:p>
      <w:pPr>
        <w:spacing w:after="0" w:line="240" w:lineRule="auto"/>
      </w:pPr>
      <w:r>
        <w:rPr>
          <w:rFonts w:ascii="Courier New" w:hAnsi="Courier New" w:eastAsia="Courier New"/>
          <w:sz w:val="15"/>
        </w:rPr>
        <w:t>twoway (scatter moy_lncredits agepr if tag_age==1, mcolor("42 120 214")) ///</w:t>
      </w:r>
    </w:p>
    <w:p>
      <w:pPr>
        <w:spacing w:after="0" w:line="240" w:lineRule="auto"/>
      </w:pPr>
      <w:r>
        <w:rPr>
          <w:rFonts w:ascii="Courier New" w:hAnsi="Courier New" w:eastAsia="Courier New"/>
          <w:sz w:val="15"/>
        </w:rPr>
        <w:t xml:space="preserve">    (lfit lncredits agepr, lcolor("235 104 52") lpattern(dash) lwidth(medthick)) ///</w:t>
      </w:r>
    </w:p>
    <w:p>
      <w:pPr>
        <w:spacing w:after="0" w:line="240" w:lineRule="auto"/>
      </w:pPr>
      <w:r>
        <w:rPr>
          <w:rFonts w:ascii="Courier New" w:hAnsi="Courier New" w:eastAsia="Courier New"/>
          <w:sz w:val="15"/>
        </w:rPr>
        <w:t xml:space="preserve">    (qfit lncredits agepr, lcolor("27 175 122") lwidth(medthick)), ///</w:t>
      </w:r>
    </w:p>
    <w:p>
      <w:pPr>
        <w:spacing w:after="0" w:line="240" w:lineRule="auto"/>
      </w:pPr>
      <w:r>
        <w:rPr>
          <w:rFonts w:ascii="Courier New" w:hAnsi="Courier New" w:eastAsia="Courier New"/>
          <w:sz w:val="15"/>
        </w:rPr>
        <w:t xml:space="preserve">    legend(order(1 "Moyenne par âge" 2 "Ajustement linéaire" 3 "Ajustement quadratique") rows(1)) ///</w:t>
      </w:r>
    </w:p>
    <w:p>
      <w:pPr>
        <w:spacing w:after="0" w:line="240" w:lineRule="auto"/>
      </w:pPr>
      <w:r>
        <w:rPr>
          <w:rFonts w:ascii="Courier New" w:hAnsi="Courier New" w:eastAsia="Courier New"/>
          <w:sz w:val="15"/>
        </w:rPr>
        <w:t xml:space="preserve">    ytitle("Logarithme des mensualités") xtitle("Âge de la personne de référence (années)") ///</w:t>
      </w:r>
    </w:p>
    <w:p>
      <w:pPr>
        <w:spacing w:after="0" w:line="240" w:lineRule="auto"/>
      </w:pPr>
      <w:r>
        <w:rPr>
          <w:rFonts w:ascii="Courier New" w:hAnsi="Courier New" w:eastAsia="Courier New"/>
          <w:sz w:val="15"/>
        </w:rPr>
        <w:t xml:space="preserve">    title("Logarithme moyen des mensualités selon l'âge")</w:t>
      </w:r>
    </w:p>
    <w:p>
      <w:pPr>
        <w:spacing w:after="0" w:line="240" w:lineRule="auto"/>
      </w:pPr>
      <w:r>
        <w:rPr>
          <w:rFonts w:ascii="Courier New" w:hAnsi="Courier New" w:eastAsia="Courier New"/>
          <w:sz w:val="15"/>
        </w:rPr>
        <w:t>graph export "graphiques/fig10_age_lncredits.png",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Revenu (Tableau 9 et Figure 11), sur les ménages ayant déclaré leur revenu</w:t>
      </w:r>
    </w:p>
    <w:p>
      <w:pPr>
        <w:spacing w:after="0" w:line="240" w:lineRule="auto"/>
      </w:pPr>
      <w:r>
        <w:rPr>
          <w:rFonts w:ascii="Courier New" w:hAnsi="Courier New" w:eastAsia="Courier New"/>
          <w:sz w:val="15"/>
        </w:rPr>
        <w:t>pwcorr lncredits lnrevenu, sig obs</w:t>
      </w:r>
    </w:p>
    <w:p>
      <w:pPr>
        <w:spacing w:after="0" w:line="240" w:lineRule="auto"/>
      </w:pPr>
      <w:r>
        <w:rPr>
          <w:rFonts w:ascii="Courier New" w:hAnsi="Courier New" w:eastAsia="Courier New"/>
          <w:sz w:val="15"/>
        </w:rPr>
        <w:t>twoway (scatter lncredits lnrevenu, msize(vsmall) mcolor("42 120 214%30")) ///</w:t>
      </w:r>
    </w:p>
    <w:p>
      <w:pPr>
        <w:spacing w:after="0" w:line="240" w:lineRule="auto"/>
      </w:pPr>
      <w:r>
        <w:rPr>
          <w:rFonts w:ascii="Courier New" w:hAnsi="Courier New" w:eastAsia="Courier New"/>
          <w:sz w:val="15"/>
        </w:rPr>
        <w:t xml:space="preserve">    (lfit lncredits lnrevenu, lcolor("235 104 52") lwidth(medthick)), ///</w:t>
      </w:r>
    </w:p>
    <w:p>
      <w:pPr>
        <w:spacing w:after="0" w:line="240" w:lineRule="auto"/>
      </w:pPr>
      <w:r>
        <w:rPr>
          <w:rFonts w:ascii="Courier New" w:hAnsi="Courier New" w:eastAsia="Courier New"/>
          <w:sz w:val="15"/>
        </w:rPr>
        <w:t xml:space="preserve">    legend(order(1 "Ménages" 2 "Ajustement linéaire") rows(1)) ///</w:t>
      </w:r>
    </w:p>
    <w:p>
      <w:pPr>
        <w:spacing w:after="0" w:line="240" w:lineRule="auto"/>
      </w:pPr>
      <w:r>
        <w:rPr>
          <w:rFonts w:ascii="Courier New" w:hAnsi="Courier New" w:eastAsia="Courier New"/>
          <w:sz w:val="15"/>
        </w:rPr>
        <w:t xml:space="preserve">    ytitle("Logarithme des mensualités") xtitle("Logarithme du revenu mensuel du ménage") ///</w:t>
      </w:r>
    </w:p>
    <w:p>
      <w:pPr>
        <w:spacing w:after="0" w:line="240" w:lineRule="auto"/>
      </w:pPr>
      <w:r>
        <w:rPr>
          <w:rFonts w:ascii="Courier New" w:hAnsi="Courier New" w:eastAsia="Courier New"/>
          <w:sz w:val="15"/>
        </w:rPr>
        <w:t xml:space="preserve">    title("Mensualités et revenu (en logarithmes)")</w:t>
      </w:r>
    </w:p>
    <w:p>
      <w:pPr>
        <w:spacing w:after="0" w:line="240" w:lineRule="auto"/>
      </w:pPr>
      <w:r>
        <w:rPr>
          <w:rFonts w:ascii="Courier New" w:hAnsi="Courier New" w:eastAsia="Courier New"/>
          <w:sz w:val="15"/>
        </w:rPr>
        <w:t>graph export "graphiques/fig11_revenu_lncredits.png",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4.b Variables explicatives qualitatives (Tableau 8 : mensualités moyennes et</w:t>
      </w:r>
    </w:p>
    <w:p>
      <w:pPr>
        <w:spacing w:after="0" w:line="240" w:lineRule="auto"/>
      </w:pPr>
      <w:r>
        <w:rPr>
          <w:rFonts w:ascii="Courier New" w:hAnsi="Courier New" w:eastAsia="Courier New"/>
          <w:sz w:val="15"/>
        </w:rPr>
        <w:t>**     médianes, et Figures 12 à 19)</w:t>
      </w:r>
    </w:p>
    <w:p>
      <w:pPr>
        <w:spacing w:after="0" w:line="240" w:lineRule="auto"/>
      </w:pPr>
      <w:r>
        <w:rPr>
          <w:rFonts w:ascii="Courier New" w:hAnsi="Courier New" w:eastAsia="Courier New"/>
          <w:sz w:val="15"/>
        </w:rPr>
        <w:t>**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Revenu en tranches</w:t>
      </w:r>
    </w:p>
    <w:p>
      <w:pPr>
        <w:spacing w:after="0" w:line="240" w:lineRule="auto"/>
      </w:pPr>
      <w:r>
        <w:rPr>
          <w:rFonts w:ascii="Courier New" w:hAnsi="Courier New" w:eastAsia="Courier New"/>
          <w:sz w:val="15"/>
        </w:rPr>
        <w:t>tabstat credits, by(revenu_tr) statistics(n mean p50) format(%9.0f)</w:t>
      </w:r>
    </w:p>
    <w:p>
      <w:pPr>
        <w:spacing w:after="0" w:line="240" w:lineRule="auto"/>
      </w:pPr>
      <w:r>
        <w:rPr>
          <w:rFonts w:ascii="Courier New" w:hAnsi="Courier New" w:eastAsia="Courier New"/>
          <w:sz w:val="15"/>
        </w:rPr>
        <w:t>graph bar (mean) credits, over(revenu_tr, label(labsize(small) angle(20)))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le revenu du ménage")</w:t>
      </w:r>
    </w:p>
    <w:p>
      <w:pPr>
        <w:spacing w:after="0" w:line="240" w:lineRule="auto"/>
      </w:pPr>
      <w:r>
        <w:rPr>
          <w:rFonts w:ascii="Courier New" w:hAnsi="Courier New" w:eastAsia="Courier New"/>
          <w:sz w:val="15"/>
        </w:rPr>
        <w:t>graph export "graphiques/fig12_moy_revenu.png",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Statut d'occupation</w:t>
      </w:r>
    </w:p>
    <w:p>
      <w:pPr>
        <w:spacing w:after="0" w:line="240" w:lineRule="auto"/>
      </w:pPr>
      <w:r>
        <w:rPr>
          <w:rFonts w:ascii="Courier New" w:hAnsi="Courier New" w:eastAsia="Courier New"/>
          <w:sz w:val="15"/>
        </w:rPr>
        <w:t>tabstat credits, by(statut) statistics(n mean p50) format(%9.0f)</w:t>
      </w:r>
    </w:p>
    <w:p>
      <w:pPr>
        <w:spacing w:after="0" w:line="240" w:lineRule="auto"/>
      </w:pPr>
      <w:r>
        <w:rPr>
          <w:rFonts w:ascii="Courier New" w:hAnsi="Courier New" w:eastAsia="Courier New"/>
          <w:sz w:val="15"/>
        </w:rPr>
        <w:t>graph bar (mean) credits, over(statut, label(labsize(small)))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le statut d'occupation")</w:t>
      </w:r>
    </w:p>
    <w:p>
      <w:pPr>
        <w:spacing w:after="0" w:line="240" w:lineRule="auto"/>
      </w:pPr>
      <w:r>
        <w:rPr>
          <w:rFonts w:ascii="Courier New" w:hAnsi="Courier New" w:eastAsia="Courier New"/>
          <w:sz w:val="15"/>
        </w:rPr>
        <w:t>graph export "graphiques/fig13_moy_statut.png",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Nombre de crédits</w:t>
      </w:r>
    </w:p>
    <w:p>
      <w:pPr>
        <w:spacing w:after="0" w:line="240" w:lineRule="auto"/>
      </w:pPr>
      <w:r>
        <w:rPr>
          <w:rFonts w:ascii="Courier New" w:hAnsi="Courier New" w:eastAsia="Courier New"/>
          <w:sz w:val="15"/>
        </w:rPr>
        <w:t>tabstat credits, by(plusieurs_credits) statistics(n mean p50) format(%9.0f)</w:t>
      </w:r>
    </w:p>
    <w:p>
      <w:pPr>
        <w:spacing w:after="0" w:line="240" w:lineRule="auto"/>
      </w:pPr>
      <w:r>
        <w:rPr>
          <w:rFonts w:ascii="Courier New" w:hAnsi="Courier New" w:eastAsia="Courier New"/>
          <w:sz w:val="15"/>
        </w:rPr>
        <w:t>graph bar (mean) credits, over(plusieurs_credits)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le nombre de crédits")</w:t>
      </w:r>
    </w:p>
    <w:p>
      <w:pPr>
        <w:spacing w:after="0" w:line="240" w:lineRule="auto"/>
      </w:pPr>
      <w:r>
        <w:rPr>
          <w:rFonts w:ascii="Courier New" w:hAnsi="Courier New" w:eastAsia="Courier New"/>
          <w:sz w:val="15"/>
        </w:rPr>
        <w:t>graph export "graphiques/fig14_moy_nbcredits.png",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Crédit pour un autre bien immobilier</w:t>
      </w:r>
    </w:p>
    <w:p>
      <w:pPr>
        <w:spacing w:after="0" w:line="240" w:lineRule="auto"/>
      </w:pPr>
      <w:r>
        <w:rPr>
          <w:rFonts w:ascii="Courier New" w:hAnsi="Courier New" w:eastAsia="Courier New"/>
          <w:sz w:val="15"/>
        </w:rPr>
        <w:t>tabstat credits, by(autre_immo) statistics(n mean p50) format(%9.0f)</w:t>
      </w:r>
    </w:p>
    <w:p>
      <w:pPr>
        <w:spacing w:after="0" w:line="240" w:lineRule="auto"/>
      </w:pPr>
      <w:r>
        <w:rPr>
          <w:rFonts w:ascii="Courier New" w:hAnsi="Courier New" w:eastAsia="Courier New"/>
          <w:sz w:val="15"/>
        </w:rPr>
        <w:t>graph bar (mean) credits, over(autre_immo)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title("Crédit pour un autre bien immobilier")</w:t>
      </w:r>
    </w:p>
    <w:p>
      <w:pPr>
        <w:spacing w:after="0" w:line="240" w:lineRule="auto"/>
      </w:pPr>
      <w:r>
        <w:rPr>
          <w:rFonts w:ascii="Courier New" w:hAnsi="Courier New" w:eastAsia="Courier New"/>
          <w:sz w:val="15"/>
        </w:rPr>
        <w:t>graph export "graphiques/fig15_moy_autreimmo.png",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Type de logement</w:t>
      </w:r>
    </w:p>
    <w:p>
      <w:pPr>
        <w:spacing w:after="0" w:line="240" w:lineRule="auto"/>
      </w:pPr>
      <w:r>
        <w:rPr>
          <w:rFonts w:ascii="Courier New" w:hAnsi="Courier New" w:eastAsia="Courier New"/>
          <w:sz w:val="15"/>
        </w:rPr>
        <w:t>tabstat credits, by(maison) statistics(n mean p50) format(%9.0f)</w:t>
      </w:r>
    </w:p>
    <w:p>
      <w:pPr>
        <w:spacing w:after="0" w:line="240" w:lineRule="auto"/>
      </w:pPr>
      <w:r>
        <w:rPr>
          <w:rFonts w:ascii="Courier New" w:hAnsi="Courier New" w:eastAsia="Courier New"/>
          <w:sz w:val="15"/>
        </w:rPr>
        <w:t>tab maison statut, row nofreq</w:t>
      </w:r>
    </w:p>
    <w:p>
      <w:pPr>
        <w:spacing w:after="0" w:line="240" w:lineRule="auto"/>
      </w:pPr>
      <w:r>
        <w:rPr>
          <w:rFonts w:ascii="Courier New" w:hAnsi="Courier New" w:eastAsia="Courier New"/>
          <w:sz w:val="15"/>
        </w:rPr>
        <w:t>graph bar (mean) credits, over(maison)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le type de logement")</w:t>
      </w:r>
    </w:p>
    <w:p>
      <w:pPr>
        <w:spacing w:after="0" w:line="240" w:lineRule="auto"/>
      </w:pPr>
      <w:r>
        <w:rPr>
          <w:rFonts w:ascii="Courier New" w:hAnsi="Courier New" w:eastAsia="Courier New"/>
          <w:sz w:val="15"/>
        </w:rPr>
        <w:t>graph export "graphiques/fig16_moy_logement.png",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Nombre d'enfants</w:t>
      </w:r>
    </w:p>
    <w:p>
      <w:pPr>
        <w:spacing w:after="0" w:line="240" w:lineRule="auto"/>
      </w:pPr>
      <w:r>
        <w:rPr>
          <w:rFonts w:ascii="Courier New" w:hAnsi="Courier New" w:eastAsia="Courier New"/>
          <w:sz w:val="15"/>
        </w:rPr>
        <w:t>tabstat credits, by(enfants) statistics(n mean p50) format(%9.0f)</w:t>
      </w:r>
    </w:p>
    <w:p>
      <w:pPr>
        <w:spacing w:after="0" w:line="240" w:lineRule="auto"/>
      </w:pPr>
      <w:r>
        <w:rPr>
          <w:rFonts w:ascii="Courier New" w:hAnsi="Courier New" w:eastAsia="Courier New"/>
          <w:sz w:val="15"/>
        </w:rPr>
        <w:t>** lien entre nombre d'enfants, âge et accession à la propriété</w:t>
      </w:r>
    </w:p>
    <w:p>
      <w:pPr>
        <w:spacing w:after="0" w:line="240" w:lineRule="auto"/>
      </w:pPr>
      <w:r>
        <w:rPr>
          <w:rFonts w:ascii="Courier New" w:hAnsi="Courier New" w:eastAsia="Courier New"/>
          <w:sz w:val="15"/>
        </w:rPr>
        <w:t>tabstat agepr, by(enfants) statistics(mean) format(%9.1f)</w:t>
      </w:r>
    </w:p>
    <w:p>
      <w:pPr>
        <w:spacing w:after="0" w:line="240" w:lineRule="auto"/>
      </w:pPr>
      <w:r>
        <w:rPr>
          <w:rFonts w:ascii="Courier New" w:hAnsi="Courier New" w:eastAsia="Courier New"/>
          <w:sz w:val="15"/>
        </w:rPr>
        <w:t>tab enfants statut, row nofreq</w:t>
      </w:r>
    </w:p>
    <w:p>
      <w:pPr>
        <w:spacing w:after="0" w:line="240" w:lineRule="auto"/>
      </w:pPr>
      <w:r>
        <w:rPr>
          <w:rFonts w:ascii="Courier New" w:hAnsi="Courier New" w:eastAsia="Courier New"/>
          <w:sz w:val="15"/>
        </w:rPr>
        <w:t>graph bar (mean) credits, over(enfants)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le nombre d'enfants")</w:t>
      </w:r>
    </w:p>
    <w:p>
      <w:pPr>
        <w:spacing w:after="0" w:line="240" w:lineRule="auto"/>
      </w:pPr>
      <w:r>
        <w:rPr>
          <w:rFonts w:ascii="Courier New" w:hAnsi="Courier New" w:eastAsia="Courier New"/>
          <w:sz w:val="15"/>
        </w:rPr>
        <w:t>graph export "graphiques/fig17_moy_enfants.png",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CSP (barres triées par mensualité moyenne)</w:t>
      </w:r>
    </w:p>
    <w:p>
      <w:pPr>
        <w:spacing w:after="0" w:line="240" w:lineRule="auto"/>
      </w:pPr>
      <w:r>
        <w:rPr>
          <w:rFonts w:ascii="Courier New" w:hAnsi="Courier New" w:eastAsia="Courier New"/>
          <w:sz w:val="15"/>
        </w:rPr>
        <w:t>tabstat credits, by(csp) statistics(n mean p50) format(%9.0f)</w:t>
      </w:r>
    </w:p>
    <w:p>
      <w:pPr>
        <w:spacing w:after="0" w:line="240" w:lineRule="auto"/>
      </w:pPr>
      <w:r>
        <w:rPr>
          <w:rFonts w:ascii="Courier New" w:hAnsi="Courier New" w:eastAsia="Courier New"/>
          <w:sz w:val="15"/>
        </w:rPr>
        <w:t>graph hbar (mean) credits, over(csp, sort(1) descending)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la CSP")</w:t>
      </w:r>
    </w:p>
    <w:p>
      <w:pPr>
        <w:spacing w:after="0" w:line="240" w:lineRule="auto"/>
      </w:pPr>
      <w:r>
        <w:rPr>
          <w:rFonts w:ascii="Courier New" w:hAnsi="Courier New" w:eastAsia="Courier New"/>
          <w:sz w:val="15"/>
        </w:rPr>
        <w:t>graph export "graphiques/fig18_moy_csp.png",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Taille de l'unité urbaine</w:t>
      </w:r>
    </w:p>
    <w:p>
      <w:pPr>
        <w:spacing w:after="0" w:line="240" w:lineRule="auto"/>
      </w:pPr>
      <w:r>
        <w:rPr>
          <w:rFonts w:ascii="Courier New" w:hAnsi="Courier New" w:eastAsia="Courier New"/>
          <w:sz w:val="15"/>
        </w:rPr>
        <w:t>tabstat credits, by(uu) statistics(n mean p50) format(%9.0f)</w:t>
      </w:r>
    </w:p>
    <w:p>
      <w:pPr>
        <w:spacing w:after="0" w:line="240" w:lineRule="auto"/>
      </w:pPr>
      <w:r>
        <w:rPr>
          <w:rFonts w:ascii="Courier New" w:hAnsi="Courier New" w:eastAsia="Courier New"/>
          <w:sz w:val="15"/>
        </w:rPr>
        <w:t>graph hbar (mean) credits, over(uu) bar(1, color("42 120 214")) ///</w:t>
      </w:r>
    </w:p>
    <w:p>
      <w:pPr>
        <w:spacing w:after="0" w:line="240" w:lineRule="auto"/>
      </w:pPr>
      <w:r>
        <w:rPr>
          <w:rFonts w:ascii="Courier New" w:hAnsi="Courier New" w:eastAsia="Courier New"/>
          <w:sz w:val="15"/>
        </w:rPr>
        <w:t xml:space="preserve">    blabel(bar, format(%9.0f)) ytitle("Mensualité moyenne (euros)") ///</w:t>
      </w:r>
    </w:p>
    <w:p>
      <w:pPr>
        <w:spacing w:after="0" w:line="240" w:lineRule="auto"/>
      </w:pPr>
      <w:r>
        <w:rPr>
          <w:rFonts w:ascii="Courier New" w:hAnsi="Courier New" w:eastAsia="Courier New"/>
          <w:sz w:val="15"/>
        </w:rPr>
        <w:t xml:space="preserve">    title("Mensualité moyenne selon la taille de l'unité urbaine")</w:t>
      </w:r>
    </w:p>
    <w:p>
      <w:pPr>
        <w:spacing w:after="0" w:line="240" w:lineRule="auto"/>
      </w:pPr>
      <w:r>
        <w:rPr>
          <w:rFonts w:ascii="Courier New" w:hAnsi="Courier New" w:eastAsia="Courier New"/>
          <w:sz w:val="15"/>
        </w:rPr>
        <w:t>graph export "graphiques/fig19_moy_uu.png", replace width(1600)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Fin de la version intermédiaire</w:t>
      </w:r>
    </w:p>
    <w:p>
      <w:pPr>
        <w:spacing w:after="0" w:line="240" w:lineRule="auto"/>
      </w:pPr>
      <w:r>
        <w:rPr>
          <w:rFonts w:ascii="Courier New" w:hAnsi="Courier New" w:eastAsia="Courier New"/>
          <w:sz w:val="15"/>
        </w:rPr>
        <w:t xml:space="preserve"> </w:t>
      </w:r>
    </w:p>
    <w:sectPr w:rsidR="00FC693F" w:rsidRPr="0006063C" w:rsidSect="00034616">
      <w:footerReference w:type="default" r:id="rId9"/>
      <w:pgSz w:w="11906" w:h="16838"/>
      <w:pgMar w:top="1304"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2A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