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sz w:val="28"/>
        </w:rPr>
        <w:t>Université Paris Panthéon-Assas</w:t>
      </w:r>
    </w:p>
    <w:p>
      <w:pPr>
        <w:spacing w:after="40"/>
        <w:jc w:val="center"/>
      </w:pPr>
      <w:r>
        <w:rPr>
          <w:sz w:val="24"/>
        </w:rPr>
        <w:t>Licence 3 Économie – Semestre 1</w:t>
      </w:r>
    </w:p>
    <w:p>
      <w:pPr>
        <w:spacing w:after="800"/>
        <w:jc w:val="center"/>
      </w:pPr>
      <w:r>
        <w:rPr>
          <w:sz w:val="24"/>
        </w:rPr>
        <w:t>Économétrie – Année universitaire 2026-2027</w:t>
      </w:r>
    </w:p>
    <w:p>
      <w:pPr>
        <w:spacing w:after="200"/>
        <w:jc w:val="center"/>
      </w:pPr>
      <w:r>
        <w:rPr>
          <w:b/>
          <w:sz w:val="26"/>
        </w:rPr>
        <w:t>PROJET D’ÉCONOMÉTRIE</w:t>
      </w:r>
    </w:p>
    <w:p>
      <w:pPr>
        <w:spacing w:after="280"/>
        <w:jc w:val="center"/>
      </w:pPr>
      <w:r>
        <w:rPr>
          <w:b/>
          <w:color w:val="1F3A68"/>
          <w:sz w:val="44"/>
        </w:rPr>
        <w:t>Les déterminants du montant des emprunts contractés par les ménages</w:t>
      </w:r>
    </w:p>
    <w:p>
      <w:pPr>
        <w:spacing w:after="800"/>
        <w:jc w:val="center"/>
      </w:pPr>
      <w:r>
        <w:rPr>
          <w:i/>
          <w:sz w:val="26"/>
        </w:rPr>
        <w:t>Version intermédiaire : introduction et partie 1 (statistiques descriptives)</w:t>
      </w:r>
    </w:p>
    <w:p>
      <w:pPr>
        <w:spacing w:after="1200"/>
        <w:jc w:val="center"/>
      </w:pPr>
      <w:r>
        <w:rPr>
          <w:sz w:val="22"/>
        </w:rPr>
        <w:t>Données : enquête Statistiques sur les ressources et les conditions de vie (SRCV) 2015, INSEE – Eurostat, base SRCV1_menage</w:t>
      </w:r>
    </w:p>
    <w:p>
      <w:pPr>
        <w:spacing w:after="40"/>
        <w:jc w:val="center"/>
      </w:pPr>
      <w:r>
        <w:rPr>
          <w:b/>
          <w:sz w:val="28"/>
        </w:rPr>
        <w:t>Charles GIACOMOTTO</w:t>
      </w:r>
    </w:p>
    <w:p>
      <w:pPr>
        <w:spacing w:after="1000"/>
        <w:jc w:val="center"/>
      </w:pPr>
      <w:r>
        <w:rPr>
          <w:b/>
          <w:sz w:val="28"/>
        </w:rPr>
        <w:t>Lucas STANUCH</w:t>
      </w:r>
    </w:p>
    <w:p>
      <w:pPr>
        <w:spacing w:after="40"/>
        <w:jc w:val="center"/>
      </w:pPr>
      <w:r>
        <w:rPr>
          <w:sz w:val="23"/>
        </w:rPr>
        <w:t>Enseignante : Mme Anne-Laure Samson</w:t>
      </w:r>
    </w:p>
    <w:p>
      <w:pPr>
        <w:spacing w:after="40"/>
        <w:jc w:val="center"/>
      </w:pPr>
      <w:r>
        <w:rPr>
          <w:sz w:val="23"/>
        </w:rPr>
        <w:t>Rendu du 13 novembre 2026</w:t>
      </w:r>
    </w:p>
    <w:p>
      <w:r>
        <w:br w:type="page"/>
      </w:r>
    </w:p>
    <w:p>
      <w:pPr>
        <w:pStyle w:val="Heading1"/>
      </w:pPr>
      <w:r>
        <w:t>Sommaire</w:t>
      </w:r>
    </w:p>
    <w:p>
      <w:pPr>
        <w:spacing w:after="80"/>
        <w:ind w:left="0"/>
        <w:jc w:val="left"/>
      </w:pPr>
      <w:r>
        <w:rPr>
          <w:b/>
          <w:sz w:val="24"/>
        </w:rPr>
        <w:t>Introduction</w:t>
      </w:r>
    </w:p>
    <w:p>
      <w:pPr>
        <w:spacing w:after="80"/>
        <w:ind w:left="0"/>
        <w:jc w:val="left"/>
      </w:pPr>
      <w:r>
        <w:rPr>
          <w:b/>
          <w:sz w:val="24"/>
        </w:rPr>
        <w:t>Partie 1 – Statistiques descriptives</w:t>
      </w:r>
    </w:p>
    <w:p>
      <w:pPr>
        <w:spacing w:after="80"/>
        <w:ind w:left="454"/>
        <w:jc w:val="left"/>
      </w:pPr>
      <w:r>
        <w:rPr>
          <w:sz w:val="24"/>
        </w:rPr>
        <w:t>1. Description de la base de données</w:t>
      </w:r>
    </w:p>
    <w:p>
      <w:pPr>
        <w:spacing w:after="80"/>
        <w:ind w:left="454"/>
        <w:jc w:val="left"/>
      </w:pPr>
      <w:r>
        <w:rPr>
          <w:sz w:val="24"/>
        </w:rPr>
        <w:t>2. Sélection de l’échantillon de travail</w:t>
      </w:r>
    </w:p>
    <w:p>
      <w:pPr>
        <w:spacing w:after="80"/>
        <w:ind w:left="454"/>
        <w:jc w:val="left"/>
      </w:pPr>
      <w:r>
        <w:rPr>
          <w:sz w:val="24"/>
        </w:rPr>
        <w:t>3. Statistiques descriptives univariées</w:t>
      </w:r>
    </w:p>
    <w:p>
      <w:pPr>
        <w:spacing w:after="80"/>
        <w:ind w:left="454"/>
        <w:jc w:val="left"/>
      </w:pPr>
      <w:r>
        <w:rPr>
          <w:sz w:val="24"/>
        </w:rPr>
        <w:t>4. Statistiques descriptives bivariées</w:t>
      </w:r>
    </w:p>
    <w:p>
      <w:pPr>
        <w:spacing w:after="80"/>
        <w:ind w:left="454"/>
        <w:jc w:val="left"/>
      </w:pPr>
      <w:r>
        <w:rPr>
          <w:sz w:val="24"/>
        </w:rPr>
        <w:t>5. Synthèse et transition vers la partie 2</w:t>
      </w:r>
    </w:p>
    <w:p>
      <w:pPr>
        <w:spacing w:after="80"/>
        <w:ind w:left="0"/>
        <w:jc w:val="left"/>
      </w:pPr>
      <w:r>
        <w:rPr>
          <w:b/>
          <w:sz w:val="24"/>
        </w:rPr>
        <w:t>Références</w:t>
      </w:r>
    </w:p>
    <w:p>
      <w:pPr>
        <w:spacing w:after="80"/>
        <w:ind w:left="0"/>
        <w:jc w:val="left"/>
      </w:pPr>
      <w:r>
        <w:rPr>
          <w:b/>
          <w:sz w:val="24"/>
        </w:rPr>
        <w:t>Annexe – Programme Stata</w:t>
      </w:r>
    </w:p>
    <w:p>
      <w:r>
        <w:br w:type="page"/>
      </w:r>
    </w:p>
    <w:p>
      <w:pPr>
        <w:pStyle w:val="Heading1"/>
      </w:pPr>
      <w:r>
        <w:t>Introduction</w:t>
      </w:r>
    </w:p>
    <w:p>
      <w:pPr>
        <w:jc w:val="both"/>
      </w:pPr>
      <w:r>
        <w:t>S’endetter fait partie de la vie ordinaire de nombreux ménages. Acheter un logement, une voiture ou financer des travaux sans disposer de la totalité de la somme passe presque toujours par un crédit. En France, d’après l’Observatoire des crédits aux ménages, 46,5 % des ménages avaient au moins un crédit en cours fin 2015 : 30,2 % un crédit immobilier et 26 % un crédit à la consommation. L’année 2015 se caractérise aussi par des conditions de financement très favorables, puisque le taux moyen des prêts immobiliers tourne autour de 2 % selon l’Observatoire Crédit Logement/CSA, un niveau historiquement bas qui a soutenu la reprise des crédits.</w:t>
      </w:r>
    </w:p>
    <w:p>
      <w:pPr>
        <w:jc w:val="both"/>
      </w:pPr>
      <w:r>
        <w:t>Le montant des emprunts contractés est un enjeu à plusieurs niveaux. Pour les ménages, le crédit permet d’anticiper des dépenses et de lisser la consommation dans le temps, mais les remboursements pèsent sur le budget pendant de longues années, et un endettement trop lourd peut mener au surendettement. Pour les banques et les pouvoirs publics, la question touche à la stabilité financière. Les banques appliquaient déjà en pratique un taux d’effort maximal d’environ un tiers des revenus. Le Haut Conseil de stabilité financière (HCSF) a formalisé cette règle en décembre 2019 (mensualités limitées à 33 % des revenus et durée maximale de 25 ans), avant de relever le plafond à 35 % en 2021 et de le rendre contraignant à partir du 1er janvier 2022. Enfin, tous les ménages n’ont pas le même accès au crédit : les ménages jeunes, modestes ou dont l’emploi est instable empruntent plus difficilement, ce qui pèse en particulier sur leur accès à la propriété.</w:t>
      </w:r>
    </w:p>
    <w:p>
      <w:pPr>
        <w:jc w:val="both"/>
      </w:pPr>
      <w:r>
        <w:t>Plusieurs approches théoriques permettent d’anticiper quels ménages empruntent le plus. La théorie du cycle de vie (Modigliani et Brumberg, 1954) suppose que les individus cherchent à lisser leur consommation sur toute leur vie : ils s’endettent quand ils sont jeunes et que leur revenu courant est inférieur à leur revenu moyen de long terme, remboursent en milieu de vie, puis désépargnent à la retraite. L’endettement devrait donc être maximal chez les ménages d’âge intermédiaire, au moment de l’achat du logement, puis diminuer. L’hypothèse du revenu permanent (Friedman, 1957) va dans le même sens : ce qui compte n’est pas seulement le revenu actuel mais le revenu anticipé, ce qui devrait favoriser les ménages dont la carrière est ascendante, comme les cadres. Mais le marché du crédit n’est pas parfait. Les banques connaissent mal le risque de chaque emprunteur et rationnent le crédit (Stiglitz et Weiss, 1981) : elles fixent le montant prêté en fonction du revenu courant et de la stabilité de l’emploi. Le revenu actuel du ménage devrait donc être un déterminant central de sa capacité d’emprunt. Enfin, comme l’essentiel des sommes empruntées sert à financer un logement, le prix de l’immobilier, très variable d’un territoire à l’autre, devrait aussi jouer.</w:t>
      </w:r>
    </w:p>
    <w:p>
      <w:pPr>
        <w:jc w:val="both"/>
      </w:pPr>
      <w:r>
        <w:t>Pour étudier ces questions, nous utilisons les données de l’enquête Statistiques sur les ressources et les conditions de vie (SRCV), volet français de l’enquête européenne EU-SILC, réalisée par l’INSEE en 2015. La base qui nous a été fournie (SRCV1_menage) contient 4 198 ménages qui ont tous au moins un crédit en cours. Le montant des emprunts y est mesuré de deux façons : le montant total du crédit immobilier (MEMP) et le montant mensuel payé pour rembourser l’ensemble des crédits du ménage (CREDITS). Nous retenons ce second montant comme variable expliquée. En effet, MEMP ne concerne que les prêts immobiliers : il est manquant pour 44 % des ménages de la base, ceux qui n’ont pas de prêt immobilier, et ne tient pas compte des autres emprunts (automobile, consommation, etc.). Le montant mensuel des remboursements couvre au contraire tous les emprunts du ménage. Il dépend du montant emprunté, mais aussi du taux d’intérêt et de la durée des prêts ; c’est aussi la mesure qui correspond le mieux au poids de l’endettement dans le budget du ménage.</w:t>
      </w:r>
    </w:p>
    <w:p>
      <w:pPr>
        <w:jc w:val="both"/>
      </w:pPr>
      <w:r>
        <w:t xml:space="preserve">Notre question principale est la suivante : </w:t>
      </w:r>
      <w:r>
        <w:rPr>
          <w:b/>
        </w:rPr>
        <w:t>quels facteurs expliquent les écarts de mensualités de remboursement entre les ménages endettés ?</w:t>
      </w:r>
      <w:r>
        <w:t xml:space="preserve"> Nous nous intéressons plus particulièrement à deux variables. La première est le revenu du ménage : les mensualités augmentent-elles avec le revenu, et dans quelle proportion ? La seconde est l’âge de la personne de référence du ménage : retrouve-t-on le profil en cloche prédit par la théorie du cycle de vie, une fois pris en compte le revenu, la situation familiale, le statut d’occupation du logement ou le lieu de résidence ?</w:t>
      </w:r>
    </w:p>
    <w:p>
      <w:pPr>
        <w:jc w:val="both"/>
      </w:pPr>
      <w:r>
        <w:t>Cette version intermédiaire présente la première partie du projet, consacrée aux statistiques descriptives. Nous décrivons d’abord la base et les variables retenues (1), puis nous construisons l’échantillon de travail en traitant les valeurs manquantes et atypiques (2). Nous analysons ensuite la distribution de chaque variable (3), puis le lien entre la variable expliquée et chacune des variables explicatives (4). L’estimation du modèle de régression linéaire multiple par les moindres carrés ordinaires fera l’objet de la seconde partie, dans la version finale. Tous les résultats présentés peuvent être reproduits à partir du programme Stata fourni en annexe.</w:t>
      </w:r>
    </w:p>
    <w:p>
      <w:r>
        <w:br w:type="page"/>
      </w:r>
    </w:p>
    <w:p>
      <w:pPr>
        <w:pStyle w:val="Heading1"/>
      </w:pPr>
      <w:r>
        <w:t>Partie 1 – Statistiques descriptives</w:t>
      </w:r>
    </w:p>
    <w:p>
      <w:pPr>
        <w:pStyle w:val="Heading2"/>
      </w:pPr>
      <w:r>
        <w:t>1. Description de la base de données</w:t>
      </w:r>
    </w:p>
    <w:p>
      <w:pPr>
        <w:pStyle w:val="Heading3"/>
      </w:pPr>
      <w:r>
        <w:t>1.1. Nombre d’observations et variable expliquée</w:t>
      </w:r>
    </w:p>
    <w:p>
      <w:pPr>
        <w:jc w:val="both"/>
      </w:pPr>
      <w:r>
        <w:t xml:space="preserve">La base SRCV1_menage compte </w:t>
      </w:r>
      <w:r>
        <w:rPr>
          <w:b/>
        </w:rPr>
        <w:t>4 198 observations</w:t>
      </w:r>
      <w:r>
        <w:t xml:space="preserve"> et 20 variables. L’unité d’observation est le ménage ; les caractéristiques individuelles (âge, catégorie socioprofessionnelle, nationalité, situation vis-à-vis de l’emploi) sont celles de la personne de référence du ménage. Tous les ménages de la base remboursent au moins un crédit : le nombre de crédits en cours vaut au minimum 1 et le montant mensuel des remboursements est toujours strictement positif. Nos résultats porteront donc sur les ménages endettés et non sur l’ensemble de la population : nous ne cherchons pas à expliquer pourquoi un ménage emprunte, mais combien il rembourse lorsqu’il est endetté.</w:t>
      </w:r>
    </w:p>
    <w:p>
      <w:pPr>
        <w:jc w:val="both"/>
      </w:pPr>
      <w:r>
        <w:t xml:space="preserve">La </w:t>
      </w:r>
      <w:r>
        <w:rPr>
          <w:b/>
        </w:rPr>
        <w:t>variable expliquée</w:t>
      </w:r>
      <w:r>
        <w:t xml:space="preserve"> est le montant mensuel des crédits à rembourser (CREDITS), en euros. C’est la somme que le ménage paie chaque mois pour rembourser l’intégralité de ses crédits. Il s’agit d’une variable continue, ce qui permet d’utiliser le modèle de régression linéaire. Pour alléger le texte, nous parlerons simplement des « mensualités » du ménage.</w:t>
      </w:r>
    </w:p>
    <w:p>
      <w:pPr>
        <w:pStyle w:val="Heading3"/>
      </w:pPr>
      <w:r>
        <w:t>1.2. Variables explicatives retenues</w:t>
      </w:r>
    </w:p>
    <w:p>
      <w:pPr>
        <w:keepNext/>
        <w:jc w:val="both"/>
      </w:pPr>
      <w:r>
        <w:t xml:space="preserve">Parmi les variables disponibles, nous retenons </w:t>
      </w:r>
      <w:r>
        <w:rPr>
          <w:b/>
        </w:rPr>
        <w:t>neuf variables explicatives</w:t>
      </w:r>
      <w:r>
        <w:t xml:space="preserve"> : deux variables d’intérêt et sept variables de contrôle. Le tableau 1 les présente avec l’effet attendu de chacune sur les mensualités.</w:t>
      </w:r>
    </w:p>
    <w:p>
      <w:pPr>
        <w:keepNext/>
        <w:spacing w:after="60"/>
        <w:jc w:val="left"/>
      </w:pPr>
      <w:r>
        <w:rPr>
          <w:b/>
          <w:sz w:val="21"/>
        </w:rPr>
        <w:t>Tableau 1 – Variables retenues pour l’analyse</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3572"/>
        <w:gridCol w:w="1701"/>
        <w:gridCol w:w="1927"/>
        <w:gridCol w:w="1871"/>
      </w:tblGrid>
      <w:tr>
        <w:trPr>
          <w:cantSplit/>
          <w:tblHeader/>
        </w:trPr>
        <w:tc>
          <w:tcPr>
            <w:tcW w:type="dxa" w:w="3572"/>
            <w:shd w:val="clear" w:color="auto" w:fill="E8ECF2"/>
            <w:vAlign w:val="center"/>
          </w:tcPr>
          <w:p>
            <w:pPr>
              <w:keepNext/>
              <w:spacing w:after="0" w:line="240" w:lineRule="auto"/>
              <w:jc w:val="left"/>
            </w:pPr>
            <w:r/>
            <w:r>
              <w:rPr>
                <w:b/>
                <w:i w:val="0"/>
                <w:sz w:val="18"/>
              </w:rPr>
              <w:t>Variable</w:t>
            </w:r>
          </w:p>
        </w:tc>
        <w:tc>
          <w:tcPr>
            <w:tcW w:type="dxa" w:w="1701"/>
            <w:shd w:val="clear" w:color="auto" w:fill="E8ECF2"/>
            <w:vAlign w:val="center"/>
          </w:tcPr>
          <w:p>
            <w:pPr>
              <w:keepNext/>
              <w:spacing w:after="0" w:line="240" w:lineRule="auto"/>
              <w:jc w:val="center"/>
            </w:pPr>
            <w:r/>
            <w:r>
              <w:rPr>
                <w:b/>
                <w:i w:val="0"/>
                <w:sz w:val="18"/>
              </w:rPr>
              <w:t>Nom dans la base</w:t>
            </w:r>
          </w:p>
        </w:tc>
        <w:tc>
          <w:tcPr>
            <w:tcW w:type="dxa" w:w="1927"/>
            <w:shd w:val="clear" w:color="auto" w:fill="E8ECF2"/>
            <w:vAlign w:val="center"/>
          </w:tcPr>
          <w:p>
            <w:pPr>
              <w:keepNext/>
              <w:spacing w:after="0" w:line="240" w:lineRule="auto"/>
              <w:jc w:val="center"/>
            </w:pPr>
            <w:r/>
            <w:r>
              <w:rPr>
                <w:b/>
                <w:i w:val="0"/>
                <w:sz w:val="18"/>
              </w:rPr>
              <w:t>Type</w:t>
            </w:r>
          </w:p>
        </w:tc>
        <w:tc>
          <w:tcPr>
            <w:tcW w:type="dxa" w:w="1871"/>
            <w:shd w:val="clear" w:color="auto" w:fill="E8ECF2"/>
            <w:vAlign w:val="center"/>
          </w:tcPr>
          <w:p>
            <w:pPr>
              <w:keepNext/>
              <w:spacing w:after="0" w:line="240" w:lineRule="auto"/>
              <w:jc w:val="center"/>
            </w:pPr>
            <w:r/>
            <w:r>
              <w:rPr>
                <w:b/>
                <w:i w:val="0"/>
                <w:sz w:val="18"/>
              </w:rPr>
              <w:t>Effet attendu</w:t>
            </w:r>
          </w:p>
        </w:tc>
      </w:tr>
      <w:tr>
        <w:trPr>
          <w:cantSplit/>
        </w:trPr>
        <w:tc>
          <w:tcPr>
            <w:tcW w:type="dxa" w:w="9072"/>
            <w:gridSpan w:val="4"/>
            <w:shd w:val="clear" w:color="auto" w:fill="F4F6F9"/>
            <w:vAlign w:val="center"/>
          </w:tcPr>
          <w:p>
            <w:pPr>
              <w:keepNext/>
              <w:spacing w:after="0" w:line="240" w:lineRule="auto"/>
              <w:jc w:val="left"/>
            </w:pPr>
            <w:r/>
            <w:r>
              <w:rPr>
                <w:b/>
                <w:i w:val="0"/>
                <w:sz w:val="18"/>
              </w:rPr>
              <w:t>Variable expliquée</w:t>
            </w:r>
          </w:p>
        </w:tc>
      </w:tr>
      <w:tr>
        <w:trPr>
          <w:cantSplit/>
        </w:trPr>
        <w:tc>
          <w:tcPr>
            <w:tcW w:type="dxa" w:w="3572"/>
            <w:vAlign w:val="center"/>
          </w:tcPr>
          <w:p>
            <w:pPr>
              <w:keepNext/>
              <w:spacing w:after="0" w:line="240" w:lineRule="auto"/>
              <w:jc w:val="left"/>
            </w:pPr>
            <w:r/>
            <w:r>
              <w:rPr>
                <w:b w:val="0"/>
                <w:i w:val="0"/>
                <w:sz w:val="18"/>
              </w:rPr>
              <w:t>Montant mensuel des remboursements de crédits (euros)</w:t>
            </w:r>
          </w:p>
        </w:tc>
        <w:tc>
          <w:tcPr>
            <w:tcW w:type="dxa" w:w="1701"/>
            <w:vAlign w:val="center"/>
          </w:tcPr>
          <w:p>
            <w:pPr>
              <w:keepNext/>
              <w:spacing w:after="0" w:line="240" w:lineRule="auto"/>
              <w:jc w:val="center"/>
            </w:pPr>
            <w:r/>
            <w:r>
              <w:rPr>
                <w:b w:val="0"/>
                <w:i w:val="0"/>
                <w:sz w:val="18"/>
              </w:rPr>
              <w:t>CREDITS</w:t>
            </w:r>
          </w:p>
        </w:tc>
        <w:tc>
          <w:tcPr>
            <w:tcW w:type="dxa" w:w="1927"/>
            <w:vAlign w:val="center"/>
          </w:tcPr>
          <w:p>
            <w:pPr>
              <w:keepNext/>
              <w:spacing w:after="0" w:line="240" w:lineRule="auto"/>
              <w:jc w:val="center"/>
            </w:pPr>
            <w:r/>
            <w:r>
              <w:rPr>
                <w:b w:val="0"/>
                <w:i w:val="0"/>
                <w:sz w:val="18"/>
              </w:rPr>
              <w:t>Continue</w:t>
            </w:r>
          </w:p>
        </w:tc>
        <w:tc>
          <w:tcPr>
            <w:tcW w:type="dxa" w:w="1871"/>
            <w:vAlign w:val="center"/>
          </w:tcPr>
          <w:p>
            <w:pPr>
              <w:keepNext/>
              <w:spacing w:after="0" w:line="240" w:lineRule="auto"/>
              <w:jc w:val="center"/>
            </w:pPr>
            <w:r/>
            <w:r>
              <w:rPr>
                <w:b w:val="0"/>
                <w:i w:val="0"/>
                <w:sz w:val="18"/>
              </w:rPr>
              <w:t>–</w:t>
            </w:r>
          </w:p>
        </w:tc>
      </w:tr>
      <w:tr>
        <w:trPr>
          <w:cantSplit/>
        </w:trPr>
        <w:tc>
          <w:tcPr>
            <w:tcW w:type="dxa" w:w="9072"/>
            <w:gridSpan w:val="4"/>
            <w:shd w:val="clear" w:color="auto" w:fill="F4F6F9"/>
            <w:vAlign w:val="center"/>
          </w:tcPr>
          <w:p>
            <w:pPr>
              <w:keepNext/>
              <w:spacing w:after="0" w:line="240" w:lineRule="auto"/>
              <w:jc w:val="left"/>
            </w:pPr>
            <w:r/>
            <w:r>
              <w:rPr>
                <w:b/>
                <w:i w:val="0"/>
                <w:sz w:val="18"/>
              </w:rPr>
              <w:t>Variables d’intérêt</w:t>
            </w:r>
          </w:p>
        </w:tc>
      </w:tr>
      <w:tr>
        <w:trPr>
          <w:cantSplit/>
        </w:trPr>
        <w:tc>
          <w:tcPr>
            <w:tcW w:type="dxa" w:w="3572"/>
            <w:vAlign w:val="center"/>
          </w:tcPr>
          <w:p>
            <w:pPr>
              <w:keepNext/>
              <w:spacing w:after="0" w:line="240" w:lineRule="auto"/>
              <w:jc w:val="left"/>
            </w:pPr>
            <w:r/>
            <w:r>
              <w:rPr>
                <w:b w:val="0"/>
                <w:i w:val="0"/>
                <w:sz w:val="18"/>
              </w:rPr>
              <w:t>Revenu mensuel du ménage</w:t>
            </w:r>
          </w:p>
        </w:tc>
        <w:tc>
          <w:tcPr>
            <w:tcW w:type="dxa" w:w="1701"/>
            <w:vAlign w:val="center"/>
          </w:tcPr>
          <w:p>
            <w:pPr>
              <w:keepNext/>
              <w:spacing w:after="0" w:line="240" w:lineRule="auto"/>
              <w:jc w:val="center"/>
            </w:pPr>
            <w:r/>
            <w:r>
              <w:rPr>
                <w:b w:val="0"/>
                <w:i w:val="0"/>
                <w:sz w:val="18"/>
              </w:rPr>
              <w:t>TOTREVEN</w:t>
            </w:r>
          </w:p>
        </w:tc>
        <w:tc>
          <w:tcPr>
            <w:tcW w:type="dxa" w:w="1927"/>
            <w:vAlign w:val="center"/>
          </w:tcPr>
          <w:p>
            <w:pPr>
              <w:keepNext/>
              <w:spacing w:after="0" w:line="240" w:lineRule="auto"/>
              <w:jc w:val="center"/>
            </w:pPr>
            <w:r/>
            <w:r>
              <w:rPr>
                <w:b w:val="0"/>
                <w:i w:val="0"/>
                <w:sz w:val="18"/>
              </w:rPr>
              <w:t>Continue (en tranches)</w:t>
            </w:r>
          </w:p>
        </w:tc>
        <w:tc>
          <w:tcPr>
            <w:tcW w:type="dxa" w:w="1871"/>
            <w:vAlign w:val="center"/>
          </w:tcPr>
          <w:p>
            <w:pPr>
              <w:keepNext/>
              <w:spacing w:after="0" w:line="240" w:lineRule="auto"/>
              <w:jc w:val="center"/>
            </w:pPr>
            <w:r/>
            <w:r>
              <w:rPr>
                <w:b w:val="0"/>
                <w:i w:val="0"/>
                <w:sz w:val="18"/>
              </w:rPr>
              <w:t>+</w:t>
            </w:r>
          </w:p>
        </w:tc>
      </w:tr>
      <w:tr>
        <w:trPr>
          <w:cantSplit/>
        </w:trPr>
        <w:tc>
          <w:tcPr>
            <w:tcW w:type="dxa" w:w="3572"/>
            <w:vAlign w:val="center"/>
          </w:tcPr>
          <w:p>
            <w:pPr>
              <w:keepNext/>
              <w:spacing w:after="0" w:line="240" w:lineRule="auto"/>
              <w:jc w:val="left"/>
            </w:pPr>
            <w:r/>
            <w:r>
              <w:rPr>
                <w:b w:val="0"/>
                <w:i w:val="0"/>
                <w:sz w:val="18"/>
              </w:rPr>
              <w:t>Âge de la personne de référence</w:t>
            </w:r>
          </w:p>
        </w:tc>
        <w:tc>
          <w:tcPr>
            <w:tcW w:type="dxa" w:w="1701"/>
            <w:vAlign w:val="center"/>
          </w:tcPr>
          <w:p>
            <w:pPr>
              <w:keepNext/>
              <w:spacing w:after="0" w:line="240" w:lineRule="auto"/>
              <w:jc w:val="center"/>
            </w:pPr>
            <w:r/>
            <w:r>
              <w:rPr>
                <w:b w:val="0"/>
                <w:i w:val="0"/>
                <w:sz w:val="18"/>
              </w:rPr>
              <w:t>AGEPR</w:t>
            </w:r>
          </w:p>
        </w:tc>
        <w:tc>
          <w:tcPr>
            <w:tcW w:type="dxa" w:w="1927"/>
            <w:vAlign w:val="center"/>
          </w:tcPr>
          <w:p>
            <w:pPr>
              <w:keepNext/>
              <w:spacing w:after="0" w:line="240" w:lineRule="auto"/>
              <w:jc w:val="center"/>
            </w:pPr>
            <w:r/>
            <w:r>
              <w:rPr>
                <w:b w:val="0"/>
                <w:i w:val="0"/>
                <w:sz w:val="18"/>
              </w:rPr>
              <w:t>Continue</w:t>
            </w:r>
          </w:p>
        </w:tc>
        <w:tc>
          <w:tcPr>
            <w:tcW w:type="dxa" w:w="1871"/>
            <w:vAlign w:val="center"/>
          </w:tcPr>
          <w:p>
            <w:pPr>
              <w:keepNext/>
              <w:spacing w:after="0" w:line="240" w:lineRule="auto"/>
              <w:jc w:val="center"/>
            </w:pPr>
            <w:r/>
            <w:r>
              <w:rPr>
                <w:b w:val="0"/>
                <w:i w:val="0"/>
                <w:sz w:val="18"/>
              </w:rPr>
              <w:t>+ puis – (en cloche)</w:t>
            </w:r>
          </w:p>
        </w:tc>
      </w:tr>
      <w:tr>
        <w:trPr>
          <w:cantSplit/>
        </w:trPr>
        <w:tc>
          <w:tcPr>
            <w:tcW w:type="dxa" w:w="9072"/>
            <w:gridSpan w:val="4"/>
            <w:shd w:val="clear" w:color="auto" w:fill="F4F6F9"/>
            <w:vAlign w:val="center"/>
          </w:tcPr>
          <w:p>
            <w:pPr>
              <w:keepNext/>
              <w:spacing w:after="0" w:line="240" w:lineRule="auto"/>
              <w:jc w:val="left"/>
            </w:pPr>
            <w:r/>
            <w:r>
              <w:rPr>
                <w:b/>
                <w:i w:val="0"/>
                <w:sz w:val="18"/>
              </w:rPr>
              <w:t>Variables de contrôle</w:t>
            </w:r>
          </w:p>
        </w:tc>
      </w:tr>
      <w:tr>
        <w:trPr>
          <w:cantSplit/>
        </w:trPr>
        <w:tc>
          <w:tcPr>
            <w:tcW w:type="dxa" w:w="3572"/>
            <w:vAlign w:val="center"/>
          </w:tcPr>
          <w:p>
            <w:pPr>
              <w:keepNext/>
              <w:spacing w:after="0" w:line="240" w:lineRule="auto"/>
              <w:jc w:val="left"/>
            </w:pPr>
            <w:r/>
            <w:r>
              <w:rPr>
                <w:b w:val="0"/>
                <w:i w:val="0"/>
                <w:sz w:val="18"/>
              </w:rPr>
              <w:t>Statut d’occupation du logement (accédant, non accédant, locataire)</w:t>
            </w:r>
          </w:p>
        </w:tc>
        <w:tc>
          <w:tcPr>
            <w:tcW w:type="dxa" w:w="1701"/>
            <w:vAlign w:val="center"/>
          </w:tcPr>
          <w:p>
            <w:pPr>
              <w:keepNext/>
              <w:spacing w:after="0" w:line="240" w:lineRule="auto"/>
              <w:jc w:val="center"/>
            </w:pPr>
            <w:r/>
            <w:r>
              <w:rPr>
                <w:b w:val="0"/>
                <w:i w:val="0"/>
                <w:sz w:val="18"/>
              </w:rPr>
              <w:t>STO et CREDIT_IMMO</w:t>
            </w:r>
          </w:p>
        </w:tc>
        <w:tc>
          <w:tcPr>
            <w:tcW w:type="dxa" w:w="1927"/>
            <w:vAlign w:val="center"/>
          </w:tcPr>
          <w:p>
            <w:pPr>
              <w:keepNext/>
              <w:spacing w:after="0" w:line="240" w:lineRule="auto"/>
              <w:jc w:val="center"/>
            </w:pPr>
            <w:r/>
            <w:r>
              <w:rPr>
                <w:b w:val="0"/>
                <w:i w:val="0"/>
                <w:sz w:val="18"/>
              </w:rPr>
              <w:t>Qualitative, 3 modalités</w:t>
            </w:r>
          </w:p>
        </w:tc>
        <w:tc>
          <w:tcPr>
            <w:tcW w:type="dxa" w:w="1871"/>
            <w:vAlign w:val="center"/>
          </w:tcPr>
          <w:p>
            <w:pPr>
              <w:keepNext/>
              <w:spacing w:after="0" w:line="240" w:lineRule="auto"/>
              <w:jc w:val="center"/>
            </w:pPr>
            <w:r/>
            <w:r>
              <w:rPr>
                <w:b w:val="0"/>
                <w:i w:val="0"/>
                <w:sz w:val="18"/>
              </w:rPr>
              <w:t>+ pour les accédants</w:t>
            </w:r>
          </w:p>
        </w:tc>
      </w:tr>
      <w:tr>
        <w:trPr>
          <w:cantSplit/>
        </w:trPr>
        <w:tc>
          <w:tcPr>
            <w:tcW w:type="dxa" w:w="3572"/>
            <w:vAlign w:val="center"/>
          </w:tcPr>
          <w:p>
            <w:pPr>
              <w:keepNext/>
              <w:spacing w:after="0" w:line="240" w:lineRule="auto"/>
              <w:jc w:val="left"/>
            </w:pPr>
            <w:r/>
            <w:r>
              <w:rPr>
                <w:b w:val="0"/>
                <w:i w:val="0"/>
                <w:sz w:val="18"/>
              </w:rPr>
              <w:t>Nombre de crédits en cours</w:t>
            </w:r>
          </w:p>
        </w:tc>
        <w:tc>
          <w:tcPr>
            <w:tcW w:type="dxa" w:w="1701"/>
            <w:vAlign w:val="center"/>
          </w:tcPr>
          <w:p>
            <w:pPr>
              <w:keepNext/>
              <w:spacing w:after="0" w:line="240" w:lineRule="auto"/>
              <w:jc w:val="center"/>
            </w:pPr>
            <w:r/>
            <w:r>
              <w:rPr>
                <w:b w:val="0"/>
                <w:i w:val="0"/>
                <w:sz w:val="18"/>
              </w:rPr>
              <w:t>NB_CREDITS</w:t>
            </w:r>
          </w:p>
        </w:tc>
        <w:tc>
          <w:tcPr>
            <w:tcW w:type="dxa" w:w="1927"/>
            <w:vAlign w:val="center"/>
          </w:tcPr>
          <w:p>
            <w:pPr>
              <w:keepNext/>
              <w:spacing w:after="0" w:line="240" w:lineRule="auto"/>
              <w:jc w:val="center"/>
            </w:pPr>
            <w:r/>
            <w:r>
              <w:rPr>
                <w:b w:val="0"/>
                <w:i w:val="0"/>
                <w:sz w:val="18"/>
              </w:rPr>
              <w:t>Binaire (1 / 2 ou plus)</w:t>
            </w:r>
          </w:p>
        </w:tc>
        <w:tc>
          <w:tcPr>
            <w:tcW w:type="dxa" w:w="1871"/>
            <w:vAlign w:val="center"/>
          </w:tcPr>
          <w:p>
            <w:pPr>
              <w:keepNext/>
              <w:spacing w:after="0" w:line="240" w:lineRule="auto"/>
              <w:jc w:val="center"/>
            </w:pPr>
            <w:r/>
            <w:r>
              <w:rPr>
                <w:b w:val="0"/>
                <w:i w:val="0"/>
                <w:sz w:val="18"/>
              </w:rPr>
              <w:t>+</w:t>
            </w:r>
          </w:p>
        </w:tc>
      </w:tr>
      <w:tr>
        <w:trPr>
          <w:cantSplit/>
        </w:trPr>
        <w:tc>
          <w:tcPr>
            <w:tcW w:type="dxa" w:w="3572"/>
            <w:vAlign w:val="center"/>
          </w:tcPr>
          <w:p>
            <w:pPr>
              <w:keepNext/>
              <w:spacing w:after="0" w:line="240" w:lineRule="auto"/>
              <w:jc w:val="left"/>
            </w:pPr>
            <w:r/>
            <w:r>
              <w:rPr>
                <w:b w:val="0"/>
                <w:i w:val="0"/>
                <w:sz w:val="18"/>
              </w:rPr>
              <w:t>Crédit pour un bien immobilier autre que la résidence principale</w:t>
            </w:r>
          </w:p>
        </w:tc>
        <w:tc>
          <w:tcPr>
            <w:tcW w:type="dxa" w:w="1701"/>
            <w:vAlign w:val="center"/>
          </w:tcPr>
          <w:p>
            <w:pPr>
              <w:keepNext/>
              <w:spacing w:after="0" w:line="240" w:lineRule="auto"/>
              <w:jc w:val="center"/>
            </w:pPr>
            <w:r/>
            <w:r>
              <w:rPr>
                <w:b w:val="0"/>
                <w:i w:val="0"/>
                <w:sz w:val="18"/>
              </w:rPr>
              <w:t>MOTIF_A</w:t>
            </w:r>
          </w:p>
        </w:tc>
        <w:tc>
          <w:tcPr>
            <w:tcW w:type="dxa" w:w="1927"/>
            <w:vAlign w:val="center"/>
          </w:tcPr>
          <w:p>
            <w:pPr>
              <w:keepNext/>
              <w:spacing w:after="0" w:line="240" w:lineRule="auto"/>
              <w:jc w:val="center"/>
            </w:pPr>
            <w:r/>
            <w:r>
              <w:rPr>
                <w:b w:val="0"/>
                <w:i w:val="0"/>
                <w:sz w:val="18"/>
              </w:rPr>
              <w:t>Binaire</w:t>
            </w:r>
          </w:p>
        </w:tc>
        <w:tc>
          <w:tcPr>
            <w:tcW w:type="dxa" w:w="1871"/>
            <w:vAlign w:val="center"/>
          </w:tcPr>
          <w:p>
            <w:pPr>
              <w:keepNext/>
              <w:spacing w:after="0" w:line="240" w:lineRule="auto"/>
              <w:jc w:val="center"/>
            </w:pPr>
            <w:r/>
            <w:r>
              <w:rPr>
                <w:b w:val="0"/>
                <w:i w:val="0"/>
                <w:sz w:val="18"/>
              </w:rPr>
              <w:t>+</w:t>
            </w:r>
          </w:p>
        </w:tc>
      </w:tr>
      <w:tr>
        <w:trPr>
          <w:cantSplit/>
        </w:trPr>
        <w:tc>
          <w:tcPr>
            <w:tcW w:type="dxa" w:w="3572"/>
            <w:vAlign w:val="center"/>
          </w:tcPr>
          <w:p>
            <w:pPr>
              <w:keepNext/>
              <w:spacing w:after="0" w:line="240" w:lineRule="auto"/>
              <w:jc w:val="left"/>
            </w:pPr>
            <w:r/>
            <w:r>
              <w:rPr>
                <w:b w:val="0"/>
                <w:i w:val="0"/>
                <w:sz w:val="18"/>
              </w:rPr>
              <w:t>Nombre d’enfants dans le ménage</w:t>
            </w:r>
          </w:p>
        </w:tc>
        <w:tc>
          <w:tcPr>
            <w:tcW w:type="dxa" w:w="1701"/>
            <w:vAlign w:val="center"/>
          </w:tcPr>
          <w:p>
            <w:pPr>
              <w:keepNext/>
              <w:spacing w:after="0" w:line="240" w:lineRule="auto"/>
              <w:jc w:val="center"/>
            </w:pPr>
            <w:r/>
            <w:r>
              <w:rPr>
                <w:b w:val="0"/>
                <w:i w:val="0"/>
                <w:sz w:val="18"/>
              </w:rPr>
              <w:t>NENFANTS</w:t>
            </w:r>
          </w:p>
        </w:tc>
        <w:tc>
          <w:tcPr>
            <w:tcW w:type="dxa" w:w="1927"/>
            <w:vAlign w:val="center"/>
          </w:tcPr>
          <w:p>
            <w:pPr>
              <w:keepNext/>
              <w:spacing w:after="0" w:line="240" w:lineRule="auto"/>
              <w:jc w:val="center"/>
            </w:pPr>
            <w:r/>
            <w:r>
              <w:rPr>
                <w:b w:val="0"/>
                <w:i w:val="0"/>
                <w:sz w:val="18"/>
              </w:rPr>
              <w:t>Qualitative ordonnée</w:t>
            </w:r>
          </w:p>
        </w:tc>
        <w:tc>
          <w:tcPr>
            <w:tcW w:type="dxa" w:w="1871"/>
            <w:vAlign w:val="center"/>
          </w:tcPr>
          <w:p>
            <w:pPr>
              <w:keepNext/>
              <w:spacing w:after="0" w:line="240" w:lineRule="auto"/>
              <w:jc w:val="center"/>
            </w:pPr>
            <w:r/>
            <w:r>
              <w:rPr>
                <w:b w:val="0"/>
                <w:i w:val="0"/>
                <w:sz w:val="18"/>
              </w:rPr>
              <w:t>+ (ambigu)</w:t>
            </w:r>
          </w:p>
        </w:tc>
      </w:tr>
      <w:tr>
        <w:trPr>
          <w:cantSplit/>
        </w:trPr>
        <w:tc>
          <w:tcPr>
            <w:tcW w:type="dxa" w:w="3572"/>
            <w:vAlign w:val="center"/>
          </w:tcPr>
          <w:p>
            <w:pPr>
              <w:keepNext/>
              <w:spacing w:after="0" w:line="240" w:lineRule="auto"/>
              <w:jc w:val="left"/>
            </w:pPr>
            <w:r/>
            <w:r>
              <w:rPr>
                <w:b w:val="0"/>
                <w:i w:val="0"/>
                <w:sz w:val="18"/>
              </w:rPr>
              <w:t>Catégorie socioprofessionnelle de la personne de référence</w:t>
            </w:r>
          </w:p>
        </w:tc>
        <w:tc>
          <w:tcPr>
            <w:tcW w:type="dxa" w:w="1701"/>
            <w:vAlign w:val="center"/>
          </w:tcPr>
          <w:p>
            <w:pPr>
              <w:keepNext/>
              <w:spacing w:after="0" w:line="240" w:lineRule="auto"/>
              <w:jc w:val="center"/>
            </w:pPr>
            <w:r/>
            <w:r>
              <w:rPr>
                <w:b w:val="0"/>
                <w:i w:val="0"/>
                <w:sz w:val="18"/>
              </w:rPr>
              <w:t>CS24PR</w:t>
            </w:r>
          </w:p>
        </w:tc>
        <w:tc>
          <w:tcPr>
            <w:tcW w:type="dxa" w:w="1927"/>
            <w:vAlign w:val="center"/>
          </w:tcPr>
          <w:p>
            <w:pPr>
              <w:keepNext/>
              <w:spacing w:after="0" w:line="240" w:lineRule="auto"/>
              <w:jc w:val="center"/>
            </w:pPr>
            <w:r/>
            <w:r>
              <w:rPr>
                <w:b w:val="0"/>
                <w:i w:val="0"/>
                <w:sz w:val="18"/>
              </w:rPr>
              <w:t>Qualitative, 6 modalités</w:t>
            </w:r>
          </w:p>
        </w:tc>
        <w:tc>
          <w:tcPr>
            <w:tcW w:type="dxa" w:w="1871"/>
            <w:vAlign w:val="center"/>
          </w:tcPr>
          <w:p>
            <w:pPr>
              <w:keepNext/>
              <w:spacing w:after="0" w:line="240" w:lineRule="auto"/>
              <w:jc w:val="center"/>
            </w:pPr>
            <w:r/>
            <w:r>
              <w:rPr>
                <w:b w:val="0"/>
                <w:i w:val="0"/>
                <w:sz w:val="18"/>
              </w:rPr>
              <w:t>+ cadres et indépendants, – retraités</w:t>
            </w:r>
          </w:p>
        </w:tc>
      </w:tr>
      <w:tr>
        <w:trPr>
          <w:cantSplit/>
        </w:trPr>
        <w:tc>
          <w:tcPr>
            <w:tcW w:type="dxa" w:w="3572"/>
            <w:vAlign w:val="center"/>
          </w:tcPr>
          <w:p>
            <w:pPr>
              <w:keepNext/>
              <w:spacing w:after="0" w:line="240" w:lineRule="auto"/>
              <w:jc w:val="left"/>
            </w:pPr>
            <w:r/>
            <w:r>
              <w:rPr>
                <w:b w:val="0"/>
                <w:i w:val="0"/>
                <w:sz w:val="18"/>
              </w:rPr>
              <w:t>Taille de l’unité urbaine</w:t>
            </w:r>
          </w:p>
        </w:tc>
        <w:tc>
          <w:tcPr>
            <w:tcW w:type="dxa" w:w="1701"/>
            <w:vAlign w:val="center"/>
          </w:tcPr>
          <w:p>
            <w:pPr>
              <w:keepNext/>
              <w:spacing w:after="0" w:line="240" w:lineRule="auto"/>
              <w:jc w:val="center"/>
            </w:pPr>
            <w:r/>
            <w:r>
              <w:rPr>
                <w:b w:val="0"/>
                <w:i w:val="0"/>
                <w:sz w:val="18"/>
              </w:rPr>
              <w:t>TUU10</w:t>
            </w:r>
          </w:p>
        </w:tc>
        <w:tc>
          <w:tcPr>
            <w:tcW w:type="dxa" w:w="1927"/>
            <w:vAlign w:val="center"/>
          </w:tcPr>
          <w:p>
            <w:pPr>
              <w:keepNext/>
              <w:spacing w:after="0" w:line="240" w:lineRule="auto"/>
              <w:jc w:val="center"/>
            </w:pPr>
            <w:r/>
            <w:r>
              <w:rPr>
                <w:b w:val="0"/>
                <w:i w:val="0"/>
                <w:sz w:val="18"/>
              </w:rPr>
              <w:t>Qualitative, 5 modalités</w:t>
            </w:r>
          </w:p>
        </w:tc>
        <w:tc>
          <w:tcPr>
            <w:tcW w:type="dxa" w:w="1871"/>
            <w:vAlign w:val="center"/>
          </w:tcPr>
          <w:p>
            <w:pPr>
              <w:keepNext/>
              <w:spacing w:after="0" w:line="240" w:lineRule="auto"/>
              <w:jc w:val="center"/>
            </w:pPr>
            <w:r/>
            <w:r>
              <w:rPr>
                <w:b w:val="0"/>
                <w:i w:val="0"/>
                <w:sz w:val="18"/>
              </w:rPr>
              <w:t>+ agglomération parisienne</w:t>
            </w:r>
          </w:p>
        </w:tc>
      </w:tr>
      <w:tr>
        <w:trPr>
          <w:cantSplit/>
        </w:trPr>
        <w:tc>
          <w:tcPr>
            <w:tcW w:type="dxa" w:w="3572"/>
            <w:vAlign w:val="center"/>
          </w:tcPr>
          <w:p>
            <w:pPr>
              <w:spacing w:after="0" w:line="240" w:lineRule="auto"/>
              <w:jc w:val="left"/>
            </w:pPr>
            <w:r/>
            <w:r>
              <w:rPr>
                <w:b w:val="0"/>
                <w:i w:val="0"/>
                <w:sz w:val="18"/>
              </w:rPr>
              <w:t>Type de logement</w:t>
            </w:r>
          </w:p>
        </w:tc>
        <w:tc>
          <w:tcPr>
            <w:tcW w:type="dxa" w:w="1701"/>
            <w:vAlign w:val="center"/>
          </w:tcPr>
          <w:p>
            <w:pPr>
              <w:spacing w:after="0" w:line="240" w:lineRule="auto"/>
              <w:jc w:val="center"/>
            </w:pPr>
            <w:r/>
            <w:r>
              <w:rPr>
                <w:b w:val="0"/>
                <w:i w:val="0"/>
                <w:sz w:val="18"/>
              </w:rPr>
              <w:t>TYPLOG</w:t>
            </w:r>
          </w:p>
        </w:tc>
        <w:tc>
          <w:tcPr>
            <w:tcW w:type="dxa" w:w="1927"/>
            <w:vAlign w:val="center"/>
          </w:tcPr>
          <w:p>
            <w:pPr>
              <w:spacing w:after="0" w:line="240" w:lineRule="auto"/>
              <w:jc w:val="center"/>
            </w:pPr>
            <w:r/>
            <w:r>
              <w:rPr>
                <w:b w:val="0"/>
                <w:i w:val="0"/>
                <w:sz w:val="18"/>
              </w:rPr>
              <w:t>Binaire (maison / appartement)</w:t>
            </w:r>
          </w:p>
        </w:tc>
        <w:tc>
          <w:tcPr>
            <w:tcW w:type="dxa" w:w="1871"/>
            <w:vAlign w:val="center"/>
          </w:tcPr>
          <w:p>
            <w:pPr>
              <w:spacing w:after="0" w:line="240" w:lineRule="auto"/>
              <w:jc w:val="center"/>
            </w:pPr>
            <w:r/>
            <w:r>
              <w:rPr>
                <w:b w:val="0"/>
                <w:i w:val="0"/>
                <w:sz w:val="18"/>
              </w:rPr>
              <w:t>+ maison</w:t>
            </w:r>
          </w:p>
        </w:tc>
      </w:tr>
    </w:tbl>
    <w:p>
      <w:pPr>
        <w:spacing w:after="200"/>
        <w:jc w:val="left"/>
      </w:pPr>
      <w:r>
        <w:rPr>
          <w:i/>
          <w:sz w:val="18"/>
        </w:rPr>
        <w:t>Source : dictionnaire des codes de la base SRCV1_menage. Les types indiqués sont ceux retenus après regroupement des modalités (voir section 2).</w:t>
      </w:r>
    </w:p>
    <w:p>
      <w:pPr>
        <w:jc w:val="both"/>
      </w:pPr>
      <w:r>
        <w:rPr>
          <w:b/>
        </w:rPr>
        <w:t>Variables d’intérêt.</w:t>
      </w:r>
      <w:r>
        <w:t xml:space="preserve"> Le </w:t>
      </w:r>
      <w:r>
        <w:rPr>
          <w:b/>
        </w:rPr>
        <w:t>revenu mensuel du ménage</w:t>
      </w:r>
      <w:r>
        <w:t xml:space="preserve"> (TOTREVEN) est notre première variable d’intérêt. Il regroupe toutes les ressources du ménage : salaires, revenus d’activité non salariée, retraites, allocations chômage, prestations familiales et sociales, revenus du patrimoine. C’est la principale information sur laquelle les banques s’appuient pour accorder un prêt, puisque la mensualité ne doit pas dépasser une certaine part du revenu. Un revenu plus élevé permet à la fois d’emprunter davantage et de rembourser plus chaque mois : nous attendons un effet positif. Il sera intéressant de voir si les mensualités augmentent proportionnellement au revenu, ou moins vite, ce qui voudrait dire que la part du revenu consacrée aux remboursements diminue quand le revenu augmente.</w:t>
      </w:r>
    </w:p>
    <w:p>
      <w:pPr>
        <w:jc w:val="both"/>
      </w:pPr>
      <w:r>
        <w:t>L’</w:t>
      </w:r>
      <w:r>
        <w:rPr>
          <w:b/>
        </w:rPr>
        <w:t>âge de la personne de référence</w:t>
      </w:r>
      <w:r>
        <w:t xml:space="preserve"> (AGEPR) est notre seconde variable d’intérêt, car il permet de tester l’hypothèse du cycle de vie. Les ménages jeunes commencent tout juste à emprunter et leurs revenus sont encore faibles. Entre 30 et 45 ans environ, l’achat de la résidence principale et l’équipement de la famille entraînent des mensualités élevées. Ensuite, les prêts arrivent à échéance, et les banques prêtent moins facilement aux emprunteurs âgés (durées plus courtes, assurance plus chère). Nous attendons donc un effet d’abord positif puis négatif de l’âge, c’est-à-dire une relation en cloche.</w:t>
      </w:r>
    </w:p>
    <w:p>
      <w:pPr>
        <w:jc w:val="both"/>
      </w:pPr>
      <w:r>
        <w:rPr>
          <w:b/>
        </w:rPr>
        <w:t>Variables de contrôle.</w:t>
      </w:r>
      <w:r>
        <w:t xml:space="preserve"> Le </w:t>
      </w:r>
      <w:r>
        <w:rPr>
          <w:b/>
        </w:rPr>
        <w:t>statut d’occupation du logement</w:t>
      </w:r>
      <w:r>
        <w:t xml:space="preserve"> est construit à partir de deux variables de la base : STO (propriétaire, locataire, logé gratuitement) et CREDIT_IMMO (crédit immobilier en cours pour la résidence principale). Nous distinguons les propriétaires accédants, qui remboursent un prêt pour leur résidence principale, les propriétaires non accédants, et les locataires ou logés gratuitement. Le crédit immobilier étant de loin le plus important en montant, les accédants devraient avoir des mensualités nettement plus élevées.</w:t>
      </w:r>
    </w:p>
    <w:p>
      <w:pPr>
        <w:jc w:val="both"/>
      </w:pPr>
      <w:r>
        <w:t xml:space="preserve">Le </w:t>
      </w:r>
      <w:r>
        <w:rPr>
          <w:b/>
        </w:rPr>
        <w:t>nombre de crédits en cours</w:t>
      </w:r>
      <w:r>
        <w:t xml:space="preserve"> (NB_CREDITS) devrait mécaniquement augmenter le montant total à rembourser. De même, avoir souscrit un </w:t>
      </w:r>
      <w:r>
        <w:rPr>
          <w:b/>
        </w:rPr>
        <w:t>crédit pour un bien immobilier autre que la résidence principale</w:t>
      </w:r>
      <w:r>
        <w:t xml:space="preserve"> (MOTIF_A : investissement locatif, résidence secondaire, terrain ou gros travaux) devrait accroître les mensualités, car il s’agit de montants élevés, comparables à ceux d’un prêt pour la résidence principale.</w:t>
      </w:r>
    </w:p>
    <w:p>
      <w:pPr>
        <w:jc w:val="both"/>
      </w:pPr>
      <w:r>
        <w:t xml:space="preserve">Le </w:t>
      </w:r>
      <w:r>
        <w:rPr>
          <w:b/>
        </w:rPr>
        <w:t>nombre d’enfants</w:t>
      </w:r>
      <w:r>
        <w:t xml:space="preserve"> (NENFANTS) a un effet attendu plutôt positif : une famille plus nombreuse a besoin d’un logement plus grand et s’équipe davantage (voiture, électroménager). L’effet peut toutefois être ambigu, car à revenu donné, les dépenses liées aux enfants réduisent la part du budget disponible pour rembourser un crédit.</w:t>
      </w:r>
    </w:p>
    <w:p>
      <w:pPr>
        <w:jc w:val="both"/>
      </w:pPr>
      <w:r>
        <w:t xml:space="preserve">La </w:t>
      </w:r>
      <w:r>
        <w:rPr>
          <w:b/>
        </w:rPr>
        <w:t>catégorie socioprofessionnelle</w:t>
      </w:r>
      <w:r>
        <w:t xml:space="preserve"> de la personne de référence (CS24PR) permet de tenir compte du revenu permanent et de la stabilité de l’emploi, au-delà du revenu courant. Nous attendons des mensualités plus élevées pour les cadres, dont les revenus sont élevés et les carrières ascendantes, et pour les indépendants (agriculteurs, artisans, commerçants, chefs d’entreprise), qui empruntent aussi pour des raisons professionnelles. Les mensualités des retraités devraient au contraire être plus faibles, puisqu’ils sont en fin de cycle de vie.</w:t>
      </w:r>
    </w:p>
    <w:p>
      <w:pPr>
        <w:jc w:val="both"/>
      </w:pPr>
      <w:r>
        <w:t xml:space="preserve">La </w:t>
      </w:r>
      <w:r>
        <w:rPr>
          <w:b/>
        </w:rPr>
        <w:t>taille de l’unité urbaine</w:t>
      </w:r>
      <w:r>
        <w:t xml:space="preserve"> (TUU10) sert d’indicateur du prix de l’immobilier. Les logements sont beaucoup plus chers dans les grandes agglomérations et surtout dans l’agglomération parisienne, où nous attendons des mensualités plus élevées. Enfin, le </w:t>
      </w:r>
      <w:r>
        <w:rPr>
          <w:b/>
        </w:rPr>
        <w:t>type de logement</w:t>
      </w:r>
      <w:r>
        <w:t xml:space="preserve"> (TYPLOG) distingue les maisons des appartements. Les maisons sont plus grandes et plus souvent achetées que louées : nous attendons des mensualités plus élevées pour les ménages qui vivent en maison, même si le prix élevé des appartements dans les grandes villes peut atténuer cet écart.</w:t>
      </w:r>
    </w:p>
    <w:p>
      <w:pPr>
        <w:jc w:val="both"/>
      </w:pPr>
      <w:r>
        <w:rPr>
          <w:b/>
        </w:rPr>
        <w:t>Variables non retenues.</w:t>
      </w:r>
      <w:r>
        <w:t xml:space="preserve"> Nous n’utilisons pas le montant total du crédit immobilier (MEMP) comme variable explicative : il n’est renseigné que pour les ménages ayant un prêt immobilier, et il détermine presque mécaniquement la mensualité, si bien qu’il reviendrait à expliquer la variable expliquée par une autre mesure d’elle-même. Les autres motifs de crédit (MOTIF_B à MOTIF_E : voiture, biens d’équipement, consommation, motifs professionnels) correspondent à des montants plus faibles et décrivent la composition de la dette plutôt que les caractéristiques du ménage ; leur effet est en partie capté par le nombre de crédits. Le nombre d’adultes et le type de ménage (NADULT, TYPMEN5) jouent surtout à travers le revenu du ménage, que nous prenons déjà en compte, et à travers le nombre d’enfants. La situation vis-à-vis de l’emploi (SITUAPR) recoupe largement la CSP, qui distingue déjà les retraités, et ses autres modalités que « occupe un emploi » et « retraité » sont très rares. Enfin, la nationalité (NATIO7PR) varie très peu : 92 % des personnes de référence sont françaises de naissance.</w:t>
      </w:r>
    </w:p>
    <w:p>
      <w:pPr>
        <w:pStyle w:val="Heading2"/>
      </w:pPr>
      <w:r>
        <w:t>2. Sélection de l’échantillon de travail</w:t>
      </w:r>
    </w:p>
    <w:p>
      <w:pPr>
        <w:jc w:val="both"/>
      </w:pPr>
      <w:r>
        <w:t>Nous examinons d’abord la distribution de chaque variable retenue sur la base brute (4 198 ménages), afin de repérer les valeurs manquantes, les valeurs aberrantes et les modalités trop peu fréquentes. Nous en déduisons ensuite les opérations de nettoyage, résumées dans le tableau 5.</w:t>
      </w:r>
    </w:p>
    <w:p>
      <w:pPr>
        <w:pStyle w:val="Heading3"/>
      </w:pPr>
      <w:r>
        <w:t>2.1. Variable expliquée</w:t>
      </w:r>
    </w:p>
    <w:p>
      <w:pPr>
        <w:keepNext/>
        <w:jc w:val="both"/>
      </w:pPr>
      <w:r>
        <w:t>Le tableau 2 présente la distribution des trois variables continues sur la base brute.</w:t>
      </w:r>
    </w:p>
    <w:p>
      <w:pPr>
        <w:keepNext/>
        <w:spacing w:after="60"/>
        <w:jc w:val="left"/>
      </w:pPr>
      <w:r>
        <w:rPr>
          <w:b/>
          <w:sz w:val="21"/>
        </w:rPr>
        <w:t>Tableau 2 – Distribution des variables continues sur la base brute</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2494"/>
        <w:gridCol w:w="2041"/>
        <w:gridCol w:w="2268"/>
        <w:gridCol w:w="2268"/>
      </w:tblGrid>
      <w:tr>
        <w:trPr>
          <w:cantSplit/>
          <w:tblHeader/>
        </w:trPr>
        <w:tc>
          <w:tcPr>
            <w:tcW w:type="dxa" w:w="2494"/>
            <w:shd w:val="clear" w:color="auto" w:fill="E8ECF2"/>
            <w:vAlign w:val="center"/>
          </w:tcPr>
          <w:p>
            <w:pPr>
              <w:keepNext/>
              <w:spacing w:after="0" w:line="240" w:lineRule="auto"/>
              <w:jc w:val="left"/>
            </w:pPr>
            <w:r/>
            <w:r>
              <w:rPr>
                <w:b/>
                <w:i w:val="0"/>
                <w:sz w:val="18"/>
              </w:rPr>
              <w:t>Statistique</w:t>
            </w:r>
          </w:p>
        </w:tc>
        <w:tc>
          <w:tcPr>
            <w:tcW w:type="dxa" w:w="2041"/>
            <w:shd w:val="clear" w:color="auto" w:fill="E8ECF2"/>
            <w:vAlign w:val="center"/>
          </w:tcPr>
          <w:p>
            <w:pPr>
              <w:keepNext/>
              <w:spacing w:after="0" w:line="240" w:lineRule="auto"/>
              <w:jc w:val="center"/>
            </w:pPr>
            <w:r/>
            <w:r>
              <w:rPr>
                <w:b/>
                <w:i w:val="0"/>
                <w:sz w:val="18"/>
              </w:rPr>
              <w:t>Mensualités (euros)</w:t>
            </w:r>
          </w:p>
        </w:tc>
        <w:tc>
          <w:tcPr>
            <w:tcW w:type="dxa" w:w="2268"/>
            <w:shd w:val="clear" w:color="auto" w:fill="E8ECF2"/>
            <w:vAlign w:val="center"/>
          </w:tcPr>
          <w:p>
            <w:pPr>
              <w:keepNext/>
              <w:spacing w:after="0" w:line="240" w:lineRule="auto"/>
              <w:jc w:val="center"/>
            </w:pPr>
            <w:r/>
            <w:r>
              <w:rPr>
                <w:b/>
                <w:i w:val="0"/>
                <w:sz w:val="18"/>
              </w:rPr>
              <w:t>Âge de la personne de référence (années)</w:t>
            </w:r>
          </w:p>
        </w:tc>
        <w:tc>
          <w:tcPr>
            <w:tcW w:type="dxa" w:w="2268"/>
            <w:shd w:val="clear" w:color="auto" w:fill="E8ECF2"/>
            <w:vAlign w:val="center"/>
          </w:tcPr>
          <w:p>
            <w:pPr>
              <w:keepNext/>
              <w:spacing w:after="0" w:line="240" w:lineRule="auto"/>
              <w:jc w:val="center"/>
            </w:pPr>
            <w:r/>
            <w:r>
              <w:rPr>
                <w:b/>
                <w:i w:val="0"/>
                <w:sz w:val="18"/>
              </w:rPr>
              <w:t>Revenu mensuel du ménage (euros)</w:t>
            </w:r>
          </w:p>
        </w:tc>
      </w:tr>
      <w:tr>
        <w:trPr>
          <w:cantSplit/>
        </w:trPr>
        <w:tc>
          <w:tcPr>
            <w:tcW w:type="dxa" w:w="2494"/>
            <w:vAlign w:val="center"/>
          </w:tcPr>
          <w:p>
            <w:pPr>
              <w:keepNext/>
              <w:spacing w:after="0" w:line="240" w:lineRule="auto"/>
              <w:jc w:val="left"/>
            </w:pPr>
            <w:r/>
            <w:r>
              <w:rPr>
                <w:b w:val="0"/>
                <w:i w:val="0"/>
                <w:sz w:val="18"/>
              </w:rPr>
              <w:t>Observations renseignées</w:t>
            </w:r>
          </w:p>
        </w:tc>
        <w:tc>
          <w:tcPr>
            <w:tcW w:type="dxa" w:w="2041"/>
            <w:vAlign w:val="center"/>
          </w:tcPr>
          <w:p>
            <w:pPr>
              <w:keepNext/>
              <w:spacing w:after="0" w:line="240" w:lineRule="auto"/>
              <w:jc w:val="center"/>
            </w:pPr>
            <w:r/>
            <w:r>
              <w:rPr>
                <w:b w:val="0"/>
                <w:i w:val="0"/>
                <w:sz w:val="18"/>
              </w:rPr>
              <w:t>4 198</w:t>
            </w:r>
          </w:p>
        </w:tc>
        <w:tc>
          <w:tcPr>
            <w:tcW w:type="dxa" w:w="2268"/>
            <w:vAlign w:val="center"/>
          </w:tcPr>
          <w:p>
            <w:pPr>
              <w:keepNext/>
              <w:spacing w:after="0" w:line="240" w:lineRule="auto"/>
              <w:jc w:val="center"/>
            </w:pPr>
            <w:r/>
            <w:r>
              <w:rPr>
                <w:b w:val="0"/>
                <w:i w:val="0"/>
                <w:sz w:val="18"/>
              </w:rPr>
              <w:t>4 195</w:t>
            </w:r>
          </w:p>
        </w:tc>
        <w:tc>
          <w:tcPr>
            <w:tcW w:type="dxa" w:w="2268"/>
            <w:vAlign w:val="center"/>
          </w:tcPr>
          <w:p>
            <w:pPr>
              <w:keepNext/>
              <w:spacing w:after="0" w:line="240" w:lineRule="auto"/>
              <w:jc w:val="center"/>
            </w:pPr>
            <w:r/>
            <w:r>
              <w:rPr>
                <w:b w:val="0"/>
                <w:i w:val="0"/>
                <w:sz w:val="18"/>
              </w:rPr>
              <w:t>3 697</w:t>
            </w:r>
          </w:p>
        </w:tc>
      </w:tr>
      <w:tr>
        <w:trPr>
          <w:cantSplit/>
        </w:trPr>
        <w:tc>
          <w:tcPr>
            <w:tcW w:type="dxa" w:w="2494"/>
            <w:vAlign w:val="center"/>
          </w:tcPr>
          <w:p>
            <w:pPr>
              <w:keepNext/>
              <w:spacing w:after="0" w:line="240" w:lineRule="auto"/>
              <w:jc w:val="left"/>
            </w:pPr>
            <w:r/>
            <w:r>
              <w:rPr>
                <w:b w:val="0"/>
                <w:i w:val="0"/>
                <w:sz w:val="18"/>
              </w:rPr>
              <w:t>Valeurs manquantes</w:t>
            </w:r>
          </w:p>
        </w:tc>
        <w:tc>
          <w:tcPr>
            <w:tcW w:type="dxa" w:w="2041"/>
            <w:vAlign w:val="center"/>
          </w:tcPr>
          <w:p>
            <w:pPr>
              <w:keepNext/>
              <w:spacing w:after="0" w:line="240" w:lineRule="auto"/>
              <w:jc w:val="center"/>
            </w:pPr>
            <w:r/>
            <w:r>
              <w:rPr>
                <w:b w:val="0"/>
                <w:i w:val="0"/>
                <w:sz w:val="18"/>
              </w:rPr>
              <w:t>0</w:t>
            </w:r>
          </w:p>
        </w:tc>
        <w:tc>
          <w:tcPr>
            <w:tcW w:type="dxa" w:w="2268"/>
            <w:vAlign w:val="center"/>
          </w:tcPr>
          <w:p>
            <w:pPr>
              <w:keepNext/>
              <w:spacing w:after="0" w:line="240" w:lineRule="auto"/>
              <w:jc w:val="center"/>
            </w:pPr>
            <w:r/>
            <w:r>
              <w:rPr>
                <w:b w:val="0"/>
                <w:i w:val="0"/>
                <w:sz w:val="18"/>
              </w:rPr>
              <w:t>3 (0,1 %)</w:t>
            </w:r>
          </w:p>
        </w:tc>
        <w:tc>
          <w:tcPr>
            <w:tcW w:type="dxa" w:w="2268"/>
            <w:vAlign w:val="center"/>
          </w:tcPr>
          <w:p>
            <w:pPr>
              <w:keepNext/>
              <w:spacing w:after="0" w:line="240" w:lineRule="auto"/>
              <w:jc w:val="center"/>
            </w:pPr>
            <w:r/>
            <w:r>
              <w:rPr>
                <w:b w:val="0"/>
                <w:i w:val="0"/>
                <w:sz w:val="18"/>
              </w:rPr>
              <w:t>501 (11,9 %)</w:t>
            </w:r>
          </w:p>
        </w:tc>
      </w:tr>
      <w:tr>
        <w:trPr>
          <w:cantSplit/>
        </w:trPr>
        <w:tc>
          <w:tcPr>
            <w:tcW w:type="dxa" w:w="2494"/>
            <w:vAlign w:val="center"/>
          </w:tcPr>
          <w:p>
            <w:pPr>
              <w:keepNext/>
              <w:spacing w:after="0" w:line="240" w:lineRule="auto"/>
              <w:jc w:val="left"/>
            </w:pPr>
            <w:r/>
            <w:r>
              <w:rPr>
                <w:b w:val="0"/>
                <w:i w:val="0"/>
                <w:sz w:val="18"/>
              </w:rPr>
              <w:t>Moyenne</w:t>
            </w:r>
          </w:p>
        </w:tc>
        <w:tc>
          <w:tcPr>
            <w:tcW w:type="dxa" w:w="2041"/>
            <w:vAlign w:val="center"/>
          </w:tcPr>
          <w:p>
            <w:pPr>
              <w:keepNext/>
              <w:spacing w:after="0" w:line="240" w:lineRule="auto"/>
              <w:jc w:val="center"/>
            </w:pPr>
            <w:r/>
            <w:r>
              <w:rPr>
                <w:b w:val="0"/>
                <w:i w:val="0"/>
                <w:sz w:val="18"/>
              </w:rPr>
              <w:t>736</w:t>
            </w:r>
          </w:p>
        </w:tc>
        <w:tc>
          <w:tcPr>
            <w:tcW w:type="dxa" w:w="2268"/>
            <w:vAlign w:val="center"/>
          </w:tcPr>
          <w:p>
            <w:pPr>
              <w:keepNext/>
              <w:spacing w:after="0" w:line="240" w:lineRule="auto"/>
              <w:jc w:val="center"/>
            </w:pPr>
            <w:r/>
            <w:r>
              <w:rPr>
                <w:b w:val="0"/>
                <w:i w:val="0"/>
                <w:sz w:val="18"/>
              </w:rPr>
              <w:t>48,6</w:t>
            </w:r>
          </w:p>
        </w:tc>
        <w:tc>
          <w:tcPr>
            <w:tcW w:type="dxa" w:w="2268"/>
            <w:vAlign w:val="center"/>
          </w:tcPr>
          <w:p>
            <w:pPr>
              <w:keepNext/>
              <w:spacing w:after="0" w:line="240" w:lineRule="auto"/>
              <w:jc w:val="center"/>
            </w:pPr>
            <w:r/>
            <w:r>
              <w:rPr>
                <w:b w:val="0"/>
                <w:i w:val="0"/>
                <w:sz w:val="18"/>
              </w:rPr>
              <w:t>3 369</w:t>
            </w:r>
          </w:p>
        </w:tc>
      </w:tr>
      <w:tr>
        <w:trPr>
          <w:cantSplit/>
        </w:trPr>
        <w:tc>
          <w:tcPr>
            <w:tcW w:type="dxa" w:w="2494"/>
            <w:vAlign w:val="center"/>
          </w:tcPr>
          <w:p>
            <w:pPr>
              <w:keepNext/>
              <w:spacing w:after="0" w:line="240" w:lineRule="auto"/>
              <w:jc w:val="left"/>
            </w:pPr>
            <w:r/>
            <w:r>
              <w:rPr>
                <w:b w:val="0"/>
                <w:i w:val="0"/>
                <w:sz w:val="18"/>
              </w:rPr>
              <w:t>Écart-type</w:t>
            </w:r>
          </w:p>
        </w:tc>
        <w:tc>
          <w:tcPr>
            <w:tcW w:type="dxa" w:w="2041"/>
            <w:vAlign w:val="center"/>
          </w:tcPr>
          <w:p>
            <w:pPr>
              <w:keepNext/>
              <w:spacing w:after="0" w:line="240" w:lineRule="auto"/>
              <w:jc w:val="center"/>
            </w:pPr>
            <w:r/>
            <w:r>
              <w:rPr>
                <w:b w:val="0"/>
                <w:i w:val="0"/>
                <w:sz w:val="18"/>
              </w:rPr>
              <w:t>786</w:t>
            </w:r>
          </w:p>
        </w:tc>
        <w:tc>
          <w:tcPr>
            <w:tcW w:type="dxa" w:w="2268"/>
            <w:vAlign w:val="center"/>
          </w:tcPr>
          <w:p>
            <w:pPr>
              <w:keepNext/>
              <w:spacing w:after="0" w:line="240" w:lineRule="auto"/>
              <w:jc w:val="center"/>
            </w:pPr>
            <w:r/>
            <w:r>
              <w:rPr>
                <w:b w:val="0"/>
                <w:i w:val="0"/>
                <w:sz w:val="18"/>
              </w:rPr>
              <w:t>13,2</w:t>
            </w:r>
          </w:p>
        </w:tc>
        <w:tc>
          <w:tcPr>
            <w:tcW w:type="dxa" w:w="2268"/>
            <w:vAlign w:val="center"/>
          </w:tcPr>
          <w:p>
            <w:pPr>
              <w:keepNext/>
              <w:spacing w:after="0" w:line="240" w:lineRule="auto"/>
              <w:jc w:val="center"/>
            </w:pPr>
            <w:r/>
            <w:r>
              <w:rPr>
                <w:b w:val="0"/>
                <w:i w:val="0"/>
                <w:sz w:val="18"/>
              </w:rPr>
              <w:t>1 949</w:t>
            </w:r>
          </w:p>
        </w:tc>
      </w:tr>
      <w:tr>
        <w:trPr>
          <w:cantSplit/>
        </w:trPr>
        <w:tc>
          <w:tcPr>
            <w:tcW w:type="dxa" w:w="2494"/>
            <w:vAlign w:val="center"/>
          </w:tcPr>
          <w:p>
            <w:pPr>
              <w:keepNext/>
              <w:spacing w:after="0" w:line="240" w:lineRule="auto"/>
              <w:jc w:val="left"/>
            </w:pPr>
            <w:r/>
            <w:r>
              <w:rPr>
                <w:b w:val="0"/>
                <w:i w:val="0"/>
                <w:sz w:val="18"/>
              </w:rPr>
              <w:t>Minimum</w:t>
            </w:r>
          </w:p>
        </w:tc>
        <w:tc>
          <w:tcPr>
            <w:tcW w:type="dxa" w:w="2041"/>
            <w:vAlign w:val="center"/>
          </w:tcPr>
          <w:p>
            <w:pPr>
              <w:keepNext/>
              <w:spacing w:after="0" w:line="240" w:lineRule="auto"/>
              <w:jc w:val="center"/>
            </w:pPr>
            <w:r/>
            <w:r>
              <w:rPr>
                <w:b w:val="0"/>
                <w:i w:val="0"/>
                <w:sz w:val="18"/>
              </w:rPr>
              <w:t>1</w:t>
            </w:r>
          </w:p>
        </w:tc>
        <w:tc>
          <w:tcPr>
            <w:tcW w:type="dxa" w:w="2268"/>
            <w:vAlign w:val="center"/>
          </w:tcPr>
          <w:p>
            <w:pPr>
              <w:keepNext/>
              <w:spacing w:after="0" w:line="240" w:lineRule="auto"/>
              <w:jc w:val="center"/>
            </w:pPr>
            <w:r/>
            <w:r>
              <w:rPr>
                <w:b w:val="0"/>
                <w:i w:val="0"/>
                <w:sz w:val="18"/>
              </w:rPr>
              <w:t>17</w:t>
            </w:r>
          </w:p>
        </w:tc>
        <w:tc>
          <w:tcPr>
            <w:tcW w:type="dxa" w:w="2268"/>
            <w:vAlign w:val="center"/>
          </w:tcPr>
          <w:p>
            <w:pPr>
              <w:keepNext/>
              <w:spacing w:after="0" w:line="240" w:lineRule="auto"/>
              <w:jc w:val="center"/>
            </w:pPr>
            <w:r/>
            <w:r>
              <w:rPr>
                <w:b w:val="0"/>
                <w:i w:val="0"/>
                <w:sz w:val="18"/>
              </w:rPr>
              <w:t>1</w:t>
            </w:r>
          </w:p>
        </w:tc>
      </w:tr>
      <w:tr>
        <w:trPr>
          <w:cantSplit/>
        </w:trPr>
        <w:tc>
          <w:tcPr>
            <w:tcW w:type="dxa" w:w="2494"/>
            <w:vAlign w:val="center"/>
          </w:tcPr>
          <w:p>
            <w:pPr>
              <w:keepNext/>
              <w:spacing w:after="0" w:line="240" w:lineRule="auto"/>
              <w:jc w:val="left"/>
            </w:pPr>
            <w:r/>
            <w:r>
              <w:rPr>
                <w:b w:val="0"/>
                <w:i w:val="0"/>
                <w:sz w:val="18"/>
              </w:rPr>
              <w:t>1er centile</w:t>
            </w:r>
          </w:p>
        </w:tc>
        <w:tc>
          <w:tcPr>
            <w:tcW w:type="dxa" w:w="2041"/>
            <w:vAlign w:val="center"/>
          </w:tcPr>
          <w:p>
            <w:pPr>
              <w:keepNext/>
              <w:spacing w:after="0" w:line="240" w:lineRule="auto"/>
              <w:jc w:val="center"/>
            </w:pPr>
            <w:r/>
            <w:r>
              <w:rPr>
                <w:b w:val="0"/>
                <w:i w:val="0"/>
                <w:sz w:val="18"/>
              </w:rPr>
              <w:t>35</w:t>
            </w:r>
          </w:p>
        </w:tc>
        <w:tc>
          <w:tcPr>
            <w:tcW w:type="dxa" w:w="2268"/>
            <w:vAlign w:val="center"/>
          </w:tcPr>
          <w:p>
            <w:pPr>
              <w:keepNext/>
              <w:spacing w:after="0" w:line="240" w:lineRule="auto"/>
              <w:jc w:val="center"/>
            </w:pPr>
            <w:r/>
            <w:r>
              <w:rPr>
                <w:b w:val="0"/>
                <w:i w:val="0"/>
                <w:sz w:val="18"/>
              </w:rPr>
              <w:t>24</w:t>
            </w:r>
          </w:p>
        </w:tc>
        <w:tc>
          <w:tcPr>
            <w:tcW w:type="dxa" w:w="2268"/>
            <w:vAlign w:val="center"/>
          </w:tcPr>
          <w:p>
            <w:pPr>
              <w:keepNext/>
              <w:spacing w:after="0" w:line="240" w:lineRule="auto"/>
              <w:jc w:val="center"/>
            </w:pPr>
            <w:r/>
            <w:r>
              <w:rPr>
                <w:b w:val="0"/>
                <w:i w:val="0"/>
                <w:sz w:val="18"/>
              </w:rPr>
              <w:t>880</w:t>
            </w:r>
          </w:p>
        </w:tc>
      </w:tr>
      <w:tr>
        <w:trPr>
          <w:cantSplit/>
        </w:trPr>
        <w:tc>
          <w:tcPr>
            <w:tcW w:type="dxa" w:w="2494"/>
            <w:vAlign w:val="center"/>
          </w:tcPr>
          <w:p>
            <w:pPr>
              <w:keepNext/>
              <w:spacing w:after="0" w:line="240" w:lineRule="auto"/>
              <w:jc w:val="left"/>
            </w:pPr>
            <w:r/>
            <w:r>
              <w:rPr>
                <w:b w:val="0"/>
                <w:i w:val="0"/>
                <w:sz w:val="18"/>
              </w:rPr>
              <w:t>1er quartile</w:t>
            </w:r>
          </w:p>
        </w:tc>
        <w:tc>
          <w:tcPr>
            <w:tcW w:type="dxa" w:w="2041"/>
            <w:vAlign w:val="center"/>
          </w:tcPr>
          <w:p>
            <w:pPr>
              <w:keepNext/>
              <w:spacing w:after="0" w:line="240" w:lineRule="auto"/>
              <w:jc w:val="center"/>
            </w:pPr>
            <w:r/>
            <w:r>
              <w:rPr>
                <w:b w:val="0"/>
                <w:i w:val="0"/>
                <w:sz w:val="18"/>
              </w:rPr>
              <w:t>256</w:t>
            </w:r>
          </w:p>
        </w:tc>
        <w:tc>
          <w:tcPr>
            <w:tcW w:type="dxa" w:w="2268"/>
            <w:vAlign w:val="center"/>
          </w:tcPr>
          <w:p>
            <w:pPr>
              <w:keepNext/>
              <w:spacing w:after="0" w:line="240" w:lineRule="auto"/>
              <w:jc w:val="center"/>
            </w:pPr>
            <w:r/>
            <w:r>
              <w:rPr>
                <w:b w:val="0"/>
                <w:i w:val="0"/>
                <w:sz w:val="18"/>
              </w:rPr>
              <w:t>39</w:t>
            </w:r>
          </w:p>
        </w:tc>
        <w:tc>
          <w:tcPr>
            <w:tcW w:type="dxa" w:w="2268"/>
            <w:vAlign w:val="center"/>
          </w:tcPr>
          <w:p>
            <w:pPr>
              <w:keepNext/>
              <w:spacing w:after="0" w:line="240" w:lineRule="auto"/>
              <w:jc w:val="center"/>
            </w:pPr>
            <w:r/>
            <w:r>
              <w:rPr>
                <w:b w:val="0"/>
                <w:i w:val="0"/>
                <w:sz w:val="18"/>
              </w:rPr>
              <w:t>2 100</w:t>
            </w:r>
          </w:p>
        </w:tc>
      </w:tr>
      <w:tr>
        <w:trPr>
          <w:cantSplit/>
        </w:trPr>
        <w:tc>
          <w:tcPr>
            <w:tcW w:type="dxa" w:w="2494"/>
            <w:vAlign w:val="center"/>
          </w:tcPr>
          <w:p>
            <w:pPr>
              <w:keepNext/>
              <w:spacing w:after="0" w:line="240" w:lineRule="auto"/>
              <w:jc w:val="left"/>
            </w:pPr>
            <w:r/>
            <w:r>
              <w:rPr>
                <w:b w:val="0"/>
                <w:i w:val="0"/>
                <w:sz w:val="18"/>
              </w:rPr>
              <w:t>Médiane</w:t>
            </w:r>
          </w:p>
        </w:tc>
        <w:tc>
          <w:tcPr>
            <w:tcW w:type="dxa" w:w="2041"/>
            <w:vAlign w:val="center"/>
          </w:tcPr>
          <w:p>
            <w:pPr>
              <w:keepNext/>
              <w:spacing w:after="0" w:line="240" w:lineRule="auto"/>
              <w:jc w:val="center"/>
            </w:pPr>
            <w:r/>
            <w:r>
              <w:rPr>
                <w:b w:val="0"/>
                <w:i w:val="0"/>
                <w:sz w:val="18"/>
              </w:rPr>
              <w:t>562</w:t>
            </w:r>
          </w:p>
        </w:tc>
        <w:tc>
          <w:tcPr>
            <w:tcW w:type="dxa" w:w="2268"/>
            <w:vAlign w:val="center"/>
          </w:tcPr>
          <w:p>
            <w:pPr>
              <w:keepNext/>
              <w:spacing w:after="0" w:line="240" w:lineRule="auto"/>
              <w:jc w:val="center"/>
            </w:pPr>
            <w:r/>
            <w:r>
              <w:rPr>
                <w:b w:val="0"/>
                <w:i w:val="0"/>
                <w:sz w:val="18"/>
              </w:rPr>
              <w:t>48</w:t>
            </w:r>
          </w:p>
        </w:tc>
        <w:tc>
          <w:tcPr>
            <w:tcW w:type="dxa" w:w="2268"/>
            <w:vAlign w:val="center"/>
          </w:tcPr>
          <w:p>
            <w:pPr>
              <w:keepNext/>
              <w:spacing w:after="0" w:line="240" w:lineRule="auto"/>
              <w:jc w:val="center"/>
            </w:pPr>
            <w:r/>
            <w:r>
              <w:rPr>
                <w:b w:val="0"/>
                <w:i w:val="0"/>
                <w:sz w:val="18"/>
              </w:rPr>
              <w:t>3 000</w:t>
            </w:r>
          </w:p>
        </w:tc>
      </w:tr>
      <w:tr>
        <w:trPr>
          <w:cantSplit/>
        </w:trPr>
        <w:tc>
          <w:tcPr>
            <w:tcW w:type="dxa" w:w="2494"/>
            <w:vAlign w:val="center"/>
          </w:tcPr>
          <w:p>
            <w:pPr>
              <w:keepNext/>
              <w:spacing w:after="0" w:line="240" w:lineRule="auto"/>
              <w:jc w:val="left"/>
            </w:pPr>
            <w:r/>
            <w:r>
              <w:rPr>
                <w:b w:val="0"/>
                <w:i w:val="0"/>
                <w:sz w:val="18"/>
              </w:rPr>
              <w:t>3e quartile</w:t>
            </w:r>
          </w:p>
        </w:tc>
        <w:tc>
          <w:tcPr>
            <w:tcW w:type="dxa" w:w="2041"/>
            <w:vAlign w:val="center"/>
          </w:tcPr>
          <w:p>
            <w:pPr>
              <w:keepNext/>
              <w:spacing w:after="0" w:line="240" w:lineRule="auto"/>
              <w:jc w:val="center"/>
            </w:pPr>
            <w:r/>
            <w:r>
              <w:rPr>
                <w:b w:val="0"/>
                <w:i w:val="0"/>
                <w:sz w:val="18"/>
              </w:rPr>
              <w:t>984</w:t>
            </w:r>
          </w:p>
        </w:tc>
        <w:tc>
          <w:tcPr>
            <w:tcW w:type="dxa" w:w="2268"/>
            <w:vAlign w:val="center"/>
          </w:tcPr>
          <w:p>
            <w:pPr>
              <w:keepNext/>
              <w:spacing w:after="0" w:line="240" w:lineRule="auto"/>
              <w:jc w:val="center"/>
            </w:pPr>
            <w:r/>
            <w:r>
              <w:rPr>
                <w:b w:val="0"/>
                <w:i w:val="0"/>
                <w:sz w:val="18"/>
              </w:rPr>
              <w:t>58</w:t>
            </w:r>
          </w:p>
        </w:tc>
        <w:tc>
          <w:tcPr>
            <w:tcW w:type="dxa" w:w="2268"/>
            <w:vAlign w:val="center"/>
          </w:tcPr>
          <w:p>
            <w:pPr>
              <w:keepNext/>
              <w:spacing w:after="0" w:line="240" w:lineRule="auto"/>
              <w:jc w:val="center"/>
            </w:pPr>
            <w:r/>
            <w:r>
              <w:rPr>
                <w:b w:val="0"/>
                <w:i w:val="0"/>
                <w:sz w:val="18"/>
              </w:rPr>
              <w:t>4 000</w:t>
            </w:r>
          </w:p>
        </w:tc>
      </w:tr>
      <w:tr>
        <w:trPr>
          <w:cantSplit/>
        </w:trPr>
        <w:tc>
          <w:tcPr>
            <w:tcW w:type="dxa" w:w="2494"/>
            <w:vAlign w:val="center"/>
          </w:tcPr>
          <w:p>
            <w:pPr>
              <w:keepNext/>
              <w:spacing w:after="0" w:line="240" w:lineRule="auto"/>
              <w:jc w:val="left"/>
            </w:pPr>
            <w:r/>
            <w:r>
              <w:rPr>
                <w:b w:val="0"/>
                <w:i w:val="0"/>
                <w:sz w:val="18"/>
              </w:rPr>
              <w:t>99e centile</w:t>
            </w:r>
          </w:p>
        </w:tc>
        <w:tc>
          <w:tcPr>
            <w:tcW w:type="dxa" w:w="2041"/>
            <w:vAlign w:val="center"/>
          </w:tcPr>
          <w:p>
            <w:pPr>
              <w:keepNext/>
              <w:spacing w:after="0" w:line="240" w:lineRule="auto"/>
              <w:jc w:val="center"/>
            </w:pPr>
            <w:r/>
            <w:r>
              <w:rPr>
                <w:b w:val="0"/>
                <w:i w:val="0"/>
                <w:sz w:val="18"/>
              </w:rPr>
              <w:t>3 767</w:t>
            </w:r>
          </w:p>
        </w:tc>
        <w:tc>
          <w:tcPr>
            <w:tcW w:type="dxa" w:w="2268"/>
            <w:vAlign w:val="center"/>
          </w:tcPr>
          <w:p>
            <w:pPr>
              <w:keepNext/>
              <w:spacing w:after="0" w:line="240" w:lineRule="auto"/>
              <w:jc w:val="center"/>
            </w:pPr>
            <w:r/>
            <w:r>
              <w:rPr>
                <w:b w:val="0"/>
                <w:i w:val="0"/>
                <w:sz w:val="18"/>
              </w:rPr>
              <w:t>80</w:t>
            </w:r>
          </w:p>
        </w:tc>
        <w:tc>
          <w:tcPr>
            <w:tcW w:type="dxa" w:w="2268"/>
            <w:vAlign w:val="center"/>
          </w:tcPr>
          <w:p>
            <w:pPr>
              <w:keepNext/>
              <w:spacing w:after="0" w:line="240" w:lineRule="auto"/>
              <w:jc w:val="center"/>
            </w:pPr>
            <w:r/>
            <w:r>
              <w:rPr>
                <w:b w:val="0"/>
                <w:i w:val="0"/>
                <w:sz w:val="18"/>
              </w:rPr>
              <w:t>10 770</w:t>
            </w:r>
          </w:p>
        </w:tc>
      </w:tr>
      <w:tr>
        <w:trPr>
          <w:cantSplit/>
        </w:trPr>
        <w:tc>
          <w:tcPr>
            <w:tcW w:type="dxa" w:w="2494"/>
            <w:vAlign w:val="center"/>
          </w:tcPr>
          <w:p>
            <w:pPr>
              <w:keepNext/>
              <w:spacing w:after="0" w:line="240" w:lineRule="auto"/>
              <w:jc w:val="left"/>
            </w:pPr>
            <w:r/>
            <w:r>
              <w:rPr>
                <w:b w:val="0"/>
                <w:i w:val="0"/>
                <w:sz w:val="18"/>
              </w:rPr>
              <w:t>Maximum</w:t>
            </w:r>
          </w:p>
        </w:tc>
        <w:tc>
          <w:tcPr>
            <w:tcW w:type="dxa" w:w="2041"/>
            <w:vAlign w:val="center"/>
          </w:tcPr>
          <w:p>
            <w:pPr>
              <w:keepNext/>
              <w:spacing w:after="0" w:line="240" w:lineRule="auto"/>
              <w:jc w:val="center"/>
            </w:pPr>
            <w:r/>
            <w:r>
              <w:rPr>
                <w:b w:val="0"/>
                <w:i w:val="0"/>
                <w:sz w:val="18"/>
              </w:rPr>
              <w:t>15 672</w:t>
            </w:r>
          </w:p>
        </w:tc>
        <w:tc>
          <w:tcPr>
            <w:tcW w:type="dxa" w:w="2268"/>
            <w:vAlign w:val="center"/>
          </w:tcPr>
          <w:p>
            <w:pPr>
              <w:keepNext/>
              <w:spacing w:after="0" w:line="240" w:lineRule="auto"/>
              <w:jc w:val="center"/>
            </w:pPr>
            <w:r/>
            <w:r>
              <w:rPr>
                <w:b w:val="0"/>
                <w:i w:val="0"/>
                <w:sz w:val="18"/>
              </w:rPr>
              <w:t>94</w:t>
            </w:r>
          </w:p>
        </w:tc>
        <w:tc>
          <w:tcPr>
            <w:tcW w:type="dxa" w:w="2268"/>
            <w:vAlign w:val="center"/>
          </w:tcPr>
          <w:p>
            <w:pPr>
              <w:keepNext/>
              <w:spacing w:after="0" w:line="240" w:lineRule="auto"/>
              <w:jc w:val="center"/>
            </w:pPr>
            <w:r/>
            <w:r>
              <w:rPr>
                <w:b w:val="0"/>
                <w:i w:val="0"/>
                <w:sz w:val="18"/>
              </w:rPr>
              <w:t>25 284</w:t>
            </w:r>
          </w:p>
        </w:tc>
      </w:tr>
      <w:tr>
        <w:trPr>
          <w:cantSplit/>
        </w:trPr>
        <w:tc>
          <w:tcPr>
            <w:tcW w:type="dxa" w:w="2494"/>
            <w:vAlign w:val="center"/>
          </w:tcPr>
          <w:p>
            <w:pPr>
              <w:keepNext/>
              <w:spacing w:after="0" w:line="240" w:lineRule="auto"/>
              <w:jc w:val="left"/>
            </w:pPr>
            <w:r/>
            <w:r>
              <w:rPr>
                <w:b w:val="0"/>
                <w:i w:val="0"/>
                <w:sz w:val="18"/>
              </w:rPr>
              <w:t>Skewness</w:t>
            </w:r>
          </w:p>
        </w:tc>
        <w:tc>
          <w:tcPr>
            <w:tcW w:type="dxa" w:w="2041"/>
            <w:vAlign w:val="center"/>
          </w:tcPr>
          <w:p>
            <w:pPr>
              <w:keepNext/>
              <w:spacing w:after="0" w:line="240" w:lineRule="auto"/>
              <w:jc w:val="center"/>
            </w:pPr>
            <w:r/>
            <w:r>
              <w:rPr>
                <w:b w:val="0"/>
                <w:i w:val="0"/>
                <w:sz w:val="18"/>
              </w:rPr>
              <w:t>5,48</w:t>
            </w:r>
          </w:p>
        </w:tc>
        <w:tc>
          <w:tcPr>
            <w:tcW w:type="dxa" w:w="2268"/>
            <w:vAlign w:val="center"/>
          </w:tcPr>
          <w:p>
            <w:pPr>
              <w:keepNext/>
              <w:spacing w:after="0" w:line="240" w:lineRule="auto"/>
              <w:jc w:val="center"/>
            </w:pPr>
            <w:r/>
            <w:r>
              <w:rPr>
                <w:b w:val="0"/>
                <w:i w:val="0"/>
                <w:sz w:val="18"/>
              </w:rPr>
              <w:t>0,29</w:t>
            </w:r>
          </w:p>
        </w:tc>
        <w:tc>
          <w:tcPr>
            <w:tcW w:type="dxa" w:w="2268"/>
            <w:vAlign w:val="center"/>
          </w:tcPr>
          <w:p>
            <w:pPr>
              <w:keepNext/>
              <w:spacing w:after="0" w:line="240" w:lineRule="auto"/>
              <w:jc w:val="center"/>
            </w:pPr>
            <w:r/>
            <w:r>
              <w:rPr>
                <w:b w:val="0"/>
                <w:i w:val="0"/>
                <w:sz w:val="18"/>
              </w:rPr>
              <w:t>2,71</w:t>
            </w:r>
          </w:p>
        </w:tc>
      </w:tr>
      <w:tr>
        <w:trPr>
          <w:cantSplit/>
        </w:trPr>
        <w:tc>
          <w:tcPr>
            <w:tcW w:type="dxa" w:w="2494"/>
            <w:vAlign w:val="center"/>
          </w:tcPr>
          <w:p>
            <w:pPr>
              <w:spacing w:after="0" w:line="240" w:lineRule="auto"/>
              <w:jc w:val="left"/>
            </w:pPr>
            <w:r/>
            <w:r>
              <w:rPr>
                <w:b w:val="0"/>
                <w:i w:val="0"/>
                <w:sz w:val="18"/>
              </w:rPr>
              <w:t>Kurtosis</w:t>
            </w:r>
          </w:p>
        </w:tc>
        <w:tc>
          <w:tcPr>
            <w:tcW w:type="dxa" w:w="2041"/>
            <w:vAlign w:val="center"/>
          </w:tcPr>
          <w:p>
            <w:pPr>
              <w:spacing w:after="0" w:line="240" w:lineRule="auto"/>
              <w:jc w:val="center"/>
            </w:pPr>
            <w:r/>
            <w:r>
              <w:rPr>
                <w:b w:val="0"/>
                <w:i w:val="0"/>
                <w:sz w:val="18"/>
              </w:rPr>
              <w:t>66,66</w:t>
            </w:r>
          </w:p>
        </w:tc>
        <w:tc>
          <w:tcPr>
            <w:tcW w:type="dxa" w:w="2268"/>
            <w:vAlign w:val="center"/>
          </w:tcPr>
          <w:p>
            <w:pPr>
              <w:spacing w:after="0" w:line="240" w:lineRule="auto"/>
              <w:jc w:val="center"/>
            </w:pPr>
            <w:r/>
            <w:r>
              <w:rPr>
                <w:b w:val="0"/>
                <w:i w:val="0"/>
                <w:sz w:val="18"/>
              </w:rPr>
              <w:t>2,54</w:t>
            </w:r>
          </w:p>
        </w:tc>
        <w:tc>
          <w:tcPr>
            <w:tcW w:type="dxa" w:w="2268"/>
            <w:vAlign w:val="center"/>
          </w:tcPr>
          <w:p>
            <w:pPr>
              <w:spacing w:after="0" w:line="240" w:lineRule="auto"/>
              <w:jc w:val="center"/>
            </w:pPr>
            <w:r/>
            <w:r>
              <w:rPr>
                <w:b w:val="0"/>
                <w:i w:val="0"/>
                <w:sz w:val="18"/>
              </w:rPr>
              <w:t>18,43</w:t>
            </w:r>
          </w:p>
        </w:tc>
      </w:tr>
    </w:tbl>
    <w:p>
      <w:pPr>
        <w:spacing w:after="200"/>
        <w:jc w:val="left"/>
      </w:pPr>
      <w:r>
        <w:rPr>
          <w:i/>
          <w:sz w:val="18"/>
        </w:rPr>
        <w:t>Source : INSEE, enquête SRCV 2015, base SRCV1_menage. Champ : base brute, 4 198 ménages. Commandes Stata : sum credits, d ; sum agepr, d ; sum totreven, d.</w:t>
      </w:r>
    </w:p>
    <w:p>
      <w:pPr>
        <w:jc w:val="both"/>
      </w:pPr>
      <w:r>
        <w:t xml:space="preserve">Les mensualités ne comportent </w:t>
      </w:r>
      <w:r>
        <w:rPr>
          <w:b/>
        </w:rPr>
        <w:t>aucune valeur manquante</w:t>
      </w:r>
      <w:r>
        <w:t xml:space="preserve">. Leur distribution présente en revanche des </w:t>
      </w:r>
      <w:r>
        <w:rPr>
          <w:b/>
        </w:rPr>
        <w:t>valeurs extrêmes</w:t>
      </w:r>
      <w:r>
        <w:t xml:space="preserve"> aux deux bouts. Quatre ménages déclarent rembourser 1 ou 2 euros par mois, ce qui n’a pas de sens pour un crédit, et le maximum atteint 15 672 euros par mois, soit près de 28 fois la médiane (562 euros). Le skewness (5,48) et surtout le kurtosis (66,66) traduisent le poids de ces valeurs extrêmes. Comme en TD, nous ne conservons que les ménages dont les mensualités sont comprises entre le 1er centile (35 euros) et le 99e centile (3 767 euros) : 40 ménages en dessous et 41 au-dessus sont supprimés, soit 81 observations.</w:t>
      </w:r>
    </w:p>
    <w:p>
      <w:pPr>
        <w:pStyle w:val="Heading3"/>
      </w:pPr>
      <w:r>
        <w:t>2.2. Variables explicatives continues</w:t>
      </w:r>
    </w:p>
    <w:p>
      <w:pPr>
        <w:jc w:val="both"/>
      </w:pPr>
      <w:r>
        <w:t>L’</w:t>
      </w:r>
      <w:r>
        <w:rPr>
          <w:b/>
        </w:rPr>
        <w:t>âge de la personne de référence</w:t>
      </w:r>
      <w:r>
        <w:t xml:space="preserve"> n’est manquant que pour 3 ménages (0,1 %), que nous supprimons. Il varie de 17 à 94 ans. Une personne de référence de 17 ans, étudiante, déclare rembourser un crédit : un mineur ne pouvant en principe pas emprunter, nous considérons cette observation comme aberrante et la supprimons. Les âges élevés sont rares mais plausibles, et nous les conservons.</w:t>
      </w:r>
    </w:p>
    <w:p>
      <w:pPr>
        <w:jc w:val="both"/>
      </w:pPr>
      <w:r>
        <w:t xml:space="preserve">Le </w:t>
      </w:r>
      <w:r>
        <w:rPr>
          <w:b/>
        </w:rPr>
        <w:t>revenu du ménage</w:t>
      </w:r>
      <w:r>
        <w:t xml:space="preserve"> est manquant pour 501 ménages, soit 11,9 % de la base. Ce taux dépasse le seuil de 5 % : supprimer ces ménages réduirait nettement l’échantillon et pourrait biaiser les résultats si les ménages qui ne déclarent pas leur revenu ont des caractéristiques particulières. Le revenu étant notre variable d’intérêt, il n’est pas non plus question de l’abandonner. Nous suivons donc la méthode vue en TD : </w:t>
      </w:r>
      <w:r>
        <w:rPr>
          <w:b/>
        </w:rPr>
        <w:t>le revenu sera introduit en tranches, avec une tranche spécifique « revenu non déclaré »</w:t>
      </w:r>
      <w:r>
        <w:t>.</w:t>
      </w:r>
    </w:p>
    <w:p>
      <w:pPr>
        <w:jc w:val="both"/>
      </w:pPr>
      <w:r>
        <w:t xml:space="preserve">Le revenu présente aussi des </w:t>
      </w:r>
      <w:r>
        <w:rPr>
          <w:b/>
        </w:rPr>
        <w:t>valeurs aberrantes</w:t>
      </w:r>
      <w:r>
        <w:t>. Trois ménages déclarent moins de 500 euros par mois (1, 150 et 300 euros), ce qui n’est pas crédible pour des ménages qui remboursent un crédit : celui qui déclare 300 euros rembourse par exemple 2 460 euros par mois. Le ménage déclarant 1 euro a déjà été supprimé à l’étape précédente (il rembourse 1 euro par mois) ; nous supprimons les deux autres. Nous avons aussi calculé le taux d’effort, c’est-à-dire le rapport entre les mensualités et le revenu : trois ménages remboursent chaque mois plus que leur revenu mensuel (par exemple 2 919 euros de mensualités pour 1 200 euros de revenu). Ces situations sont incohérentes et nous les supprimons également. Le revenu maximal (25 284 euros par mois) est élevé mais plausible ; il sera de toute façon classé dans la tranche supérieure.</w:t>
      </w:r>
    </w:p>
    <w:p>
      <w:pPr>
        <w:pStyle w:val="Heading3"/>
      </w:pPr>
      <w:r>
        <w:t>2.3. Variables qualitatives</w:t>
      </w:r>
    </w:p>
    <w:p>
      <w:pPr>
        <w:keepNext/>
        <w:jc w:val="both"/>
      </w:pPr>
      <w:r>
        <w:t>Le tableau 3 croise le statut d’occupation du logement et le fait de rembourser un crédit immobilier pour la résidence principale.</w:t>
      </w:r>
    </w:p>
    <w:p>
      <w:pPr>
        <w:keepNext/>
        <w:spacing w:after="60"/>
        <w:jc w:val="left"/>
      </w:pPr>
      <w:r>
        <w:rPr>
          <w:b/>
          <w:sz w:val="21"/>
        </w:rPr>
        <w:t>Tableau 3 – Statut d’occupation et crédit immobilier sur la résidence principale (base brute)</w:t>
      </w:r>
    </w:p>
    <w:tbl>
      <w:tblPr>
        <w:tblW w:type="dxa" w:w="8618"/>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3288"/>
        <w:gridCol w:w="1927"/>
        <w:gridCol w:w="1927"/>
        <w:gridCol w:w="1474"/>
      </w:tblGrid>
      <w:tr>
        <w:trPr>
          <w:cantSplit/>
          <w:tblHeader/>
        </w:trPr>
        <w:tc>
          <w:tcPr>
            <w:tcW w:type="dxa" w:w="3288"/>
            <w:shd w:val="clear" w:color="auto" w:fill="E8ECF2"/>
            <w:vAlign w:val="center"/>
          </w:tcPr>
          <w:p>
            <w:pPr>
              <w:keepNext/>
              <w:spacing w:after="0" w:line="240" w:lineRule="auto"/>
              <w:jc w:val="left"/>
            </w:pPr>
            <w:r/>
            <w:r>
              <w:rPr>
                <w:b/>
                <w:i w:val="0"/>
                <w:sz w:val="18"/>
              </w:rPr>
              <w:t>Statut d’occupation du logement</w:t>
            </w:r>
          </w:p>
        </w:tc>
        <w:tc>
          <w:tcPr>
            <w:tcW w:type="dxa" w:w="1927"/>
            <w:shd w:val="clear" w:color="auto" w:fill="E8ECF2"/>
            <w:vAlign w:val="center"/>
          </w:tcPr>
          <w:p>
            <w:pPr>
              <w:keepNext/>
              <w:spacing w:after="0" w:line="240" w:lineRule="auto"/>
              <w:jc w:val="center"/>
            </w:pPr>
            <w:r/>
            <w:r>
              <w:rPr>
                <w:b/>
                <w:i w:val="0"/>
                <w:sz w:val="18"/>
              </w:rPr>
              <w:t>Sans crédit immobilier</w:t>
            </w:r>
          </w:p>
        </w:tc>
        <w:tc>
          <w:tcPr>
            <w:tcW w:type="dxa" w:w="1927"/>
            <w:shd w:val="clear" w:color="auto" w:fill="E8ECF2"/>
            <w:vAlign w:val="center"/>
          </w:tcPr>
          <w:p>
            <w:pPr>
              <w:keepNext/>
              <w:spacing w:after="0" w:line="240" w:lineRule="auto"/>
              <w:jc w:val="center"/>
            </w:pPr>
            <w:r/>
            <w:r>
              <w:rPr>
                <w:b/>
                <w:i w:val="0"/>
                <w:sz w:val="18"/>
              </w:rPr>
              <w:t>Avec crédit immobilier</w:t>
            </w:r>
          </w:p>
        </w:tc>
        <w:tc>
          <w:tcPr>
            <w:tcW w:type="dxa" w:w="1474"/>
            <w:shd w:val="clear" w:color="auto" w:fill="E8ECF2"/>
            <w:vAlign w:val="center"/>
          </w:tcPr>
          <w:p>
            <w:pPr>
              <w:keepNext/>
              <w:spacing w:after="0" w:line="240" w:lineRule="auto"/>
              <w:jc w:val="center"/>
            </w:pPr>
            <w:r/>
            <w:r>
              <w:rPr>
                <w:b/>
                <w:i w:val="0"/>
                <w:sz w:val="18"/>
              </w:rPr>
              <w:t>Total</w:t>
            </w:r>
          </w:p>
        </w:tc>
      </w:tr>
      <w:tr>
        <w:trPr>
          <w:cantSplit/>
        </w:trPr>
        <w:tc>
          <w:tcPr>
            <w:tcW w:type="dxa" w:w="3288"/>
            <w:vAlign w:val="center"/>
          </w:tcPr>
          <w:p>
            <w:pPr>
              <w:keepNext/>
              <w:spacing w:after="0" w:line="240" w:lineRule="auto"/>
              <w:jc w:val="left"/>
            </w:pPr>
            <w:r/>
            <w:r>
              <w:rPr>
                <w:b w:val="0"/>
                <w:i w:val="0"/>
                <w:sz w:val="18"/>
              </w:rPr>
              <w:t>Propriétaire</w:t>
            </w:r>
          </w:p>
        </w:tc>
        <w:tc>
          <w:tcPr>
            <w:tcW w:type="dxa" w:w="1927"/>
            <w:vAlign w:val="center"/>
          </w:tcPr>
          <w:p>
            <w:pPr>
              <w:keepNext/>
              <w:spacing w:after="0" w:line="240" w:lineRule="auto"/>
              <w:jc w:val="center"/>
            </w:pPr>
            <w:r/>
            <w:r>
              <w:rPr>
                <w:b w:val="0"/>
                <w:i w:val="0"/>
                <w:sz w:val="18"/>
              </w:rPr>
              <w:t>788</w:t>
            </w:r>
          </w:p>
        </w:tc>
        <w:tc>
          <w:tcPr>
            <w:tcW w:type="dxa" w:w="1927"/>
            <w:vAlign w:val="center"/>
          </w:tcPr>
          <w:p>
            <w:pPr>
              <w:keepNext/>
              <w:spacing w:after="0" w:line="240" w:lineRule="auto"/>
              <w:jc w:val="center"/>
            </w:pPr>
            <w:r/>
            <w:r>
              <w:rPr>
                <w:b w:val="0"/>
                <w:i w:val="0"/>
                <w:sz w:val="18"/>
              </w:rPr>
              <w:t>2 364</w:t>
            </w:r>
          </w:p>
        </w:tc>
        <w:tc>
          <w:tcPr>
            <w:tcW w:type="dxa" w:w="1474"/>
            <w:vAlign w:val="center"/>
          </w:tcPr>
          <w:p>
            <w:pPr>
              <w:keepNext/>
              <w:spacing w:after="0" w:line="240" w:lineRule="auto"/>
              <w:jc w:val="center"/>
            </w:pPr>
            <w:r/>
            <w:r>
              <w:rPr>
                <w:b w:val="0"/>
                <w:i w:val="0"/>
                <w:sz w:val="18"/>
              </w:rPr>
              <w:t>3 152</w:t>
            </w:r>
          </w:p>
        </w:tc>
      </w:tr>
      <w:tr>
        <w:trPr>
          <w:cantSplit/>
        </w:trPr>
        <w:tc>
          <w:tcPr>
            <w:tcW w:type="dxa" w:w="3288"/>
            <w:vAlign w:val="center"/>
          </w:tcPr>
          <w:p>
            <w:pPr>
              <w:keepNext/>
              <w:spacing w:after="0" w:line="240" w:lineRule="auto"/>
              <w:jc w:val="left"/>
            </w:pPr>
            <w:r/>
            <w:r>
              <w:rPr>
                <w:b w:val="0"/>
                <w:i w:val="0"/>
                <w:sz w:val="18"/>
              </w:rPr>
              <w:t>Locataire ou sous-locataire</w:t>
            </w:r>
          </w:p>
        </w:tc>
        <w:tc>
          <w:tcPr>
            <w:tcW w:type="dxa" w:w="1927"/>
            <w:vAlign w:val="center"/>
          </w:tcPr>
          <w:p>
            <w:pPr>
              <w:keepNext/>
              <w:spacing w:after="0" w:line="240" w:lineRule="auto"/>
              <w:jc w:val="center"/>
            </w:pPr>
            <w:r/>
            <w:r>
              <w:rPr>
                <w:b w:val="0"/>
                <w:i w:val="0"/>
                <w:sz w:val="18"/>
              </w:rPr>
              <w:t>971</w:t>
            </w:r>
          </w:p>
        </w:tc>
        <w:tc>
          <w:tcPr>
            <w:tcW w:type="dxa" w:w="1927"/>
            <w:vAlign w:val="center"/>
          </w:tcPr>
          <w:p>
            <w:pPr>
              <w:keepNext/>
              <w:spacing w:after="0" w:line="240" w:lineRule="auto"/>
              <w:jc w:val="center"/>
            </w:pPr>
            <w:r/>
            <w:r>
              <w:rPr>
                <w:b w:val="0"/>
                <w:i w:val="0"/>
                <w:sz w:val="18"/>
              </w:rPr>
              <w:t>0</w:t>
            </w:r>
          </w:p>
        </w:tc>
        <w:tc>
          <w:tcPr>
            <w:tcW w:type="dxa" w:w="1474"/>
            <w:vAlign w:val="center"/>
          </w:tcPr>
          <w:p>
            <w:pPr>
              <w:keepNext/>
              <w:spacing w:after="0" w:line="240" w:lineRule="auto"/>
              <w:jc w:val="center"/>
            </w:pPr>
            <w:r/>
            <w:r>
              <w:rPr>
                <w:b w:val="0"/>
                <w:i w:val="0"/>
                <w:sz w:val="18"/>
              </w:rPr>
              <w:t>971</w:t>
            </w:r>
          </w:p>
        </w:tc>
      </w:tr>
      <w:tr>
        <w:trPr>
          <w:cantSplit/>
        </w:trPr>
        <w:tc>
          <w:tcPr>
            <w:tcW w:type="dxa" w:w="3288"/>
            <w:vAlign w:val="center"/>
          </w:tcPr>
          <w:p>
            <w:pPr>
              <w:keepNext/>
              <w:spacing w:after="0" w:line="240" w:lineRule="auto"/>
              <w:jc w:val="left"/>
            </w:pPr>
            <w:r/>
            <w:r>
              <w:rPr>
                <w:b w:val="0"/>
                <w:i w:val="0"/>
                <w:sz w:val="18"/>
              </w:rPr>
              <w:t>Logé gratuitement</w:t>
            </w:r>
          </w:p>
        </w:tc>
        <w:tc>
          <w:tcPr>
            <w:tcW w:type="dxa" w:w="1927"/>
            <w:vAlign w:val="center"/>
          </w:tcPr>
          <w:p>
            <w:pPr>
              <w:keepNext/>
              <w:spacing w:after="0" w:line="240" w:lineRule="auto"/>
              <w:jc w:val="center"/>
            </w:pPr>
            <w:r/>
            <w:r>
              <w:rPr>
                <w:b w:val="0"/>
                <w:i w:val="0"/>
                <w:sz w:val="18"/>
              </w:rPr>
              <w:t>75</w:t>
            </w:r>
          </w:p>
        </w:tc>
        <w:tc>
          <w:tcPr>
            <w:tcW w:type="dxa" w:w="1927"/>
            <w:vAlign w:val="center"/>
          </w:tcPr>
          <w:p>
            <w:pPr>
              <w:keepNext/>
              <w:spacing w:after="0" w:line="240" w:lineRule="auto"/>
              <w:jc w:val="center"/>
            </w:pPr>
            <w:r/>
            <w:r>
              <w:rPr>
                <w:b w:val="0"/>
                <w:i w:val="0"/>
                <w:sz w:val="18"/>
              </w:rPr>
              <w:t>0</w:t>
            </w:r>
          </w:p>
        </w:tc>
        <w:tc>
          <w:tcPr>
            <w:tcW w:type="dxa" w:w="1474"/>
            <w:vAlign w:val="center"/>
          </w:tcPr>
          <w:p>
            <w:pPr>
              <w:keepNext/>
              <w:spacing w:after="0" w:line="240" w:lineRule="auto"/>
              <w:jc w:val="center"/>
            </w:pPr>
            <w:r/>
            <w:r>
              <w:rPr>
                <w:b w:val="0"/>
                <w:i w:val="0"/>
                <w:sz w:val="18"/>
              </w:rPr>
              <w:t>75</w:t>
            </w:r>
          </w:p>
        </w:tc>
      </w:tr>
      <w:tr>
        <w:trPr>
          <w:cantSplit/>
        </w:trPr>
        <w:tc>
          <w:tcPr>
            <w:tcW w:type="dxa" w:w="3288"/>
            <w:vAlign w:val="center"/>
          </w:tcPr>
          <w:p>
            <w:pPr>
              <w:spacing w:after="0" w:line="240" w:lineRule="auto"/>
              <w:jc w:val="left"/>
            </w:pPr>
            <w:r/>
            <w:r>
              <w:rPr>
                <w:b w:val="0"/>
                <w:i w:val="0"/>
                <w:sz w:val="18"/>
              </w:rPr>
              <w:t>Total</w:t>
            </w:r>
          </w:p>
        </w:tc>
        <w:tc>
          <w:tcPr>
            <w:tcW w:type="dxa" w:w="1927"/>
            <w:vAlign w:val="center"/>
          </w:tcPr>
          <w:p>
            <w:pPr>
              <w:spacing w:after="0" w:line="240" w:lineRule="auto"/>
              <w:jc w:val="center"/>
            </w:pPr>
            <w:r/>
            <w:r>
              <w:rPr>
                <w:b w:val="0"/>
                <w:i w:val="0"/>
                <w:sz w:val="18"/>
              </w:rPr>
              <w:t>1 834</w:t>
            </w:r>
          </w:p>
        </w:tc>
        <w:tc>
          <w:tcPr>
            <w:tcW w:type="dxa" w:w="1927"/>
            <w:vAlign w:val="center"/>
          </w:tcPr>
          <w:p>
            <w:pPr>
              <w:spacing w:after="0" w:line="240" w:lineRule="auto"/>
              <w:jc w:val="center"/>
            </w:pPr>
            <w:r/>
            <w:r>
              <w:rPr>
                <w:b w:val="0"/>
                <w:i w:val="0"/>
                <w:sz w:val="18"/>
              </w:rPr>
              <w:t>2 364</w:t>
            </w:r>
          </w:p>
        </w:tc>
        <w:tc>
          <w:tcPr>
            <w:tcW w:type="dxa" w:w="1474"/>
            <w:vAlign w:val="center"/>
          </w:tcPr>
          <w:p>
            <w:pPr>
              <w:spacing w:after="0" w:line="240" w:lineRule="auto"/>
              <w:jc w:val="center"/>
            </w:pPr>
            <w:r/>
            <w:r>
              <w:rPr>
                <w:b w:val="0"/>
                <w:i w:val="0"/>
                <w:sz w:val="18"/>
              </w:rPr>
              <w:t>4 198</w:t>
            </w:r>
          </w:p>
        </w:tc>
      </w:tr>
    </w:tbl>
    <w:p>
      <w:pPr>
        <w:spacing w:after="200"/>
        <w:jc w:val="left"/>
      </w:pPr>
      <w:r>
        <w:rPr>
          <w:i/>
          <w:sz w:val="18"/>
        </w:rPr>
        <w:t>Source : INSEE, enquête SRCV 2015, base SRCV1_menage. Champ : base brute, 4 198 ménages. Commande Stata : tab sto credit_immo, m.</w:t>
      </w:r>
    </w:p>
    <w:p>
      <w:pPr>
        <w:jc w:val="both"/>
      </w:pPr>
      <w:r>
        <w:t xml:space="preserve">Les deux variables n’ont aucune valeur manquante. Tous les ménages qui remboursent un crédit immobilier pour leur résidence principale sont propriétaires : les deux variables sont donc emboîtées, et il n’est pas possible de les introduire séparément sans redondance. Nous les combinons en une seule variable à trois modalités : </w:t>
      </w:r>
      <w:r>
        <w:rPr>
          <w:b/>
        </w:rPr>
        <w:t>propriétaires accédants</w:t>
      </w:r>
      <w:r>
        <w:t xml:space="preserve"> (2 364 ménages), </w:t>
      </w:r>
      <w:r>
        <w:rPr>
          <w:b/>
        </w:rPr>
        <w:t>propriétaires non accédants</w:t>
      </w:r>
      <w:r>
        <w:t xml:space="preserve"> (788) et </w:t>
      </w:r>
      <w:r>
        <w:rPr>
          <w:b/>
        </w:rPr>
        <w:t>locataires ou logés gratuitement</w:t>
      </w:r>
      <w:r>
        <w:t xml:space="preserve"> (971 + 75). Les ménages logés gratuitement (1,8 %) sont trop peu nombreux pour former une modalité à part ; comme les locataires, ils ne sont pas propriétaires de leur logement, et nous les regroupons avec eux.</w:t>
      </w:r>
    </w:p>
    <w:p>
      <w:pPr>
        <w:keepNext/>
        <w:jc w:val="both"/>
      </w:pPr>
      <w:r>
        <w:t>Le tableau 4 donne les fréquences des autres variables qualitatives sur la base brute.</w:t>
      </w:r>
    </w:p>
    <w:p>
      <w:pPr>
        <w:keepNext/>
        <w:spacing w:after="60"/>
        <w:jc w:val="left"/>
      </w:pPr>
      <w:r>
        <w:rPr>
          <w:b/>
          <w:sz w:val="21"/>
        </w:rPr>
        <w:t>Tableau 4 – Fréquences des variables qualitatives sur la base brute</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2778"/>
        <w:gridCol w:w="737"/>
        <w:gridCol w:w="567"/>
        <w:gridCol w:w="3685"/>
        <w:gridCol w:w="737"/>
        <w:gridCol w:w="567"/>
      </w:tblGrid>
      <w:tr>
        <w:trPr>
          <w:cantSplit/>
        </w:trPr>
        <w:tc>
          <w:tcPr>
            <w:tcW w:type="dxa" w:w="2778"/>
            <w:shd w:val="clear" w:color="auto" w:fill="E8ECF2"/>
            <w:vAlign w:val="center"/>
          </w:tcPr>
          <w:p>
            <w:pPr>
              <w:spacing w:after="0" w:line="240" w:lineRule="auto"/>
              <w:jc w:val="left"/>
            </w:pPr>
            <w:r/>
            <w:r>
              <w:rPr>
                <w:b/>
                <w:i w:val="0"/>
                <w:sz w:val="16"/>
              </w:rPr>
              <w:t>Modalité</w:t>
            </w:r>
          </w:p>
        </w:tc>
        <w:tc>
          <w:tcPr>
            <w:tcW w:type="dxa" w:w="737"/>
            <w:shd w:val="clear" w:color="auto" w:fill="E8ECF2"/>
            <w:vAlign w:val="center"/>
          </w:tcPr>
          <w:p>
            <w:pPr>
              <w:spacing w:after="0" w:line="240" w:lineRule="auto"/>
              <w:jc w:val="center"/>
            </w:pPr>
            <w:r/>
            <w:r>
              <w:rPr>
                <w:b/>
                <w:i w:val="0"/>
                <w:sz w:val="16"/>
              </w:rPr>
              <w:t>Effectif</w:t>
            </w:r>
          </w:p>
        </w:tc>
        <w:tc>
          <w:tcPr>
            <w:tcW w:type="dxa" w:w="567"/>
            <w:shd w:val="clear" w:color="auto" w:fill="E8ECF2"/>
            <w:vAlign w:val="center"/>
          </w:tcPr>
          <w:p>
            <w:pPr>
              <w:spacing w:after="0" w:line="240" w:lineRule="auto"/>
              <w:jc w:val="center"/>
            </w:pPr>
            <w:r/>
            <w:r>
              <w:rPr>
                <w:b/>
                <w:i w:val="0"/>
                <w:sz w:val="16"/>
              </w:rPr>
              <w:t>%</w:t>
            </w:r>
          </w:p>
        </w:tc>
        <w:tc>
          <w:tcPr>
            <w:tcW w:type="dxa" w:w="3685"/>
            <w:shd w:val="clear" w:color="auto" w:fill="E8ECF2"/>
            <w:vAlign w:val="center"/>
          </w:tcPr>
          <w:p>
            <w:pPr>
              <w:spacing w:after="0" w:line="240" w:lineRule="auto"/>
              <w:jc w:val="left"/>
            </w:pPr>
            <w:r/>
            <w:r>
              <w:rPr>
                <w:b/>
                <w:i w:val="0"/>
                <w:sz w:val="16"/>
              </w:rPr>
              <w:t>Modalité</w:t>
            </w:r>
          </w:p>
        </w:tc>
        <w:tc>
          <w:tcPr>
            <w:tcW w:type="dxa" w:w="737"/>
            <w:shd w:val="clear" w:color="auto" w:fill="E8ECF2"/>
            <w:vAlign w:val="center"/>
          </w:tcPr>
          <w:p>
            <w:pPr>
              <w:spacing w:after="0" w:line="240" w:lineRule="auto"/>
              <w:jc w:val="center"/>
            </w:pPr>
            <w:r/>
            <w:r>
              <w:rPr>
                <w:b/>
                <w:i w:val="0"/>
                <w:sz w:val="16"/>
              </w:rPr>
              <w:t>Effectif</w:t>
            </w:r>
          </w:p>
        </w:tc>
        <w:tc>
          <w:tcPr>
            <w:tcW w:type="dxa" w:w="567"/>
            <w:shd w:val="clear" w:color="auto" w:fill="E8ECF2"/>
            <w:vAlign w:val="center"/>
          </w:tcPr>
          <w:p>
            <w:pPr>
              <w:spacing w:after="0" w:line="240" w:lineRule="auto"/>
              <w:jc w:val="center"/>
            </w:pPr>
            <w:r/>
            <w:r>
              <w:rPr>
                <w:b/>
                <w:i w:val="0"/>
                <w:sz w:val="16"/>
              </w:rPr>
              <w:t>%</w:t>
            </w:r>
          </w:p>
        </w:tc>
      </w:tr>
      <w:tr>
        <w:trPr>
          <w:cantSplit/>
        </w:trPr>
        <w:tc>
          <w:tcPr>
            <w:tcW w:type="dxa" w:w="4082"/>
            <w:gridSpan w:val="3"/>
            <w:shd w:val="clear" w:color="auto" w:fill="F4F6F9"/>
            <w:vAlign w:val="center"/>
          </w:tcPr>
          <w:p>
            <w:pPr>
              <w:spacing w:after="0" w:line="240" w:lineRule="auto"/>
              <w:jc w:val="left"/>
            </w:pPr>
            <w:r/>
            <w:r>
              <w:rPr>
                <w:b/>
                <w:i w:val="0"/>
                <w:sz w:val="16"/>
              </w:rPr>
              <w:t>Nombre de crédits en cours</w:t>
            </w:r>
          </w:p>
        </w:tc>
        <w:tc>
          <w:tcPr>
            <w:tcW w:type="dxa" w:w="4989"/>
            <w:gridSpan w:val="3"/>
            <w:shd w:val="clear" w:color="auto" w:fill="F4F6F9"/>
            <w:vAlign w:val="center"/>
          </w:tcPr>
          <w:p>
            <w:pPr>
              <w:spacing w:after="0" w:line="240" w:lineRule="auto"/>
              <w:jc w:val="left"/>
            </w:pPr>
            <w:r/>
            <w:r>
              <w:rPr>
                <w:b/>
                <w:i w:val="0"/>
                <w:sz w:val="16"/>
              </w:rPr>
              <w:t>CSP de la personne de référence</w:t>
            </w:r>
          </w:p>
        </w:tc>
      </w:tr>
      <w:tr>
        <w:trPr>
          <w:cantSplit/>
        </w:trPr>
        <w:tc>
          <w:tcPr>
            <w:tcW w:type="dxa" w:w="2778"/>
            <w:vAlign w:val="center"/>
          </w:tcPr>
          <w:p>
            <w:pPr>
              <w:spacing w:after="0" w:line="240" w:lineRule="auto"/>
              <w:jc w:val="left"/>
            </w:pPr>
            <w:r/>
            <w:r>
              <w:rPr>
                <w:b w:val="0"/>
                <w:i w:val="0"/>
                <w:sz w:val="16"/>
              </w:rPr>
              <w:t>1 crédit</w:t>
            </w:r>
          </w:p>
        </w:tc>
        <w:tc>
          <w:tcPr>
            <w:tcW w:type="dxa" w:w="737"/>
            <w:vAlign w:val="center"/>
          </w:tcPr>
          <w:p>
            <w:pPr>
              <w:spacing w:after="0" w:line="240" w:lineRule="auto"/>
              <w:jc w:val="center"/>
            </w:pPr>
            <w:r/>
            <w:r>
              <w:rPr>
                <w:b w:val="0"/>
                <w:i w:val="0"/>
                <w:sz w:val="16"/>
              </w:rPr>
              <w:t>2 980</w:t>
            </w:r>
          </w:p>
        </w:tc>
        <w:tc>
          <w:tcPr>
            <w:tcW w:type="dxa" w:w="567"/>
            <w:vAlign w:val="center"/>
          </w:tcPr>
          <w:p>
            <w:pPr>
              <w:spacing w:after="0" w:line="240" w:lineRule="auto"/>
              <w:jc w:val="center"/>
            </w:pPr>
            <w:r/>
            <w:r>
              <w:rPr>
                <w:b w:val="0"/>
                <w:i w:val="0"/>
                <w:sz w:val="16"/>
              </w:rPr>
              <w:t>71,0</w:t>
            </w:r>
          </w:p>
        </w:tc>
        <w:tc>
          <w:tcPr>
            <w:tcW w:type="dxa" w:w="3685"/>
            <w:vAlign w:val="center"/>
          </w:tcPr>
          <w:p>
            <w:pPr>
              <w:spacing w:after="0" w:line="240" w:lineRule="auto"/>
              <w:jc w:val="left"/>
            </w:pPr>
            <w:r/>
            <w:r>
              <w:rPr>
                <w:b w:val="0"/>
                <w:i w:val="0"/>
                <w:sz w:val="16"/>
              </w:rPr>
              <w:t>Agriculteurs exploitants</w:t>
            </w:r>
          </w:p>
        </w:tc>
        <w:tc>
          <w:tcPr>
            <w:tcW w:type="dxa" w:w="737"/>
            <w:vAlign w:val="center"/>
          </w:tcPr>
          <w:p>
            <w:pPr>
              <w:spacing w:after="0" w:line="240" w:lineRule="auto"/>
              <w:jc w:val="center"/>
            </w:pPr>
            <w:r/>
            <w:r>
              <w:rPr>
                <w:b w:val="0"/>
                <w:i w:val="0"/>
                <w:sz w:val="16"/>
              </w:rPr>
              <w:t>61</w:t>
            </w:r>
          </w:p>
        </w:tc>
        <w:tc>
          <w:tcPr>
            <w:tcW w:type="dxa" w:w="567"/>
            <w:vAlign w:val="center"/>
          </w:tcPr>
          <w:p>
            <w:pPr>
              <w:spacing w:after="0" w:line="240" w:lineRule="auto"/>
              <w:jc w:val="center"/>
            </w:pPr>
            <w:r/>
            <w:r>
              <w:rPr>
                <w:b w:val="0"/>
                <w:i w:val="0"/>
                <w:sz w:val="16"/>
              </w:rPr>
              <w:t>1,5</w:t>
            </w:r>
          </w:p>
        </w:tc>
      </w:tr>
      <w:tr>
        <w:trPr>
          <w:cantSplit/>
        </w:trPr>
        <w:tc>
          <w:tcPr>
            <w:tcW w:type="dxa" w:w="2778"/>
            <w:vAlign w:val="center"/>
          </w:tcPr>
          <w:p>
            <w:pPr>
              <w:spacing w:after="0" w:line="240" w:lineRule="auto"/>
              <w:jc w:val="left"/>
            </w:pPr>
            <w:r/>
            <w:r>
              <w:rPr>
                <w:b w:val="0"/>
                <w:i w:val="0"/>
                <w:sz w:val="16"/>
              </w:rPr>
              <w:t>2 crédits</w:t>
            </w:r>
          </w:p>
        </w:tc>
        <w:tc>
          <w:tcPr>
            <w:tcW w:type="dxa" w:w="737"/>
            <w:vAlign w:val="center"/>
          </w:tcPr>
          <w:p>
            <w:pPr>
              <w:spacing w:after="0" w:line="240" w:lineRule="auto"/>
              <w:jc w:val="center"/>
            </w:pPr>
            <w:r/>
            <w:r>
              <w:rPr>
                <w:b w:val="0"/>
                <w:i w:val="0"/>
                <w:sz w:val="16"/>
              </w:rPr>
              <w:t>1 055</w:t>
            </w:r>
          </w:p>
        </w:tc>
        <w:tc>
          <w:tcPr>
            <w:tcW w:type="dxa" w:w="567"/>
            <w:vAlign w:val="center"/>
          </w:tcPr>
          <w:p>
            <w:pPr>
              <w:spacing w:after="0" w:line="240" w:lineRule="auto"/>
              <w:jc w:val="center"/>
            </w:pPr>
            <w:r/>
            <w:r>
              <w:rPr>
                <w:b w:val="0"/>
                <w:i w:val="0"/>
                <w:sz w:val="16"/>
              </w:rPr>
              <w:t>25,1</w:t>
            </w:r>
          </w:p>
        </w:tc>
        <w:tc>
          <w:tcPr>
            <w:tcW w:type="dxa" w:w="3685"/>
            <w:vAlign w:val="center"/>
          </w:tcPr>
          <w:p>
            <w:pPr>
              <w:spacing w:after="0" w:line="240" w:lineRule="auto"/>
              <w:jc w:val="left"/>
            </w:pPr>
            <w:r/>
            <w:r>
              <w:rPr>
                <w:b w:val="0"/>
                <w:i w:val="0"/>
                <w:sz w:val="16"/>
              </w:rPr>
              <w:t>Artisans</w:t>
            </w:r>
          </w:p>
        </w:tc>
        <w:tc>
          <w:tcPr>
            <w:tcW w:type="dxa" w:w="737"/>
            <w:vAlign w:val="center"/>
          </w:tcPr>
          <w:p>
            <w:pPr>
              <w:spacing w:after="0" w:line="240" w:lineRule="auto"/>
              <w:jc w:val="center"/>
            </w:pPr>
            <w:r/>
            <w:r>
              <w:rPr>
                <w:b w:val="0"/>
                <w:i w:val="0"/>
                <w:sz w:val="16"/>
              </w:rPr>
              <w:t>112</w:t>
            </w:r>
          </w:p>
        </w:tc>
        <w:tc>
          <w:tcPr>
            <w:tcW w:type="dxa" w:w="567"/>
            <w:vAlign w:val="center"/>
          </w:tcPr>
          <w:p>
            <w:pPr>
              <w:spacing w:after="0" w:line="240" w:lineRule="auto"/>
              <w:jc w:val="center"/>
            </w:pPr>
            <w:r/>
            <w:r>
              <w:rPr>
                <w:b w:val="0"/>
                <w:i w:val="0"/>
                <w:sz w:val="16"/>
              </w:rPr>
              <w:t>2,7</w:t>
            </w:r>
          </w:p>
        </w:tc>
      </w:tr>
      <w:tr>
        <w:trPr>
          <w:cantSplit/>
        </w:trPr>
        <w:tc>
          <w:tcPr>
            <w:tcW w:type="dxa" w:w="2778"/>
            <w:vAlign w:val="center"/>
          </w:tcPr>
          <w:p>
            <w:pPr>
              <w:spacing w:after="0" w:line="240" w:lineRule="auto"/>
              <w:jc w:val="left"/>
            </w:pPr>
            <w:r/>
            <w:r>
              <w:rPr>
                <w:b w:val="0"/>
                <w:i w:val="0"/>
                <w:sz w:val="16"/>
              </w:rPr>
              <w:t>3 crédits</w:t>
            </w:r>
          </w:p>
        </w:tc>
        <w:tc>
          <w:tcPr>
            <w:tcW w:type="dxa" w:w="737"/>
            <w:vAlign w:val="center"/>
          </w:tcPr>
          <w:p>
            <w:pPr>
              <w:spacing w:after="0" w:line="240" w:lineRule="auto"/>
              <w:jc w:val="center"/>
            </w:pPr>
            <w:r/>
            <w:r>
              <w:rPr>
                <w:b w:val="0"/>
                <w:i w:val="0"/>
                <w:sz w:val="16"/>
              </w:rPr>
              <w:t>146</w:t>
            </w:r>
          </w:p>
        </w:tc>
        <w:tc>
          <w:tcPr>
            <w:tcW w:type="dxa" w:w="567"/>
            <w:vAlign w:val="center"/>
          </w:tcPr>
          <w:p>
            <w:pPr>
              <w:spacing w:after="0" w:line="240" w:lineRule="auto"/>
              <w:jc w:val="center"/>
            </w:pPr>
            <w:r/>
            <w:r>
              <w:rPr>
                <w:b w:val="0"/>
                <w:i w:val="0"/>
                <w:sz w:val="16"/>
              </w:rPr>
              <w:t>3,5</w:t>
            </w:r>
          </w:p>
        </w:tc>
        <w:tc>
          <w:tcPr>
            <w:tcW w:type="dxa" w:w="3685"/>
            <w:vAlign w:val="center"/>
          </w:tcPr>
          <w:p>
            <w:pPr>
              <w:spacing w:after="0" w:line="240" w:lineRule="auto"/>
              <w:jc w:val="left"/>
            </w:pPr>
            <w:r/>
            <w:r>
              <w:rPr>
                <w:b w:val="0"/>
                <w:i w:val="0"/>
                <w:sz w:val="16"/>
              </w:rPr>
              <w:t>Commerçants et assimilés</w:t>
            </w:r>
          </w:p>
        </w:tc>
        <w:tc>
          <w:tcPr>
            <w:tcW w:type="dxa" w:w="737"/>
            <w:vAlign w:val="center"/>
          </w:tcPr>
          <w:p>
            <w:pPr>
              <w:spacing w:after="0" w:line="240" w:lineRule="auto"/>
              <w:jc w:val="center"/>
            </w:pPr>
            <w:r/>
            <w:r>
              <w:rPr>
                <w:b w:val="0"/>
                <w:i w:val="0"/>
                <w:sz w:val="16"/>
              </w:rPr>
              <w:t>58</w:t>
            </w:r>
          </w:p>
        </w:tc>
        <w:tc>
          <w:tcPr>
            <w:tcW w:type="dxa" w:w="567"/>
            <w:vAlign w:val="center"/>
          </w:tcPr>
          <w:p>
            <w:pPr>
              <w:spacing w:after="0" w:line="240" w:lineRule="auto"/>
              <w:jc w:val="center"/>
            </w:pPr>
            <w:r/>
            <w:r>
              <w:rPr>
                <w:b w:val="0"/>
                <w:i w:val="0"/>
                <w:sz w:val="16"/>
              </w:rPr>
              <w:t>1,4</w:t>
            </w:r>
          </w:p>
        </w:tc>
      </w:tr>
      <w:tr>
        <w:trPr>
          <w:cantSplit/>
        </w:trPr>
        <w:tc>
          <w:tcPr>
            <w:tcW w:type="dxa" w:w="2778"/>
            <w:vAlign w:val="center"/>
          </w:tcPr>
          <w:p>
            <w:pPr>
              <w:spacing w:after="0" w:line="240" w:lineRule="auto"/>
              <w:jc w:val="left"/>
            </w:pPr>
            <w:r/>
            <w:r>
              <w:rPr>
                <w:b w:val="0"/>
                <w:i w:val="0"/>
                <w:sz w:val="16"/>
              </w:rPr>
              <w:t>4 crédits</w:t>
            </w:r>
          </w:p>
        </w:tc>
        <w:tc>
          <w:tcPr>
            <w:tcW w:type="dxa" w:w="737"/>
            <w:vAlign w:val="center"/>
          </w:tcPr>
          <w:p>
            <w:pPr>
              <w:spacing w:after="0" w:line="240" w:lineRule="auto"/>
              <w:jc w:val="center"/>
            </w:pPr>
            <w:r/>
            <w:r>
              <w:rPr>
                <w:b w:val="0"/>
                <w:i w:val="0"/>
                <w:sz w:val="16"/>
              </w:rPr>
              <w:t>15</w:t>
            </w:r>
          </w:p>
        </w:tc>
        <w:tc>
          <w:tcPr>
            <w:tcW w:type="dxa" w:w="567"/>
            <w:vAlign w:val="center"/>
          </w:tcPr>
          <w:p>
            <w:pPr>
              <w:spacing w:after="0" w:line="240" w:lineRule="auto"/>
              <w:jc w:val="center"/>
            </w:pPr>
            <w:r/>
            <w:r>
              <w:rPr>
                <w:b w:val="0"/>
                <w:i w:val="0"/>
                <w:sz w:val="16"/>
              </w:rPr>
              <w:t>0,4</w:t>
            </w:r>
          </w:p>
        </w:tc>
        <w:tc>
          <w:tcPr>
            <w:tcW w:type="dxa" w:w="3685"/>
            <w:vAlign w:val="center"/>
          </w:tcPr>
          <w:p>
            <w:pPr>
              <w:spacing w:after="0" w:line="240" w:lineRule="auto"/>
              <w:jc w:val="left"/>
            </w:pPr>
            <w:r/>
            <w:r>
              <w:rPr>
                <w:b w:val="0"/>
                <w:i w:val="0"/>
                <w:sz w:val="16"/>
              </w:rPr>
              <w:t>Chefs d’entreprise de 10 salariés ou +</w:t>
            </w:r>
          </w:p>
        </w:tc>
        <w:tc>
          <w:tcPr>
            <w:tcW w:type="dxa" w:w="737"/>
            <w:vAlign w:val="center"/>
          </w:tcPr>
          <w:p>
            <w:pPr>
              <w:spacing w:after="0" w:line="240" w:lineRule="auto"/>
              <w:jc w:val="center"/>
            </w:pPr>
            <w:r/>
            <w:r>
              <w:rPr>
                <w:b w:val="0"/>
                <w:i w:val="0"/>
                <w:sz w:val="16"/>
              </w:rPr>
              <w:t>23</w:t>
            </w:r>
          </w:p>
        </w:tc>
        <w:tc>
          <w:tcPr>
            <w:tcW w:type="dxa" w:w="567"/>
            <w:vAlign w:val="center"/>
          </w:tcPr>
          <w:p>
            <w:pPr>
              <w:spacing w:after="0" w:line="240" w:lineRule="auto"/>
              <w:jc w:val="center"/>
            </w:pPr>
            <w:r/>
            <w:r>
              <w:rPr>
                <w:b w:val="0"/>
                <w:i w:val="0"/>
                <w:sz w:val="16"/>
              </w:rPr>
              <w:t>0,5</w:t>
            </w:r>
          </w:p>
        </w:tc>
      </w:tr>
      <w:tr>
        <w:trPr>
          <w:cantSplit/>
        </w:trPr>
        <w:tc>
          <w:tcPr>
            <w:tcW w:type="dxa" w:w="2778"/>
            <w:vAlign w:val="center"/>
          </w:tcPr>
          <w:p>
            <w:pPr>
              <w:spacing w:after="0" w:line="240" w:lineRule="auto"/>
              <w:jc w:val="left"/>
            </w:pPr>
            <w:r/>
            <w:r>
              <w:rPr>
                <w:b w:val="0"/>
                <w:i w:val="0"/>
                <w:sz w:val="16"/>
              </w:rPr>
              <w:t>5 crédits</w:t>
            </w:r>
          </w:p>
        </w:tc>
        <w:tc>
          <w:tcPr>
            <w:tcW w:type="dxa" w:w="737"/>
            <w:vAlign w:val="center"/>
          </w:tcPr>
          <w:p>
            <w:pPr>
              <w:spacing w:after="0" w:line="240" w:lineRule="auto"/>
              <w:jc w:val="center"/>
            </w:pPr>
            <w:r/>
            <w:r>
              <w:rPr>
                <w:b w:val="0"/>
                <w:i w:val="0"/>
                <w:sz w:val="16"/>
              </w:rPr>
              <w:t>1</w:t>
            </w:r>
          </w:p>
        </w:tc>
        <w:tc>
          <w:tcPr>
            <w:tcW w:type="dxa" w:w="567"/>
            <w:vAlign w:val="center"/>
          </w:tcPr>
          <w:p>
            <w:pPr>
              <w:spacing w:after="0" w:line="240" w:lineRule="auto"/>
              <w:jc w:val="center"/>
            </w:pPr>
            <w:r/>
            <w:r>
              <w:rPr>
                <w:b w:val="0"/>
                <w:i w:val="0"/>
                <w:sz w:val="16"/>
              </w:rPr>
              <w:t>0,0</w:t>
            </w:r>
          </w:p>
        </w:tc>
        <w:tc>
          <w:tcPr>
            <w:tcW w:type="dxa" w:w="3685"/>
            <w:vAlign w:val="center"/>
          </w:tcPr>
          <w:p>
            <w:pPr>
              <w:spacing w:after="0" w:line="240" w:lineRule="auto"/>
              <w:jc w:val="left"/>
            </w:pPr>
            <w:r/>
            <w:r>
              <w:rPr>
                <w:b w:val="0"/>
                <w:i w:val="0"/>
                <w:sz w:val="16"/>
              </w:rPr>
              <w:t>Professions libérales</w:t>
            </w:r>
          </w:p>
        </w:tc>
        <w:tc>
          <w:tcPr>
            <w:tcW w:type="dxa" w:w="737"/>
            <w:vAlign w:val="center"/>
          </w:tcPr>
          <w:p>
            <w:pPr>
              <w:spacing w:after="0" w:line="240" w:lineRule="auto"/>
              <w:jc w:val="center"/>
            </w:pPr>
            <w:r/>
            <w:r>
              <w:rPr>
                <w:b w:val="0"/>
                <w:i w:val="0"/>
                <w:sz w:val="16"/>
              </w:rPr>
              <w:t>65</w:t>
            </w:r>
          </w:p>
        </w:tc>
        <w:tc>
          <w:tcPr>
            <w:tcW w:type="dxa" w:w="567"/>
            <w:vAlign w:val="center"/>
          </w:tcPr>
          <w:p>
            <w:pPr>
              <w:spacing w:after="0" w:line="240" w:lineRule="auto"/>
              <w:jc w:val="center"/>
            </w:pPr>
            <w:r/>
            <w:r>
              <w:rPr>
                <w:b w:val="0"/>
                <w:i w:val="0"/>
                <w:sz w:val="16"/>
              </w:rPr>
              <w:t>1,5</w:t>
            </w:r>
          </w:p>
        </w:tc>
      </w:tr>
      <w:tr>
        <w:trPr>
          <w:cantSplit/>
        </w:trPr>
        <w:tc>
          <w:tcPr>
            <w:tcW w:type="dxa" w:w="2778"/>
            <w:vAlign w:val="center"/>
          </w:tcPr>
          <w:p>
            <w:pPr>
              <w:spacing w:after="0" w:line="240" w:lineRule="auto"/>
              <w:jc w:val="left"/>
            </w:pPr>
            <w:r/>
            <w:r>
              <w:rPr>
                <w:b w:val="0"/>
                <w:i w:val="0"/>
                <w:sz w:val="16"/>
              </w:rPr>
              <w:t>6 crédits</w:t>
            </w:r>
          </w:p>
        </w:tc>
        <w:tc>
          <w:tcPr>
            <w:tcW w:type="dxa" w:w="737"/>
            <w:vAlign w:val="center"/>
          </w:tcPr>
          <w:p>
            <w:pPr>
              <w:spacing w:after="0" w:line="240" w:lineRule="auto"/>
              <w:jc w:val="center"/>
            </w:pPr>
            <w:r/>
            <w:r>
              <w:rPr>
                <w:b w:val="0"/>
                <w:i w:val="0"/>
                <w:sz w:val="16"/>
              </w:rPr>
              <w:t>1</w:t>
            </w:r>
          </w:p>
        </w:tc>
        <w:tc>
          <w:tcPr>
            <w:tcW w:type="dxa" w:w="567"/>
            <w:vAlign w:val="center"/>
          </w:tcPr>
          <w:p>
            <w:pPr>
              <w:spacing w:after="0" w:line="240" w:lineRule="auto"/>
              <w:jc w:val="center"/>
            </w:pPr>
            <w:r/>
            <w:r>
              <w:rPr>
                <w:b w:val="0"/>
                <w:i w:val="0"/>
                <w:sz w:val="16"/>
              </w:rPr>
              <w:t>0,0</w:t>
            </w:r>
          </w:p>
        </w:tc>
        <w:tc>
          <w:tcPr>
            <w:tcW w:type="dxa" w:w="3685"/>
            <w:vAlign w:val="center"/>
          </w:tcPr>
          <w:p>
            <w:pPr>
              <w:spacing w:after="0" w:line="240" w:lineRule="auto"/>
              <w:jc w:val="left"/>
            </w:pPr>
            <w:r/>
            <w:r>
              <w:rPr>
                <w:b w:val="0"/>
                <w:i w:val="0"/>
                <w:sz w:val="16"/>
              </w:rPr>
              <w:t>Cadres fonction publique, prof. intell. et artist.</w:t>
            </w:r>
          </w:p>
        </w:tc>
        <w:tc>
          <w:tcPr>
            <w:tcW w:type="dxa" w:w="737"/>
            <w:vAlign w:val="center"/>
          </w:tcPr>
          <w:p>
            <w:pPr>
              <w:spacing w:after="0" w:line="240" w:lineRule="auto"/>
              <w:jc w:val="center"/>
            </w:pPr>
            <w:r/>
            <w:r>
              <w:rPr>
                <w:b w:val="0"/>
                <w:i w:val="0"/>
                <w:sz w:val="16"/>
              </w:rPr>
              <w:t>243</w:t>
            </w:r>
          </w:p>
        </w:tc>
        <w:tc>
          <w:tcPr>
            <w:tcW w:type="dxa" w:w="567"/>
            <w:vAlign w:val="center"/>
          </w:tcPr>
          <w:p>
            <w:pPr>
              <w:spacing w:after="0" w:line="240" w:lineRule="auto"/>
              <w:jc w:val="center"/>
            </w:pPr>
            <w:r/>
            <w:r>
              <w:rPr>
                <w:b w:val="0"/>
                <w:i w:val="0"/>
                <w:sz w:val="16"/>
              </w:rPr>
              <w:t>5,8</w:t>
            </w:r>
          </w:p>
        </w:tc>
      </w:tr>
      <w:tr>
        <w:trPr>
          <w:cantSplit/>
        </w:trPr>
        <w:tc>
          <w:tcPr>
            <w:tcW w:type="dxa" w:w="4082"/>
            <w:gridSpan w:val="3"/>
            <w:shd w:val="clear" w:color="auto" w:fill="F4F6F9"/>
            <w:vAlign w:val="center"/>
          </w:tcPr>
          <w:p>
            <w:pPr>
              <w:spacing w:after="0" w:line="240" w:lineRule="auto"/>
              <w:jc w:val="left"/>
            </w:pPr>
            <w:r/>
            <w:r>
              <w:rPr>
                <w:b/>
                <w:i w:val="0"/>
                <w:sz w:val="16"/>
              </w:rPr>
              <w:t>Crédit pour un autre bien immobilier</w:t>
            </w:r>
          </w:p>
        </w:tc>
        <w:tc>
          <w:tcPr>
            <w:tcW w:type="dxa" w:w="3685"/>
            <w:vAlign w:val="center"/>
          </w:tcPr>
          <w:p>
            <w:pPr>
              <w:spacing w:after="0" w:line="240" w:lineRule="auto"/>
              <w:jc w:val="left"/>
            </w:pPr>
            <w:r/>
            <w:r>
              <w:rPr>
                <w:b w:val="0"/>
                <w:i w:val="0"/>
                <w:sz w:val="16"/>
              </w:rPr>
              <w:t>Cadres d’entreprise</w:t>
            </w:r>
          </w:p>
        </w:tc>
        <w:tc>
          <w:tcPr>
            <w:tcW w:type="dxa" w:w="737"/>
            <w:vAlign w:val="center"/>
          </w:tcPr>
          <w:p>
            <w:pPr>
              <w:spacing w:after="0" w:line="240" w:lineRule="auto"/>
              <w:jc w:val="center"/>
            </w:pPr>
            <w:r/>
            <w:r>
              <w:rPr>
                <w:b w:val="0"/>
                <w:i w:val="0"/>
                <w:sz w:val="16"/>
              </w:rPr>
              <w:t>429</w:t>
            </w:r>
          </w:p>
        </w:tc>
        <w:tc>
          <w:tcPr>
            <w:tcW w:type="dxa" w:w="567"/>
            <w:vAlign w:val="center"/>
          </w:tcPr>
          <w:p>
            <w:pPr>
              <w:spacing w:after="0" w:line="240" w:lineRule="auto"/>
              <w:jc w:val="center"/>
            </w:pPr>
            <w:r/>
            <w:r>
              <w:rPr>
                <w:b w:val="0"/>
                <w:i w:val="0"/>
                <w:sz w:val="16"/>
              </w:rPr>
              <w:t>10,2</w:t>
            </w:r>
          </w:p>
        </w:tc>
      </w:tr>
      <w:tr>
        <w:trPr>
          <w:cantSplit/>
        </w:trPr>
        <w:tc>
          <w:tcPr>
            <w:tcW w:type="dxa" w:w="2778"/>
            <w:vAlign w:val="center"/>
          </w:tcPr>
          <w:p>
            <w:pPr>
              <w:spacing w:after="0" w:line="240" w:lineRule="auto"/>
              <w:jc w:val="left"/>
            </w:pPr>
            <w:r/>
            <w:r>
              <w:rPr>
                <w:b w:val="0"/>
                <w:i w:val="0"/>
                <w:sz w:val="16"/>
              </w:rPr>
              <w:t>Non</w:t>
            </w:r>
          </w:p>
        </w:tc>
        <w:tc>
          <w:tcPr>
            <w:tcW w:type="dxa" w:w="737"/>
            <w:vAlign w:val="center"/>
          </w:tcPr>
          <w:p>
            <w:pPr>
              <w:spacing w:after="0" w:line="240" w:lineRule="auto"/>
              <w:jc w:val="center"/>
            </w:pPr>
            <w:r/>
            <w:r>
              <w:rPr>
                <w:b w:val="0"/>
                <w:i w:val="0"/>
                <w:sz w:val="16"/>
              </w:rPr>
              <w:t>3 622</w:t>
            </w:r>
          </w:p>
        </w:tc>
        <w:tc>
          <w:tcPr>
            <w:tcW w:type="dxa" w:w="567"/>
            <w:vAlign w:val="center"/>
          </w:tcPr>
          <w:p>
            <w:pPr>
              <w:spacing w:after="0" w:line="240" w:lineRule="auto"/>
              <w:jc w:val="center"/>
            </w:pPr>
            <w:r/>
            <w:r>
              <w:rPr>
                <w:b w:val="0"/>
                <w:i w:val="0"/>
                <w:sz w:val="16"/>
              </w:rPr>
              <w:t>86,3</w:t>
            </w:r>
          </w:p>
        </w:tc>
        <w:tc>
          <w:tcPr>
            <w:tcW w:type="dxa" w:w="3685"/>
            <w:vAlign w:val="center"/>
          </w:tcPr>
          <w:p>
            <w:pPr>
              <w:spacing w:after="0" w:line="240" w:lineRule="auto"/>
              <w:jc w:val="left"/>
            </w:pPr>
            <w:r/>
            <w:r>
              <w:rPr>
                <w:b w:val="0"/>
                <w:i w:val="0"/>
                <w:sz w:val="16"/>
              </w:rPr>
              <w:t>Prof. interm. enseignement, santé, fonction publ.</w:t>
            </w:r>
          </w:p>
        </w:tc>
        <w:tc>
          <w:tcPr>
            <w:tcW w:type="dxa" w:w="737"/>
            <w:vAlign w:val="center"/>
          </w:tcPr>
          <w:p>
            <w:pPr>
              <w:spacing w:after="0" w:line="240" w:lineRule="auto"/>
              <w:jc w:val="center"/>
            </w:pPr>
            <w:r/>
            <w:r>
              <w:rPr>
                <w:b w:val="0"/>
                <w:i w:val="0"/>
                <w:sz w:val="16"/>
              </w:rPr>
              <w:t>389</w:t>
            </w:r>
          </w:p>
        </w:tc>
        <w:tc>
          <w:tcPr>
            <w:tcW w:type="dxa" w:w="567"/>
            <w:vAlign w:val="center"/>
          </w:tcPr>
          <w:p>
            <w:pPr>
              <w:spacing w:after="0" w:line="240" w:lineRule="auto"/>
              <w:jc w:val="center"/>
            </w:pPr>
            <w:r/>
            <w:r>
              <w:rPr>
                <w:b w:val="0"/>
                <w:i w:val="0"/>
                <w:sz w:val="16"/>
              </w:rPr>
              <w:t>9,3</w:t>
            </w:r>
          </w:p>
        </w:tc>
      </w:tr>
      <w:tr>
        <w:trPr>
          <w:cantSplit/>
        </w:trPr>
        <w:tc>
          <w:tcPr>
            <w:tcW w:type="dxa" w:w="2778"/>
            <w:vAlign w:val="center"/>
          </w:tcPr>
          <w:p>
            <w:pPr>
              <w:spacing w:after="0" w:line="240" w:lineRule="auto"/>
              <w:jc w:val="left"/>
            </w:pPr>
            <w:r/>
            <w:r>
              <w:rPr>
                <w:b w:val="0"/>
                <w:i w:val="0"/>
                <w:sz w:val="16"/>
              </w:rPr>
              <w:t>Oui</w:t>
            </w:r>
          </w:p>
        </w:tc>
        <w:tc>
          <w:tcPr>
            <w:tcW w:type="dxa" w:w="737"/>
            <w:vAlign w:val="center"/>
          </w:tcPr>
          <w:p>
            <w:pPr>
              <w:spacing w:after="0" w:line="240" w:lineRule="auto"/>
              <w:jc w:val="center"/>
            </w:pPr>
            <w:r/>
            <w:r>
              <w:rPr>
                <w:b w:val="0"/>
                <w:i w:val="0"/>
                <w:sz w:val="16"/>
              </w:rPr>
              <w:t>576</w:t>
            </w:r>
          </w:p>
        </w:tc>
        <w:tc>
          <w:tcPr>
            <w:tcW w:type="dxa" w:w="567"/>
            <w:vAlign w:val="center"/>
          </w:tcPr>
          <w:p>
            <w:pPr>
              <w:spacing w:after="0" w:line="240" w:lineRule="auto"/>
              <w:jc w:val="center"/>
            </w:pPr>
            <w:r/>
            <w:r>
              <w:rPr>
                <w:b w:val="0"/>
                <w:i w:val="0"/>
                <w:sz w:val="16"/>
              </w:rPr>
              <w:t>13,7</w:t>
            </w:r>
          </w:p>
        </w:tc>
        <w:tc>
          <w:tcPr>
            <w:tcW w:type="dxa" w:w="3685"/>
            <w:vAlign w:val="center"/>
          </w:tcPr>
          <w:p>
            <w:pPr>
              <w:spacing w:after="0" w:line="240" w:lineRule="auto"/>
              <w:jc w:val="left"/>
            </w:pPr>
            <w:r/>
            <w:r>
              <w:rPr>
                <w:b w:val="0"/>
                <w:i w:val="0"/>
                <w:sz w:val="16"/>
              </w:rPr>
              <w:t>Prof. interm. admin. et commerciales des entr.</w:t>
            </w:r>
          </w:p>
        </w:tc>
        <w:tc>
          <w:tcPr>
            <w:tcW w:type="dxa" w:w="737"/>
            <w:vAlign w:val="center"/>
          </w:tcPr>
          <w:p>
            <w:pPr>
              <w:spacing w:after="0" w:line="240" w:lineRule="auto"/>
              <w:jc w:val="center"/>
            </w:pPr>
            <w:r/>
            <w:r>
              <w:rPr>
                <w:b w:val="0"/>
                <w:i w:val="0"/>
                <w:sz w:val="16"/>
              </w:rPr>
              <w:t>253</w:t>
            </w:r>
          </w:p>
        </w:tc>
        <w:tc>
          <w:tcPr>
            <w:tcW w:type="dxa" w:w="567"/>
            <w:vAlign w:val="center"/>
          </w:tcPr>
          <w:p>
            <w:pPr>
              <w:spacing w:after="0" w:line="240" w:lineRule="auto"/>
              <w:jc w:val="center"/>
            </w:pPr>
            <w:r/>
            <w:r>
              <w:rPr>
                <w:b w:val="0"/>
                <w:i w:val="0"/>
                <w:sz w:val="16"/>
              </w:rPr>
              <w:t>6,0</w:t>
            </w:r>
          </w:p>
        </w:tc>
      </w:tr>
      <w:tr>
        <w:trPr>
          <w:cantSplit/>
        </w:trPr>
        <w:tc>
          <w:tcPr>
            <w:tcW w:type="dxa" w:w="4082"/>
            <w:gridSpan w:val="3"/>
            <w:shd w:val="clear" w:color="auto" w:fill="F4F6F9"/>
            <w:vAlign w:val="center"/>
          </w:tcPr>
          <w:p>
            <w:pPr>
              <w:spacing w:after="0" w:line="240" w:lineRule="auto"/>
              <w:jc w:val="left"/>
            </w:pPr>
            <w:r/>
            <w:r>
              <w:rPr>
                <w:b/>
                <w:i w:val="0"/>
                <w:sz w:val="16"/>
              </w:rPr>
              <w:t>Nombre d’enfants</w:t>
            </w:r>
          </w:p>
        </w:tc>
        <w:tc>
          <w:tcPr>
            <w:tcW w:type="dxa" w:w="3685"/>
            <w:vAlign w:val="center"/>
          </w:tcPr>
          <w:p>
            <w:pPr>
              <w:spacing w:after="0" w:line="240" w:lineRule="auto"/>
              <w:jc w:val="left"/>
            </w:pPr>
            <w:r/>
            <w:r>
              <w:rPr>
                <w:b w:val="0"/>
                <w:i w:val="0"/>
                <w:sz w:val="16"/>
              </w:rPr>
              <w:t>Techniciens</w:t>
            </w:r>
          </w:p>
        </w:tc>
        <w:tc>
          <w:tcPr>
            <w:tcW w:type="dxa" w:w="737"/>
            <w:vAlign w:val="center"/>
          </w:tcPr>
          <w:p>
            <w:pPr>
              <w:spacing w:after="0" w:line="240" w:lineRule="auto"/>
              <w:jc w:val="center"/>
            </w:pPr>
            <w:r/>
            <w:r>
              <w:rPr>
                <w:b w:val="0"/>
                <w:i w:val="0"/>
                <w:sz w:val="16"/>
              </w:rPr>
              <w:t>181</w:t>
            </w:r>
          </w:p>
        </w:tc>
        <w:tc>
          <w:tcPr>
            <w:tcW w:type="dxa" w:w="567"/>
            <w:vAlign w:val="center"/>
          </w:tcPr>
          <w:p>
            <w:pPr>
              <w:spacing w:after="0" w:line="240" w:lineRule="auto"/>
              <w:jc w:val="center"/>
            </w:pPr>
            <w:r/>
            <w:r>
              <w:rPr>
                <w:b w:val="0"/>
                <w:i w:val="0"/>
                <w:sz w:val="16"/>
              </w:rPr>
              <w:t>4,3</w:t>
            </w:r>
          </w:p>
        </w:tc>
      </w:tr>
      <w:tr>
        <w:trPr>
          <w:cantSplit/>
        </w:trPr>
        <w:tc>
          <w:tcPr>
            <w:tcW w:type="dxa" w:w="2778"/>
            <w:vAlign w:val="center"/>
          </w:tcPr>
          <w:p>
            <w:pPr>
              <w:spacing w:after="0" w:line="240" w:lineRule="auto"/>
              <w:jc w:val="left"/>
            </w:pPr>
            <w:r/>
            <w:r>
              <w:rPr>
                <w:b w:val="0"/>
                <w:i w:val="0"/>
                <w:sz w:val="16"/>
              </w:rPr>
              <w:t>Aucun enfant</w:t>
            </w:r>
          </w:p>
        </w:tc>
        <w:tc>
          <w:tcPr>
            <w:tcW w:type="dxa" w:w="737"/>
            <w:vAlign w:val="center"/>
          </w:tcPr>
          <w:p>
            <w:pPr>
              <w:spacing w:after="0" w:line="240" w:lineRule="auto"/>
              <w:jc w:val="center"/>
            </w:pPr>
            <w:r/>
            <w:r>
              <w:rPr>
                <w:b w:val="0"/>
                <w:i w:val="0"/>
                <w:sz w:val="16"/>
              </w:rPr>
              <w:t>1 836</w:t>
            </w:r>
          </w:p>
        </w:tc>
        <w:tc>
          <w:tcPr>
            <w:tcW w:type="dxa" w:w="567"/>
            <w:vAlign w:val="center"/>
          </w:tcPr>
          <w:p>
            <w:pPr>
              <w:spacing w:after="0" w:line="240" w:lineRule="auto"/>
              <w:jc w:val="center"/>
            </w:pPr>
            <w:r/>
            <w:r>
              <w:rPr>
                <w:b w:val="0"/>
                <w:i w:val="0"/>
                <w:sz w:val="16"/>
              </w:rPr>
              <w:t>43,7</w:t>
            </w:r>
          </w:p>
        </w:tc>
        <w:tc>
          <w:tcPr>
            <w:tcW w:type="dxa" w:w="3685"/>
            <w:vAlign w:val="center"/>
          </w:tcPr>
          <w:p>
            <w:pPr>
              <w:spacing w:after="0" w:line="240" w:lineRule="auto"/>
              <w:jc w:val="left"/>
            </w:pPr>
            <w:r/>
            <w:r>
              <w:rPr>
                <w:b w:val="0"/>
                <w:i w:val="0"/>
                <w:sz w:val="16"/>
              </w:rPr>
              <w:t>Contremaîtres, agents de maîtrise</w:t>
            </w:r>
          </w:p>
        </w:tc>
        <w:tc>
          <w:tcPr>
            <w:tcW w:type="dxa" w:w="737"/>
            <w:vAlign w:val="center"/>
          </w:tcPr>
          <w:p>
            <w:pPr>
              <w:spacing w:after="0" w:line="240" w:lineRule="auto"/>
              <w:jc w:val="center"/>
            </w:pPr>
            <w:r/>
            <w:r>
              <w:rPr>
                <w:b w:val="0"/>
                <w:i w:val="0"/>
                <w:sz w:val="16"/>
              </w:rPr>
              <w:t>115</w:t>
            </w:r>
          </w:p>
        </w:tc>
        <w:tc>
          <w:tcPr>
            <w:tcW w:type="dxa" w:w="567"/>
            <w:vAlign w:val="center"/>
          </w:tcPr>
          <w:p>
            <w:pPr>
              <w:spacing w:after="0" w:line="240" w:lineRule="auto"/>
              <w:jc w:val="center"/>
            </w:pPr>
            <w:r/>
            <w:r>
              <w:rPr>
                <w:b w:val="0"/>
                <w:i w:val="0"/>
                <w:sz w:val="16"/>
              </w:rPr>
              <w:t>2,7</w:t>
            </w:r>
          </w:p>
        </w:tc>
      </w:tr>
      <w:tr>
        <w:trPr>
          <w:cantSplit/>
        </w:trPr>
        <w:tc>
          <w:tcPr>
            <w:tcW w:type="dxa" w:w="2778"/>
            <w:vAlign w:val="center"/>
          </w:tcPr>
          <w:p>
            <w:pPr>
              <w:spacing w:after="0" w:line="240" w:lineRule="auto"/>
              <w:jc w:val="left"/>
            </w:pPr>
            <w:r/>
            <w:r>
              <w:rPr>
                <w:b w:val="0"/>
                <w:i w:val="0"/>
                <w:sz w:val="16"/>
              </w:rPr>
              <w:t>1 enfant</w:t>
            </w:r>
          </w:p>
        </w:tc>
        <w:tc>
          <w:tcPr>
            <w:tcW w:type="dxa" w:w="737"/>
            <w:vAlign w:val="center"/>
          </w:tcPr>
          <w:p>
            <w:pPr>
              <w:spacing w:after="0" w:line="240" w:lineRule="auto"/>
              <w:jc w:val="center"/>
            </w:pPr>
            <w:r/>
            <w:r>
              <w:rPr>
                <w:b w:val="0"/>
                <w:i w:val="0"/>
                <w:sz w:val="16"/>
              </w:rPr>
              <w:t>909</w:t>
            </w:r>
          </w:p>
        </w:tc>
        <w:tc>
          <w:tcPr>
            <w:tcW w:type="dxa" w:w="567"/>
            <w:vAlign w:val="center"/>
          </w:tcPr>
          <w:p>
            <w:pPr>
              <w:spacing w:after="0" w:line="240" w:lineRule="auto"/>
              <w:jc w:val="center"/>
            </w:pPr>
            <w:r/>
            <w:r>
              <w:rPr>
                <w:b w:val="0"/>
                <w:i w:val="0"/>
                <w:sz w:val="16"/>
              </w:rPr>
              <w:t>21,7</w:t>
            </w:r>
          </w:p>
        </w:tc>
        <w:tc>
          <w:tcPr>
            <w:tcW w:type="dxa" w:w="3685"/>
            <w:vAlign w:val="center"/>
          </w:tcPr>
          <w:p>
            <w:pPr>
              <w:spacing w:after="0" w:line="240" w:lineRule="auto"/>
              <w:jc w:val="left"/>
            </w:pPr>
            <w:r/>
            <w:r>
              <w:rPr>
                <w:b w:val="0"/>
                <w:i w:val="0"/>
                <w:sz w:val="16"/>
              </w:rPr>
              <w:t>Employés de la fonction publique</w:t>
            </w:r>
          </w:p>
        </w:tc>
        <w:tc>
          <w:tcPr>
            <w:tcW w:type="dxa" w:w="737"/>
            <w:vAlign w:val="center"/>
          </w:tcPr>
          <w:p>
            <w:pPr>
              <w:spacing w:after="0" w:line="240" w:lineRule="auto"/>
              <w:jc w:val="center"/>
            </w:pPr>
            <w:r/>
            <w:r>
              <w:rPr>
                <w:b w:val="0"/>
                <w:i w:val="0"/>
                <w:sz w:val="16"/>
              </w:rPr>
              <w:t>284</w:t>
            </w:r>
          </w:p>
        </w:tc>
        <w:tc>
          <w:tcPr>
            <w:tcW w:type="dxa" w:w="567"/>
            <w:vAlign w:val="center"/>
          </w:tcPr>
          <w:p>
            <w:pPr>
              <w:spacing w:after="0" w:line="240" w:lineRule="auto"/>
              <w:jc w:val="center"/>
            </w:pPr>
            <w:r/>
            <w:r>
              <w:rPr>
                <w:b w:val="0"/>
                <w:i w:val="0"/>
                <w:sz w:val="16"/>
              </w:rPr>
              <w:t>6,8</w:t>
            </w:r>
          </w:p>
        </w:tc>
      </w:tr>
      <w:tr>
        <w:trPr>
          <w:cantSplit/>
        </w:trPr>
        <w:tc>
          <w:tcPr>
            <w:tcW w:type="dxa" w:w="2778"/>
            <w:vAlign w:val="center"/>
          </w:tcPr>
          <w:p>
            <w:pPr>
              <w:spacing w:after="0" w:line="240" w:lineRule="auto"/>
              <w:jc w:val="left"/>
            </w:pPr>
            <w:r/>
            <w:r>
              <w:rPr>
                <w:b w:val="0"/>
                <w:i w:val="0"/>
                <w:sz w:val="16"/>
              </w:rPr>
              <w:t>2 enfants</w:t>
            </w:r>
          </w:p>
        </w:tc>
        <w:tc>
          <w:tcPr>
            <w:tcW w:type="dxa" w:w="737"/>
            <w:vAlign w:val="center"/>
          </w:tcPr>
          <w:p>
            <w:pPr>
              <w:spacing w:after="0" w:line="240" w:lineRule="auto"/>
              <w:jc w:val="center"/>
            </w:pPr>
            <w:r/>
            <w:r>
              <w:rPr>
                <w:b w:val="0"/>
                <w:i w:val="0"/>
                <w:sz w:val="16"/>
              </w:rPr>
              <w:t>1 003</w:t>
            </w:r>
          </w:p>
        </w:tc>
        <w:tc>
          <w:tcPr>
            <w:tcW w:type="dxa" w:w="567"/>
            <w:vAlign w:val="center"/>
          </w:tcPr>
          <w:p>
            <w:pPr>
              <w:spacing w:after="0" w:line="240" w:lineRule="auto"/>
              <w:jc w:val="center"/>
            </w:pPr>
            <w:r/>
            <w:r>
              <w:rPr>
                <w:b w:val="0"/>
                <w:i w:val="0"/>
                <w:sz w:val="16"/>
              </w:rPr>
              <w:t>23,9</w:t>
            </w:r>
          </w:p>
        </w:tc>
        <w:tc>
          <w:tcPr>
            <w:tcW w:type="dxa" w:w="3685"/>
            <w:vAlign w:val="center"/>
          </w:tcPr>
          <w:p>
            <w:pPr>
              <w:spacing w:after="0" w:line="240" w:lineRule="auto"/>
              <w:jc w:val="left"/>
            </w:pPr>
            <w:r/>
            <w:r>
              <w:rPr>
                <w:b w:val="0"/>
                <w:i w:val="0"/>
                <w:sz w:val="16"/>
              </w:rPr>
              <w:t>Employés administratifs d’entreprise</w:t>
            </w:r>
          </w:p>
        </w:tc>
        <w:tc>
          <w:tcPr>
            <w:tcW w:type="dxa" w:w="737"/>
            <w:vAlign w:val="center"/>
          </w:tcPr>
          <w:p>
            <w:pPr>
              <w:spacing w:after="0" w:line="240" w:lineRule="auto"/>
              <w:jc w:val="center"/>
            </w:pPr>
            <w:r/>
            <w:r>
              <w:rPr>
                <w:b w:val="0"/>
                <w:i w:val="0"/>
                <w:sz w:val="16"/>
              </w:rPr>
              <w:t>148</w:t>
            </w:r>
          </w:p>
        </w:tc>
        <w:tc>
          <w:tcPr>
            <w:tcW w:type="dxa" w:w="567"/>
            <w:vAlign w:val="center"/>
          </w:tcPr>
          <w:p>
            <w:pPr>
              <w:spacing w:after="0" w:line="240" w:lineRule="auto"/>
              <w:jc w:val="center"/>
            </w:pPr>
            <w:r/>
            <w:r>
              <w:rPr>
                <w:b w:val="0"/>
                <w:i w:val="0"/>
                <w:sz w:val="16"/>
              </w:rPr>
              <w:t>3,5</w:t>
            </w:r>
          </w:p>
        </w:tc>
      </w:tr>
      <w:tr>
        <w:trPr>
          <w:cantSplit/>
        </w:trPr>
        <w:tc>
          <w:tcPr>
            <w:tcW w:type="dxa" w:w="2778"/>
            <w:vAlign w:val="center"/>
          </w:tcPr>
          <w:p>
            <w:pPr>
              <w:spacing w:after="0" w:line="240" w:lineRule="auto"/>
              <w:jc w:val="left"/>
            </w:pPr>
            <w:r/>
            <w:r>
              <w:rPr>
                <w:b w:val="0"/>
                <w:i w:val="0"/>
                <w:sz w:val="16"/>
              </w:rPr>
              <w:t>3 enfants</w:t>
            </w:r>
          </w:p>
        </w:tc>
        <w:tc>
          <w:tcPr>
            <w:tcW w:type="dxa" w:w="737"/>
            <w:vAlign w:val="center"/>
          </w:tcPr>
          <w:p>
            <w:pPr>
              <w:spacing w:after="0" w:line="240" w:lineRule="auto"/>
              <w:jc w:val="center"/>
            </w:pPr>
            <w:r/>
            <w:r>
              <w:rPr>
                <w:b w:val="0"/>
                <w:i w:val="0"/>
                <w:sz w:val="16"/>
              </w:rPr>
              <w:t>351</w:t>
            </w:r>
          </w:p>
        </w:tc>
        <w:tc>
          <w:tcPr>
            <w:tcW w:type="dxa" w:w="567"/>
            <w:vAlign w:val="center"/>
          </w:tcPr>
          <w:p>
            <w:pPr>
              <w:spacing w:after="0" w:line="240" w:lineRule="auto"/>
              <w:jc w:val="center"/>
            </w:pPr>
            <w:r/>
            <w:r>
              <w:rPr>
                <w:b w:val="0"/>
                <w:i w:val="0"/>
                <w:sz w:val="16"/>
              </w:rPr>
              <w:t>8,4</w:t>
            </w:r>
          </w:p>
        </w:tc>
        <w:tc>
          <w:tcPr>
            <w:tcW w:type="dxa" w:w="3685"/>
            <w:vAlign w:val="center"/>
          </w:tcPr>
          <w:p>
            <w:pPr>
              <w:spacing w:after="0" w:line="240" w:lineRule="auto"/>
              <w:jc w:val="left"/>
            </w:pPr>
            <w:r/>
            <w:r>
              <w:rPr>
                <w:b w:val="0"/>
                <w:i w:val="0"/>
                <w:sz w:val="16"/>
              </w:rPr>
              <w:t>Employés de commerce</w:t>
            </w:r>
          </w:p>
        </w:tc>
        <w:tc>
          <w:tcPr>
            <w:tcW w:type="dxa" w:w="737"/>
            <w:vAlign w:val="center"/>
          </w:tcPr>
          <w:p>
            <w:pPr>
              <w:spacing w:after="0" w:line="240" w:lineRule="auto"/>
              <w:jc w:val="center"/>
            </w:pPr>
            <w:r/>
            <w:r>
              <w:rPr>
                <w:b w:val="0"/>
                <w:i w:val="0"/>
                <w:sz w:val="16"/>
              </w:rPr>
              <w:t>76</w:t>
            </w:r>
          </w:p>
        </w:tc>
        <w:tc>
          <w:tcPr>
            <w:tcW w:type="dxa" w:w="567"/>
            <w:vAlign w:val="center"/>
          </w:tcPr>
          <w:p>
            <w:pPr>
              <w:spacing w:after="0" w:line="240" w:lineRule="auto"/>
              <w:jc w:val="center"/>
            </w:pPr>
            <w:r/>
            <w:r>
              <w:rPr>
                <w:b w:val="0"/>
                <w:i w:val="0"/>
                <w:sz w:val="16"/>
              </w:rPr>
              <w:t>1,8</w:t>
            </w:r>
          </w:p>
        </w:tc>
      </w:tr>
      <w:tr>
        <w:trPr>
          <w:cantSplit/>
        </w:trPr>
        <w:tc>
          <w:tcPr>
            <w:tcW w:type="dxa" w:w="2778"/>
            <w:vAlign w:val="center"/>
          </w:tcPr>
          <w:p>
            <w:pPr>
              <w:spacing w:after="0" w:line="240" w:lineRule="auto"/>
              <w:jc w:val="left"/>
            </w:pPr>
            <w:r/>
            <w:r>
              <w:rPr>
                <w:b w:val="0"/>
                <w:i w:val="0"/>
                <w:sz w:val="16"/>
              </w:rPr>
              <w:t>4 enfants</w:t>
            </w:r>
          </w:p>
        </w:tc>
        <w:tc>
          <w:tcPr>
            <w:tcW w:type="dxa" w:w="737"/>
            <w:vAlign w:val="center"/>
          </w:tcPr>
          <w:p>
            <w:pPr>
              <w:spacing w:after="0" w:line="240" w:lineRule="auto"/>
              <w:jc w:val="center"/>
            </w:pPr>
            <w:r/>
            <w:r>
              <w:rPr>
                <w:b w:val="0"/>
                <w:i w:val="0"/>
                <w:sz w:val="16"/>
              </w:rPr>
              <w:t>80</w:t>
            </w:r>
          </w:p>
        </w:tc>
        <w:tc>
          <w:tcPr>
            <w:tcW w:type="dxa" w:w="567"/>
            <w:vAlign w:val="center"/>
          </w:tcPr>
          <w:p>
            <w:pPr>
              <w:spacing w:after="0" w:line="240" w:lineRule="auto"/>
              <w:jc w:val="center"/>
            </w:pPr>
            <w:r/>
            <w:r>
              <w:rPr>
                <w:b w:val="0"/>
                <w:i w:val="0"/>
                <w:sz w:val="16"/>
              </w:rPr>
              <w:t>1,9</w:t>
            </w:r>
          </w:p>
        </w:tc>
        <w:tc>
          <w:tcPr>
            <w:tcW w:type="dxa" w:w="3685"/>
            <w:vAlign w:val="center"/>
          </w:tcPr>
          <w:p>
            <w:pPr>
              <w:spacing w:after="0" w:line="240" w:lineRule="auto"/>
              <w:jc w:val="left"/>
            </w:pPr>
            <w:r/>
            <w:r>
              <w:rPr>
                <w:b w:val="0"/>
                <w:i w:val="0"/>
                <w:sz w:val="16"/>
              </w:rPr>
              <w:t>Personnels des services directs aux particuliers</w:t>
            </w:r>
          </w:p>
        </w:tc>
        <w:tc>
          <w:tcPr>
            <w:tcW w:type="dxa" w:w="737"/>
            <w:vAlign w:val="center"/>
          </w:tcPr>
          <w:p>
            <w:pPr>
              <w:spacing w:after="0" w:line="240" w:lineRule="auto"/>
              <w:jc w:val="center"/>
            </w:pPr>
            <w:r/>
            <w:r>
              <w:rPr>
                <w:b w:val="0"/>
                <w:i w:val="0"/>
                <w:sz w:val="16"/>
              </w:rPr>
              <w:t>104</w:t>
            </w:r>
          </w:p>
        </w:tc>
        <w:tc>
          <w:tcPr>
            <w:tcW w:type="dxa" w:w="567"/>
            <w:vAlign w:val="center"/>
          </w:tcPr>
          <w:p>
            <w:pPr>
              <w:spacing w:after="0" w:line="240" w:lineRule="auto"/>
              <w:jc w:val="center"/>
            </w:pPr>
            <w:r/>
            <w:r>
              <w:rPr>
                <w:b w:val="0"/>
                <w:i w:val="0"/>
                <w:sz w:val="16"/>
              </w:rPr>
              <w:t>2,5</w:t>
            </w:r>
          </w:p>
        </w:tc>
      </w:tr>
      <w:tr>
        <w:trPr>
          <w:cantSplit/>
        </w:trPr>
        <w:tc>
          <w:tcPr>
            <w:tcW w:type="dxa" w:w="2778"/>
            <w:vAlign w:val="center"/>
          </w:tcPr>
          <w:p>
            <w:pPr>
              <w:spacing w:after="0" w:line="240" w:lineRule="auto"/>
              <w:jc w:val="left"/>
            </w:pPr>
            <w:r/>
            <w:r>
              <w:rPr>
                <w:b w:val="0"/>
                <w:i w:val="0"/>
                <w:sz w:val="16"/>
              </w:rPr>
              <w:t>5 enfants</w:t>
            </w:r>
          </w:p>
        </w:tc>
        <w:tc>
          <w:tcPr>
            <w:tcW w:type="dxa" w:w="737"/>
            <w:vAlign w:val="center"/>
          </w:tcPr>
          <w:p>
            <w:pPr>
              <w:spacing w:after="0" w:line="240" w:lineRule="auto"/>
              <w:jc w:val="center"/>
            </w:pPr>
            <w:r/>
            <w:r>
              <w:rPr>
                <w:b w:val="0"/>
                <w:i w:val="0"/>
                <w:sz w:val="16"/>
              </w:rPr>
              <w:t>13</w:t>
            </w:r>
          </w:p>
        </w:tc>
        <w:tc>
          <w:tcPr>
            <w:tcW w:type="dxa" w:w="567"/>
            <w:vAlign w:val="center"/>
          </w:tcPr>
          <w:p>
            <w:pPr>
              <w:spacing w:after="0" w:line="240" w:lineRule="auto"/>
              <w:jc w:val="center"/>
            </w:pPr>
            <w:r/>
            <w:r>
              <w:rPr>
                <w:b w:val="0"/>
                <w:i w:val="0"/>
                <w:sz w:val="16"/>
              </w:rPr>
              <w:t>0,3</w:t>
            </w:r>
          </w:p>
        </w:tc>
        <w:tc>
          <w:tcPr>
            <w:tcW w:type="dxa" w:w="3685"/>
            <w:vAlign w:val="center"/>
          </w:tcPr>
          <w:p>
            <w:pPr>
              <w:spacing w:after="0" w:line="240" w:lineRule="auto"/>
              <w:jc w:val="left"/>
            </w:pPr>
            <w:r/>
            <w:r>
              <w:rPr>
                <w:b w:val="0"/>
                <w:i w:val="0"/>
                <w:sz w:val="16"/>
              </w:rPr>
              <w:t>Ouvriers qualifiés</w:t>
            </w:r>
          </w:p>
        </w:tc>
        <w:tc>
          <w:tcPr>
            <w:tcW w:type="dxa" w:w="737"/>
            <w:vAlign w:val="center"/>
          </w:tcPr>
          <w:p>
            <w:pPr>
              <w:spacing w:after="0" w:line="240" w:lineRule="auto"/>
              <w:jc w:val="center"/>
            </w:pPr>
            <w:r/>
            <w:r>
              <w:rPr>
                <w:b w:val="0"/>
                <w:i w:val="0"/>
                <w:sz w:val="16"/>
              </w:rPr>
              <w:t>587</w:t>
            </w:r>
          </w:p>
        </w:tc>
        <w:tc>
          <w:tcPr>
            <w:tcW w:type="dxa" w:w="567"/>
            <w:vAlign w:val="center"/>
          </w:tcPr>
          <w:p>
            <w:pPr>
              <w:spacing w:after="0" w:line="240" w:lineRule="auto"/>
              <w:jc w:val="center"/>
            </w:pPr>
            <w:r/>
            <w:r>
              <w:rPr>
                <w:b w:val="0"/>
                <w:i w:val="0"/>
                <w:sz w:val="16"/>
              </w:rPr>
              <w:t>14,0</w:t>
            </w:r>
          </w:p>
        </w:tc>
      </w:tr>
      <w:tr>
        <w:trPr>
          <w:cantSplit/>
        </w:trPr>
        <w:tc>
          <w:tcPr>
            <w:tcW w:type="dxa" w:w="2778"/>
            <w:vAlign w:val="center"/>
          </w:tcPr>
          <w:p>
            <w:pPr>
              <w:spacing w:after="0" w:line="240" w:lineRule="auto"/>
              <w:jc w:val="left"/>
            </w:pPr>
            <w:r/>
            <w:r>
              <w:rPr>
                <w:b w:val="0"/>
                <w:i w:val="0"/>
                <w:sz w:val="16"/>
              </w:rPr>
              <w:t>6 enfants</w:t>
            </w:r>
          </w:p>
        </w:tc>
        <w:tc>
          <w:tcPr>
            <w:tcW w:type="dxa" w:w="737"/>
            <w:vAlign w:val="center"/>
          </w:tcPr>
          <w:p>
            <w:pPr>
              <w:spacing w:after="0" w:line="240" w:lineRule="auto"/>
              <w:jc w:val="center"/>
            </w:pPr>
            <w:r/>
            <w:r>
              <w:rPr>
                <w:b w:val="0"/>
                <w:i w:val="0"/>
                <w:sz w:val="16"/>
              </w:rPr>
              <w:t>4</w:t>
            </w:r>
          </w:p>
        </w:tc>
        <w:tc>
          <w:tcPr>
            <w:tcW w:type="dxa" w:w="567"/>
            <w:vAlign w:val="center"/>
          </w:tcPr>
          <w:p>
            <w:pPr>
              <w:spacing w:after="0" w:line="240" w:lineRule="auto"/>
              <w:jc w:val="center"/>
            </w:pPr>
            <w:r/>
            <w:r>
              <w:rPr>
                <w:b w:val="0"/>
                <w:i w:val="0"/>
                <w:sz w:val="16"/>
              </w:rPr>
              <w:t>0,1</w:t>
            </w:r>
          </w:p>
        </w:tc>
        <w:tc>
          <w:tcPr>
            <w:tcW w:type="dxa" w:w="3685"/>
            <w:vAlign w:val="center"/>
          </w:tcPr>
          <w:p>
            <w:pPr>
              <w:spacing w:after="0" w:line="240" w:lineRule="auto"/>
              <w:jc w:val="left"/>
            </w:pPr>
            <w:r/>
            <w:r>
              <w:rPr>
                <w:b w:val="0"/>
                <w:i w:val="0"/>
                <w:sz w:val="16"/>
              </w:rPr>
              <w:t>Ouvriers non qualifiés</w:t>
            </w:r>
          </w:p>
        </w:tc>
        <w:tc>
          <w:tcPr>
            <w:tcW w:type="dxa" w:w="737"/>
            <w:vAlign w:val="center"/>
          </w:tcPr>
          <w:p>
            <w:pPr>
              <w:spacing w:after="0" w:line="240" w:lineRule="auto"/>
              <w:jc w:val="center"/>
            </w:pPr>
            <w:r/>
            <w:r>
              <w:rPr>
                <w:b w:val="0"/>
                <w:i w:val="0"/>
                <w:sz w:val="16"/>
              </w:rPr>
              <w:t>144</w:t>
            </w:r>
          </w:p>
        </w:tc>
        <w:tc>
          <w:tcPr>
            <w:tcW w:type="dxa" w:w="567"/>
            <w:vAlign w:val="center"/>
          </w:tcPr>
          <w:p>
            <w:pPr>
              <w:spacing w:after="0" w:line="240" w:lineRule="auto"/>
              <w:jc w:val="center"/>
            </w:pPr>
            <w:r/>
            <w:r>
              <w:rPr>
                <w:b w:val="0"/>
                <w:i w:val="0"/>
                <w:sz w:val="16"/>
              </w:rPr>
              <w:t>3,4</w:t>
            </w:r>
          </w:p>
        </w:tc>
      </w:tr>
      <w:tr>
        <w:trPr>
          <w:cantSplit/>
        </w:trPr>
        <w:tc>
          <w:tcPr>
            <w:tcW w:type="dxa" w:w="2778"/>
            <w:vAlign w:val="center"/>
          </w:tcPr>
          <w:p>
            <w:pPr>
              <w:spacing w:after="0" w:line="240" w:lineRule="auto"/>
              <w:jc w:val="left"/>
            </w:pPr>
            <w:r/>
            <w:r>
              <w:rPr>
                <w:b w:val="0"/>
                <w:i w:val="0"/>
                <w:sz w:val="16"/>
              </w:rPr>
              <w:t>7 enfants</w:t>
            </w:r>
          </w:p>
        </w:tc>
        <w:tc>
          <w:tcPr>
            <w:tcW w:type="dxa" w:w="737"/>
            <w:vAlign w:val="center"/>
          </w:tcPr>
          <w:p>
            <w:pPr>
              <w:spacing w:after="0" w:line="240" w:lineRule="auto"/>
              <w:jc w:val="center"/>
            </w:pPr>
            <w:r/>
            <w:r>
              <w:rPr>
                <w:b w:val="0"/>
                <w:i w:val="0"/>
                <w:sz w:val="16"/>
              </w:rPr>
              <w:t>2</w:t>
            </w:r>
          </w:p>
        </w:tc>
        <w:tc>
          <w:tcPr>
            <w:tcW w:type="dxa" w:w="567"/>
            <w:vAlign w:val="center"/>
          </w:tcPr>
          <w:p>
            <w:pPr>
              <w:spacing w:after="0" w:line="240" w:lineRule="auto"/>
              <w:jc w:val="center"/>
            </w:pPr>
            <w:r/>
            <w:r>
              <w:rPr>
                <w:b w:val="0"/>
                <w:i w:val="0"/>
                <w:sz w:val="16"/>
              </w:rPr>
              <w:t>0,0</w:t>
            </w:r>
          </w:p>
        </w:tc>
        <w:tc>
          <w:tcPr>
            <w:tcW w:type="dxa" w:w="3685"/>
            <w:vAlign w:val="center"/>
          </w:tcPr>
          <w:p>
            <w:pPr>
              <w:spacing w:after="0" w:line="240" w:lineRule="auto"/>
              <w:jc w:val="left"/>
            </w:pPr>
            <w:r/>
            <w:r>
              <w:rPr>
                <w:b w:val="0"/>
                <w:i w:val="0"/>
                <w:sz w:val="16"/>
              </w:rPr>
              <w:t>Ouvriers agricoles</w:t>
            </w:r>
          </w:p>
        </w:tc>
        <w:tc>
          <w:tcPr>
            <w:tcW w:type="dxa" w:w="737"/>
            <w:vAlign w:val="center"/>
          </w:tcPr>
          <w:p>
            <w:pPr>
              <w:spacing w:after="0" w:line="240" w:lineRule="auto"/>
              <w:jc w:val="center"/>
            </w:pPr>
            <w:r/>
            <w:r>
              <w:rPr>
                <w:b w:val="0"/>
                <w:i w:val="0"/>
                <w:sz w:val="16"/>
              </w:rPr>
              <w:t>15</w:t>
            </w:r>
          </w:p>
        </w:tc>
        <w:tc>
          <w:tcPr>
            <w:tcW w:type="dxa" w:w="567"/>
            <w:vAlign w:val="center"/>
          </w:tcPr>
          <w:p>
            <w:pPr>
              <w:spacing w:after="0" w:line="240" w:lineRule="auto"/>
              <w:jc w:val="center"/>
            </w:pPr>
            <w:r/>
            <w:r>
              <w:rPr>
                <w:b w:val="0"/>
                <w:i w:val="0"/>
                <w:sz w:val="16"/>
              </w:rPr>
              <w:t>0,4</w:t>
            </w:r>
          </w:p>
        </w:tc>
      </w:tr>
      <w:tr>
        <w:trPr>
          <w:cantSplit/>
        </w:trPr>
        <w:tc>
          <w:tcPr>
            <w:tcW w:type="dxa" w:w="4082"/>
            <w:gridSpan w:val="3"/>
            <w:shd w:val="clear" w:color="auto" w:fill="F4F6F9"/>
            <w:vAlign w:val="center"/>
          </w:tcPr>
          <w:p>
            <w:pPr>
              <w:spacing w:after="0" w:line="240" w:lineRule="auto"/>
              <w:jc w:val="left"/>
            </w:pPr>
            <w:r/>
            <w:r>
              <w:rPr>
                <w:b/>
                <w:i w:val="0"/>
                <w:sz w:val="16"/>
              </w:rPr>
              <w:t>Taille de l’unité urbaine</w:t>
            </w:r>
          </w:p>
        </w:tc>
        <w:tc>
          <w:tcPr>
            <w:tcW w:type="dxa" w:w="3685"/>
            <w:vAlign w:val="center"/>
          </w:tcPr>
          <w:p>
            <w:pPr>
              <w:spacing w:after="0" w:line="240" w:lineRule="auto"/>
              <w:jc w:val="left"/>
            </w:pPr>
            <w:r/>
            <w:r>
              <w:rPr>
                <w:b w:val="0"/>
                <w:i w:val="0"/>
                <w:sz w:val="16"/>
              </w:rPr>
              <w:t>Anciens agriculteurs exploitants</w:t>
            </w:r>
          </w:p>
        </w:tc>
        <w:tc>
          <w:tcPr>
            <w:tcW w:type="dxa" w:w="737"/>
            <w:vAlign w:val="center"/>
          </w:tcPr>
          <w:p>
            <w:pPr>
              <w:spacing w:after="0" w:line="240" w:lineRule="auto"/>
              <w:jc w:val="center"/>
            </w:pPr>
            <w:r/>
            <w:r>
              <w:rPr>
                <w:b w:val="0"/>
                <w:i w:val="0"/>
                <w:sz w:val="16"/>
              </w:rPr>
              <w:t>19</w:t>
            </w:r>
          </w:p>
        </w:tc>
        <w:tc>
          <w:tcPr>
            <w:tcW w:type="dxa" w:w="567"/>
            <w:vAlign w:val="center"/>
          </w:tcPr>
          <w:p>
            <w:pPr>
              <w:spacing w:after="0" w:line="240" w:lineRule="auto"/>
              <w:jc w:val="center"/>
            </w:pPr>
            <w:r/>
            <w:r>
              <w:rPr>
                <w:b w:val="0"/>
                <w:i w:val="0"/>
                <w:sz w:val="16"/>
              </w:rPr>
              <w:t>0,5</w:t>
            </w:r>
          </w:p>
        </w:tc>
      </w:tr>
      <w:tr>
        <w:trPr>
          <w:cantSplit/>
        </w:trPr>
        <w:tc>
          <w:tcPr>
            <w:tcW w:type="dxa" w:w="2778"/>
            <w:vAlign w:val="center"/>
          </w:tcPr>
          <w:p>
            <w:pPr>
              <w:spacing w:after="0" w:line="240" w:lineRule="auto"/>
              <w:jc w:val="left"/>
            </w:pPr>
            <w:r/>
            <w:r>
              <w:rPr>
                <w:b w:val="0"/>
                <w:i w:val="0"/>
                <w:sz w:val="16"/>
              </w:rPr>
              <w:t>Commune rurale</w:t>
            </w:r>
          </w:p>
        </w:tc>
        <w:tc>
          <w:tcPr>
            <w:tcW w:type="dxa" w:w="737"/>
            <w:vAlign w:val="center"/>
          </w:tcPr>
          <w:p>
            <w:pPr>
              <w:spacing w:after="0" w:line="240" w:lineRule="auto"/>
              <w:jc w:val="center"/>
            </w:pPr>
            <w:r/>
            <w:r>
              <w:rPr>
                <w:b w:val="0"/>
                <w:i w:val="0"/>
                <w:sz w:val="16"/>
              </w:rPr>
              <w:t>1 298</w:t>
            </w:r>
          </w:p>
        </w:tc>
        <w:tc>
          <w:tcPr>
            <w:tcW w:type="dxa" w:w="567"/>
            <w:vAlign w:val="center"/>
          </w:tcPr>
          <w:p>
            <w:pPr>
              <w:spacing w:after="0" w:line="240" w:lineRule="auto"/>
              <w:jc w:val="center"/>
            </w:pPr>
            <w:r/>
            <w:r>
              <w:rPr>
                <w:b w:val="0"/>
                <w:i w:val="0"/>
                <w:sz w:val="16"/>
              </w:rPr>
              <w:t>30,9</w:t>
            </w:r>
          </w:p>
        </w:tc>
        <w:tc>
          <w:tcPr>
            <w:tcW w:type="dxa" w:w="3685"/>
            <w:vAlign w:val="center"/>
          </w:tcPr>
          <w:p>
            <w:pPr>
              <w:spacing w:after="0" w:line="240" w:lineRule="auto"/>
              <w:jc w:val="left"/>
            </w:pPr>
            <w:r/>
            <w:r>
              <w:rPr>
                <w:b w:val="0"/>
                <w:i w:val="0"/>
                <w:sz w:val="16"/>
              </w:rPr>
              <w:t>Anciens artisans, commerçants, chefs d’entr.</w:t>
            </w:r>
          </w:p>
        </w:tc>
        <w:tc>
          <w:tcPr>
            <w:tcW w:type="dxa" w:w="737"/>
            <w:vAlign w:val="center"/>
          </w:tcPr>
          <w:p>
            <w:pPr>
              <w:spacing w:after="0" w:line="240" w:lineRule="auto"/>
              <w:jc w:val="center"/>
            </w:pPr>
            <w:r/>
            <w:r>
              <w:rPr>
                <w:b w:val="0"/>
                <w:i w:val="0"/>
                <w:sz w:val="16"/>
              </w:rPr>
              <w:t>49</w:t>
            </w:r>
          </w:p>
        </w:tc>
        <w:tc>
          <w:tcPr>
            <w:tcW w:type="dxa" w:w="567"/>
            <w:vAlign w:val="center"/>
          </w:tcPr>
          <w:p>
            <w:pPr>
              <w:spacing w:after="0" w:line="240" w:lineRule="auto"/>
              <w:jc w:val="center"/>
            </w:pPr>
            <w:r/>
            <w:r>
              <w:rPr>
                <w:b w:val="0"/>
                <w:i w:val="0"/>
                <w:sz w:val="16"/>
              </w:rPr>
              <w:t>1,2</w:t>
            </w:r>
          </w:p>
        </w:tc>
      </w:tr>
      <w:tr>
        <w:trPr>
          <w:cantSplit/>
        </w:trPr>
        <w:tc>
          <w:tcPr>
            <w:tcW w:type="dxa" w:w="2778"/>
            <w:vAlign w:val="center"/>
          </w:tcPr>
          <w:p>
            <w:pPr>
              <w:spacing w:after="0" w:line="240" w:lineRule="auto"/>
              <w:jc w:val="left"/>
            </w:pPr>
            <w:r/>
            <w:r>
              <w:rPr>
                <w:b w:val="0"/>
                <w:i w:val="0"/>
                <w:sz w:val="16"/>
              </w:rPr>
              <w:t>UU de 2 000 à 4 999 hab.</w:t>
            </w:r>
          </w:p>
        </w:tc>
        <w:tc>
          <w:tcPr>
            <w:tcW w:type="dxa" w:w="737"/>
            <w:vAlign w:val="center"/>
          </w:tcPr>
          <w:p>
            <w:pPr>
              <w:spacing w:after="0" w:line="240" w:lineRule="auto"/>
              <w:jc w:val="center"/>
            </w:pPr>
            <w:r/>
            <w:r>
              <w:rPr>
                <w:b w:val="0"/>
                <w:i w:val="0"/>
                <w:sz w:val="16"/>
              </w:rPr>
              <w:t>299</w:t>
            </w:r>
          </w:p>
        </w:tc>
        <w:tc>
          <w:tcPr>
            <w:tcW w:type="dxa" w:w="567"/>
            <w:vAlign w:val="center"/>
          </w:tcPr>
          <w:p>
            <w:pPr>
              <w:spacing w:after="0" w:line="240" w:lineRule="auto"/>
              <w:jc w:val="center"/>
            </w:pPr>
            <w:r/>
            <w:r>
              <w:rPr>
                <w:b w:val="0"/>
                <w:i w:val="0"/>
                <w:sz w:val="16"/>
              </w:rPr>
              <w:t>7,1</w:t>
            </w:r>
          </w:p>
        </w:tc>
        <w:tc>
          <w:tcPr>
            <w:tcW w:type="dxa" w:w="3685"/>
            <w:vAlign w:val="center"/>
          </w:tcPr>
          <w:p>
            <w:pPr>
              <w:spacing w:after="0" w:line="240" w:lineRule="auto"/>
              <w:jc w:val="left"/>
            </w:pPr>
            <w:r/>
            <w:r>
              <w:rPr>
                <w:b w:val="0"/>
                <w:i w:val="0"/>
                <w:sz w:val="16"/>
              </w:rPr>
              <w:t>Anciens cadres et prof. intermédiaires</w:t>
            </w:r>
          </w:p>
        </w:tc>
        <w:tc>
          <w:tcPr>
            <w:tcW w:type="dxa" w:w="737"/>
            <w:vAlign w:val="center"/>
          </w:tcPr>
          <w:p>
            <w:pPr>
              <w:spacing w:after="0" w:line="240" w:lineRule="auto"/>
              <w:jc w:val="center"/>
            </w:pPr>
            <w:r/>
            <w:r>
              <w:rPr>
                <w:b w:val="0"/>
                <w:i w:val="0"/>
                <w:sz w:val="16"/>
              </w:rPr>
              <w:t>340</w:t>
            </w:r>
          </w:p>
        </w:tc>
        <w:tc>
          <w:tcPr>
            <w:tcW w:type="dxa" w:w="567"/>
            <w:vAlign w:val="center"/>
          </w:tcPr>
          <w:p>
            <w:pPr>
              <w:spacing w:after="0" w:line="240" w:lineRule="auto"/>
              <w:jc w:val="center"/>
            </w:pPr>
            <w:r/>
            <w:r>
              <w:rPr>
                <w:b w:val="0"/>
                <w:i w:val="0"/>
                <w:sz w:val="16"/>
              </w:rPr>
              <w:t>8,1</w:t>
            </w:r>
          </w:p>
        </w:tc>
      </w:tr>
      <w:tr>
        <w:trPr>
          <w:cantSplit/>
        </w:trPr>
        <w:tc>
          <w:tcPr>
            <w:tcW w:type="dxa" w:w="2778"/>
            <w:vAlign w:val="center"/>
          </w:tcPr>
          <w:p>
            <w:pPr>
              <w:spacing w:after="0" w:line="240" w:lineRule="auto"/>
              <w:jc w:val="left"/>
            </w:pPr>
            <w:r/>
            <w:r>
              <w:rPr>
                <w:b w:val="0"/>
                <w:i w:val="0"/>
                <w:sz w:val="16"/>
              </w:rPr>
              <w:t>UU de 5 000 à 9 999 hab.</w:t>
            </w:r>
          </w:p>
        </w:tc>
        <w:tc>
          <w:tcPr>
            <w:tcW w:type="dxa" w:w="737"/>
            <w:vAlign w:val="center"/>
          </w:tcPr>
          <w:p>
            <w:pPr>
              <w:spacing w:after="0" w:line="240" w:lineRule="auto"/>
              <w:jc w:val="center"/>
            </w:pPr>
            <w:r/>
            <w:r>
              <w:rPr>
                <w:b w:val="0"/>
                <w:i w:val="0"/>
                <w:sz w:val="16"/>
              </w:rPr>
              <w:t>213</w:t>
            </w:r>
          </w:p>
        </w:tc>
        <w:tc>
          <w:tcPr>
            <w:tcW w:type="dxa" w:w="567"/>
            <w:vAlign w:val="center"/>
          </w:tcPr>
          <w:p>
            <w:pPr>
              <w:spacing w:after="0" w:line="240" w:lineRule="auto"/>
              <w:jc w:val="center"/>
            </w:pPr>
            <w:r/>
            <w:r>
              <w:rPr>
                <w:b w:val="0"/>
                <w:i w:val="0"/>
                <w:sz w:val="16"/>
              </w:rPr>
              <w:t>5,1</w:t>
            </w:r>
          </w:p>
        </w:tc>
        <w:tc>
          <w:tcPr>
            <w:tcW w:type="dxa" w:w="3685"/>
            <w:vAlign w:val="center"/>
          </w:tcPr>
          <w:p>
            <w:pPr>
              <w:spacing w:after="0" w:line="240" w:lineRule="auto"/>
              <w:jc w:val="left"/>
            </w:pPr>
            <w:r/>
            <w:r>
              <w:rPr>
                <w:b w:val="0"/>
                <w:i w:val="0"/>
                <w:sz w:val="16"/>
              </w:rPr>
              <w:t>Anciens employés et ouvriers</w:t>
            </w:r>
          </w:p>
        </w:tc>
        <w:tc>
          <w:tcPr>
            <w:tcW w:type="dxa" w:w="737"/>
            <w:vAlign w:val="center"/>
          </w:tcPr>
          <w:p>
            <w:pPr>
              <w:spacing w:after="0" w:line="240" w:lineRule="auto"/>
              <w:jc w:val="center"/>
            </w:pPr>
            <w:r/>
            <w:r>
              <w:rPr>
                <w:b w:val="0"/>
                <w:i w:val="0"/>
                <w:sz w:val="16"/>
              </w:rPr>
              <w:t>310</w:t>
            </w:r>
          </w:p>
        </w:tc>
        <w:tc>
          <w:tcPr>
            <w:tcW w:type="dxa" w:w="567"/>
            <w:vAlign w:val="center"/>
          </w:tcPr>
          <w:p>
            <w:pPr>
              <w:spacing w:after="0" w:line="240" w:lineRule="auto"/>
              <w:jc w:val="center"/>
            </w:pPr>
            <w:r/>
            <w:r>
              <w:rPr>
                <w:b w:val="0"/>
                <w:i w:val="0"/>
                <w:sz w:val="16"/>
              </w:rPr>
              <w:t>7,4</w:t>
            </w:r>
          </w:p>
        </w:tc>
      </w:tr>
      <w:tr>
        <w:trPr>
          <w:cantSplit/>
        </w:trPr>
        <w:tc>
          <w:tcPr>
            <w:tcW w:type="dxa" w:w="2778"/>
            <w:vAlign w:val="center"/>
          </w:tcPr>
          <w:p>
            <w:pPr>
              <w:spacing w:after="0" w:line="240" w:lineRule="auto"/>
              <w:jc w:val="left"/>
            </w:pPr>
            <w:r/>
            <w:r>
              <w:rPr>
                <w:b w:val="0"/>
                <w:i w:val="0"/>
                <w:sz w:val="16"/>
              </w:rPr>
              <w:t>UU de 10 000 à 19 999 hab.</w:t>
            </w:r>
          </w:p>
        </w:tc>
        <w:tc>
          <w:tcPr>
            <w:tcW w:type="dxa" w:w="737"/>
            <w:vAlign w:val="center"/>
          </w:tcPr>
          <w:p>
            <w:pPr>
              <w:spacing w:after="0" w:line="240" w:lineRule="auto"/>
              <w:jc w:val="center"/>
            </w:pPr>
            <w:r/>
            <w:r>
              <w:rPr>
                <w:b w:val="0"/>
                <w:i w:val="0"/>
                <w:sz w:val="16"/>
              </w:rPr>
              <w:t>225</w:t>
            </w:r>
          </w:p>
        </w:tc>
        <w:tc>
          <w:tcPr>
            <w:tcW w:type="dxa" w:w="567"/>
            <w:vAlign w:val="center"/>
          </w:tcPr>
          <w:p>
            <w:pPr>
              <w:spacing w:after="0" w:line="240" w:lineRule="auto"/>
              <w:jc w:val="center"/>
            </w:pPr>
            <w:r/>
            <w:r>
              <w:rPr>
                <w:b w:val="0"/>
                <w:i w:val="0"/>
                <w:sz w:val="16"/>
              </w:rPr>
              <w:t>5,4</w:t>
            </w:r>
          </w:p>
        </w:tc>
        <w:tc>
          <w:tcPr>
            <w:tcW w:type="dxa" w:w="3685"/>
            <w:vAlign w:val="center"/>
          </w:tcPr>
          <w:p>
            <w:pPr>
              <w:spacing w:after="0" w:line="240" w:lineRule="auto"/>
              <w:jc w:val="left"/>
            </w:pPr>
            <w:r/>
            <w:r>
              <w:rPr>
                <w:b w:val="0"/>
                <w:i w:val="0"/>
                <w:sz w:val="16"/>
              </w:rPr>
              <w:t>Chômeurs n’ayant jamais travaillé</w:t>
            </w:r>
          </w:p>
        </w:tc>
        <w:tc>
          <w:tcPr>
            <w:tcW w:type="dxa" w:w="737"/>
            <w:vAlign w:val="center"/>
          </w:tcPr>
          <w:p>
            <w:pPr>
              <w:spacing w:after="0" w:line="240" w:lineRule="auto"/>
              <w:jc w:val="center"/>
            </w:pPr>
            <w:r/>
            <w:r>
              <w:rPr>
                <w:b w:val="0"/>
                <w:i w:val="0"/>
                <w:sz w:val="16"/>
              </w:rPr>
              <w:t>5</w:t>
            </w:r>
          </w:p>
        </w:tc>
        <w:tc>
          <w:tcPr>
            <w:tcW w:type="dxa" w:w="567"/>
            <w:vAlign w:val="center"/>
          </w:tcPr>
          <w:p>
            <w:pPr>
              <w:spacing w:after="0" w:line="240" w:lineRule="auto"/>
              <w:jc w:val="center"/>
            </w:pPr>
            <w:r/>
            <w:r>
              <w:rPr>
                <w:b w:val="0"/>
                <w:i w:val="0"/>
                <w:sz w:val="16"/>
              </w:rPr>
              <w:t>0,1</w:t>
            </w:r>
          </w:p>
        </w:tc>
      </w:tr>
      <w:tr>
        <w:trPr>
          <w:cantSplit/>
        </w:trPr>
        <w:tc>
          <w:tcPr>
            <w:tcW w:type="dxa" w:w="2778"/>
            <w:vAlign w:val="center"/>
          </w:tcPr>
          <w:p>
            <w:pPr>
              <w:spacing w:after="0" w:line="240" w:lineRule="auto"/>
              <w:jc w:val="left"/>
            </w:pPr>
            <w:r/>
            <w:r>
              <w:rPr>
                <w:b w:val="0"/>
                <w:i w:val="0"/>
                <w:sz w:val="16"/>
              </w:rPr>
              <w:t>UU de 20 000 à 49 999 hab.</w:t>
            </w:r>
          </w:p>
        </w:tc>
        <w:tc>
          <w:tcPr>
            <w:tcW w:type="dxa" w:w="737"/>
            <w:vAlign w:val="center"/>
          </w:tcPr>
          <w:p>
            <w:pPr>
              <w:spacing w:after="0" w:line="240" w:lineRule="auto"/>
              <w:jc w:val="center"/>
            </w:pPr>
            <w:r/>
            <w:r>
              <w:rPr>
                <w:b w:val="0"/>
                <w:i w:val="0"/>
                <w:sz w:val="16"/>
              </w:rPr>
              <w:t>275</w:t>
            </w:r>
          </w:p>
        </w:tc>
        <w:tc>
          <w:tcPr>
            <w:tcW w:type="dxa" w:w="567"/>
            <w:vAlign w:val="center"/>
          </w:tcPr>
          <w:p>
            <w:pPr>
              <w:spacing w:after="0" w:line="240" w:lineRule="auto"/>
              <w:jc w:val="center"/>
            </w:pPr>
            <w:r/>
            <w:r>
              <w:rPr>
                <w:b w:val="0"/>
                <w:i w:val="0"/>
                <w:sz w:val="16"/>
              </w:rPr>
              <w:t>6,6</w:t>
            </w:r>
          </w:p>
        </w:tc>
        <w:tc>
          <w:tcPr>
            <w:tcW w:type="dxa" w:w="3685"/>
            <w:vAlign w:val="center"/>
          </w:tcPr>
          <w:p>
            <w:pPr>
              <w:spacing w:after="0" w:line="240" w:lineRule="auto"/>
              <w:jc w:val="left"/>
            </w:pPr>
            <w:r/>
            <w:r>
              <w:rPr>
                <w:b w:val="0"/>
                <w:i w:val="0"/>
                <w:sz w:val="16"/>
              </w:rPr>
              <w:t>Inactifs divers (autres que retraités)</w:t>
            </w:r>
          </w:p>
        </w:tc>
        <w:tc>
          <w:tcPr>
            <w:tcW w:type="dxa" w:w="737"/>
            <w:vAlign w:val="center"/>
          </w:tcPr>
          <w:p>
            <w:pPr>
              <w:spacing w:after="0" w:line="240" w:lineRule="auto"/>
              <w:jc w:val="center"/>
            </w:pPr>
            <w:r/>
            <w:r>
              <w:rPr>
                <w:b w:val="0"/>
                <w:i w:val="0"/>
                <w:sz w:val="16"/>
              </w:rPr>
              <w:t>122</w:t>
            </w:r>
          </w:p>
        </w:tc>
        <w:tc>
          <w:tcPr>
            <w:tcW w:type="dxa" w:w="567"/>
            <w:vAlign w:val="center"/>
          </w:tcPr>
          <w:p>
            <w:pPr>
              <w:spacing w:after="0" w:line="240" w:lineRule="auto"/>
              <w:jc w:val="center"/>
            </w:pPr>
            <w:r/>
            <w:r>
              <w:rPr>
                <w:b w:val="0"/>
                <w:i w:val="0"/>
                <w:sz w:val="16"/>
              </w:rPr>
              <w:t>2,9</w:t>
            </w:r>
          </w:p>
        </w:tc>
      </w:tr>
      <w:tr>
        <w:trPr>
          <w:cantSplit/>
        </w:trPr>
        <w:tc>
          <w:tcPr>
            <w:tcW w:type="dxa" w:w="2778"/>
            <w:vAlign w:val="center"/>
          </w:tcPr>
          <w:p>
            <w:pPr>
              <w:spacing w:after="0" w:line="240" w:lineRule="auto"/>
              <w:jc w:val="left"/>
            </w:pPr>
            <w:r/>
            <w:r>
              <w:rPr>
                <w:b w:val="0"/>
                <w:i w:val="0"/>
                <w:sz w:val="16"/>
              </w:rPr>
              <w:t>UU de 50 000 à 99 999 hab.</w:t>
            </w:r>
          </w:p>
        </w:tc>
        <w:tc>
          <w:tcPr>
            <w:tcW w:type="dxa" w:w="737"/>
            <w:vAlign w:val="center"/>
          </w:tcPr>
          <w:p>
            <w:pPr>
              <w:spacing w:after="0" w:line="240" w:lineRule="auto"/>
              <w:jc w:val="center"/>
            </w:pPr>
            <w:r/>
            <w:r>
              <w:rPr>
                <w:b w:val="0"/>
                <w:i w:val="0"/>
                <w:sz w:val="16"/>
              </w:rPr>
              <w:t>271</w:t>
            </w:r>
          </w:p>
        </w:tc>
        <w:tc>
          <w:tcPr>
            <w:tcW w:type="dxa" w:w="567"/>
            <w:vAlign w:val="center"/>
          </w:tcPr>
          <w:p>
            <w:pPr>
              <w:spacing w:after="0" w:line="240" w:lineRule="auto"/>
              <w:jc w:val="center"/>
            </w:pPr>
            <w:r/>
            <w:r>
              <w:rPr>
                <w:b w:val="0"/>
                <w:i w:val="0"/>
                <w:sz w:val="16"/>
              </w:rPr>
              <w:t>6,5</w:t>
            </w:r>
          </w:p>
        </w:tc>
        <w:tc>
          <w:tcPr>
            <w:tcW w:type="dxa" w:w="3685"/>
            <w:vAlign w:val="center"/>
          </w:tcPr>
          <w:p>
            <w:pPr>
              <w:spacing w:after="0" w:line="240" w:lineRule="auto"/>
              <w:jc w:val="left"/>
            </w:pPr>
            <w:r/>
            <w:r>
              <w:rPr>
                <w:b w:val="0"/>
                <w:i w:val="0"/>
                <w:sz w:val="16"/>
              </w:rPr>
              <w:t>Non renseigné</w:t>
            </w:r>
          </w:p>
        </w:tc>
        <w:tc>
          <w:tcPr>
            <w:tcW w:type="dxa" w:w="737"/>
            <w:vAlign w:val="center"/>
          </w:tcPr>
          <w:p>
            <w:pPr>
              <w:spacing w:after="0" w:line="240" w:lineRule="auto"/>
              <w:jc w:val="center"/>
            </w:pPr>
            <w:r/>
            <w:r>
              <w:rPr>
                <w:b w:val="0"/>
                <w:i w:val="0"/>
                <w:sz w:val="16"/>
              </w:rPr>
              <w:t>66</w:t>
            </w:r>
          </w:p>
        </w:tc>
        <w:tc>
          <w:tcPr>
            <w:tcW w:type="dxa" w:w="567"/>
            <w:vAlign w:val="center"/>
          </w:tcPr>
          <w:p>
            <w:pPr>
              <w:spacing w:after="0" w:line="240" w:lineRule="auto"/>
              <w:jc w:val="center"/>
            </w:pPr>
            <w:r/>
            <w:r>
              <w:rPr>
                <w:b w:val="0"/>
                <w:i w:val="0"/>
                <w:sz w:val="16"/>
              </w:rPr>
              <w:t>1,6</w:t>
            </w:r>
          </w:p>
        </w:tc>
      </w:tr>
      <w:tr>
        <w:trPr>
          <w:cantSplit/>
        </w:trPr>
        <w:tc>
          <w:tcPr>
            <w:tcW w:type="dxa" w:w="2778"/>
            <w:vAlign w:val="center"/>
          </w:tcPr>
          <w:p>
            <w:pPr>
              <w:spacing w:after="0" w:line="240" w:lineRule="auto"/>
              <w:jc w:val="left"/>
            </w:pPr>
            <w:r/>
            <w:r>
              <w:rPr>
                <w:b w:val="0"/>
                <w:i w:val="0"/>
                <w:sz w:val="16"/>
              </w:rPr>
              <w:t>UU de 100 000 à 199 999 hab.</w:t>
            </w:r>
          </w:p>
        </w:tc>
        <w:tc>
          <w:tcPr>
            <w:tcW w:type="dxa" w:w="737"/>
            <w:vAlign w:val="center"/>
          </w:tcPr>
          <w:p>
            <w:pPr>
              <w:spacing w:after="0" w:line="240" w:lineRule="auto"/>
              <w:jc w:val="center"/>
            </w:pPr>
            <w:r/>
            <w:r>
              <w:rPr>
                <w:b w:val="0"/>
                <w:i w:val="0"/>
                <w:sz w:val="16"/>
              </w:rPr>
              <w:t>247</w:t>
            </w:r>
          </w:p>
        </w:tc>
        <w:tc>
          <w:tcPr>
            <w:tcW w:type="dxa" w:w="567"/>
            <w:vAlign w:val="center"/>
          </w:tcPr>
          <w:p>
            <w:pPr>
              <w:spacing w:after="0" w:line="240" w:lineRule="auto"/>
              <w:jc w:val="center"/>
            </w:pPr>
            <w:r/>
            <w:r>
              <w:rPr>
                <w:b w:val="0"/>
                <w:i w:val="0"/>
                <w:sz w:val="16"/>
              </w:rPr>
              <w:t>5,9</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UU de 200 000 à 1 999 999 hab.</w:t>
            </w:r>
          </w:p>
        </w:tc>
        <w:tc>
          <w:tcPr>
            <w:tcW w:type="dxa" w:w="737"/>
            <w:vAlign w:val="center"/>
          </w:tcPr>
          <w:p>
            <w:pPr>
              <w:spacing w:after="0" w:line="240" w:lineRule="auto"/>
              <w:jc w:val="center"/>
            </w:pPr>
            <w:r/>
            <w:r>
              <w:rPr>
                <w:b w:val="0"/>
                <w:i w:val="0"/>
                <w:sz w:val="16"/>
              </w:rPr>
              <w:t>983</w:t>
            </w:r>
          </w:p>
        </w:tc>
        <w:tc>
          <w:tcPr>
            <w:tcW w:type="dxa" w:w="567"/>
            <w:vAlign w:val="center"/>
          </w:tcPr>
          <w:p>
            <w:pPr>
              <w:spacing w:after="0" w:line="240" w:lineRule="auto"/>
              <w:jc w:val="center"/>
            </w:pPr>
            <w:r/>
            <w:r>
              <w:rPr>
                <w:b w:val="0"/>
                <w:i w:val="0"/>
                <w:sz w:val="16"/>
              </w:rPr>
              <w:t>23,4</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Agglomération de Paris</w:t>
            </w:r>
          </w:p>
        </w:tc>
        <w:tc>
          <w:tcPr>
            <w:tcW w:type="dxa" w:w="737"/>
            <w:vAlign w:val="center"/>
          </w:tcPr>
          <w:p>
            <w:pPr>
              <w:spacing w:after="0" w:line="240" w:lineRule="auto"/>
              <w:jc w:val="center"/>
            </w:pPr>
            <w:r/>
            <w:r>
              <w:rPr>
                <w:b w:val="0"/>
                <w:i w:val="0"/>
                <w:sz w:val="16"/>
              </w:rPr>
              <w:t>387</w:t>
            </w:r>
          </w:p>
        </w:tc>
        <w:tc>
          <w:tcPr>
            <w:tcW w:type="dxa" w:w="567"/>
            <w:vAlign w:val="center"/>
          </w:tcPr>
          <w:p>
            <w:pPr>
              <w:spacing w:after="0" w:line="240" w:lineRule="auto"/>
              <w:jc w:val="center"/>
            </w:pPr>
            <w:r/>
            <w:r>
              <w:rPr>
                <w:b w:val="0"/>
                <w:i w:val="0"/>
                <w:sz w:val="16"/>
              </w:rPr>
              <w:t>9,2</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4082"/>
            <w:gridSpan w:val="3"/>
            <w:shd w:val="clear" w:color="auto" w:fill="F4F6F9"/>
            <w:vAlign w:val="center"/>
          </w:tcPr>
          <w:p>
            <w:pPr>
              <w:spacing w:after="0" w:line="240" w:lineRule="auto"/>
              <w:jc w:val="left"/>
            </w:pPr>
            <w:r/>
            <w:r>
              <w:rPr>
                <w:b/>
                <w:i w:val="0"/>
                <w:sz w:val="16"/>
              </w:rPr>
              <w:t>Type de logement</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Ferme, pavillon, maison indépendante</w:t>
            </w:r>
          </w:p>
        </w:tc>
        <w:tc>
          <w:tcPr>
            <w:tcW w:type="dxa" w:w="737"/>
            <w:vAlign w:val="center"/>
          </w:tcPr>
          <w:p>
            <w:pPr>
              <w:spacing w:after="0" w:line="240" w:lineRule="auto"/>
              <w:jc w:val="center"/>
            </w:pPr>
            <w:r/>
            <w:r>
              <w:rPr>
                <w:b w:val="0"/>
                <w:i w:val="0"/>
                <w:sz w:val="16"/>
              </w:rPr>
              <w:t>2 132</w:t>
            </w:r>
          </w:p>
        </w:tc>
        <w:tc>
          <w:tcPr>
            <w:tcW w:type="dxa" w:w="567"/>
            <w:vAlign w:val="center"/>
          </w:tcPr>
          <w:p>
            <w:pPr>
              <w:spacing w:after="0" w:line="240" w:lineRule="auto"/>
              <w:jc w:val="center"/>
            </w:pPr>
            <w:r/>
            <w:r>
              <w:rPr>
                <w:b w:val="0"/>
                <w:i w:val="0"/>
                <w:sz w:val="16"/>
              </w:rPr>
              <w:t>50,8</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Maison mitoyenne, jumelée, en bande</w:t>
            </w:r>
          </w:p>
        </w:tc>
        <w:tc>
          <w:tcPr>
            <w:tcW w:type="dxa" w:w="737"/>
            <w:vAlign w:val="center"/>
          </w:tcPr>
          <w:p>
            <w:pPr>
              <w:spacing w:after="0" w:line="240" w:lineRule="auto"/>
              <w:jc w:val="center"/>
            </w:pPr>
            <w:r/>
            <w:r>
              <w:rPr>
                <w:b w:val="0"/>
                <w:i w:val="0"/>
                <w:sz w:val="16"/>
              </w:rPr>
              <w:t>945</w:t>
            </w:r>
          </w:p>
        </w:tc>
        <w:tc>
          <w:tcPr>
            <w:tcW w:type="dxa" w:w="567"/>
            <w:vAlign w:val="center"/>
          </w:tcPr>
          <w:p>
            <w:pPr>
              <w:spacing w:after="0" w:line="240" w:lineRule="auto"/>
              <w:jc w:val="center"/>
            </w:pPr>
            <w:r/>
            <w:r>
              <w:rPr>
                <w:b w:val="0"/>
                <w:i w:val="0"/>
                <w:sz w:val="16"/>
              </w:rPr>
              <w:t>22,5</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Appart., immeuble de 2 logements</w:t>
            </w:r>
          </w:p>
        </w:tc>
        <w:tc>
          <w:tcPr>
            <w:tcW w:type="dxa" w:w="737"/>
            <w:vAlign w:val="center"/>
          </w:tcPr>
          <w:p>
            <w:pPr>
              <w:spacing w:after="0" w:line="240" w:lineRule="auto"/>
              <w:jc w:val="center"/>
            </w:pPr>
            <w:r/>
            <w:r>
              <w:rPr>
                <w:b w:val="0"/>
                <w:i w:val="0"/>
                <w:sz w:val="16"/>
              </w:rPr>
              <w:t>65</w:t>
            </w:r>
          </w:p>
        </w:tc>
        <w:tc>
          <w:tcPr>
            <w:tcW w:type="dxa" w:w="567"/>
            <w:vAlign w:val="center"/>
          </w:tcPr>
          <w:p>
            <w:pPr>
              <w:spacing w:after="0" w:line="240" w:lineRule="auto"/>
              <w:jc w:val="center"/>
            </w:pPr>
            <w:r/>
            <w:r>
              <w:rPr>
                <w:b w:val="0"/>
                <w:i w:val="0"/>
                <w:sz w:val="16"/>
              </w:rPr>
              <w:t>1,5</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Appart., immeuble de 3 à 9 logements</w:t>
            </w:r>
          </w:p>
        </w:tc>
        <w:tc>
          <w:tcPr>
            <w:tcW w:type="dxa" w:w="737"/>
            <w:vAlign w:val="center"/>
          </w:tcPr>
          <w:p>
            <w:pPr>
              <w:spacing w:after="0" w:line="240" w:lineRule="auto"/>
              <w:jc w:val="center"/>
            </w:pPr>
            <w:r/>
            <w:r>
              <w:rPr>
                <w:b w:val="0"/>
                <w:i w:val="0"/>
                <w:sz w:val="16"/>
              </w:rPr>
              <w:t>311</w:t>
            </w:r>
          </w:p>
        </w:tc>
        <w:tc>
          <w:tcPr>
            <w:tcW w:type="dxa" w:w="567"/>
            <w:vAlign w:val="center"/>
          </w:tcPr>
          <w:p>
            <w:pPr>
              <w:spacing w:after="0" w:line="240" w:lineRule="auto"/>
              <w:jc w:val="center"/>
            </w:pPr>
            <w:r/>
            <w:r>
              <w:rPr>
                <w:b w:val="0"/>
                <w:i w:val="0"/>
                <w:sz w:val="16"/>
              </w:rPr>
              <w:t>7,4</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Appart., immeuble de 10 logements ou +</w:t>
            </w:r>
          </w:p>
        </w:tc>
        <w:tc>
          <w:tcPr>
            <w:tcW w:type="dxa" w:w="737"/>
            <w:vAlign w:val="center"/>
          </w:tcPr>
          <w:p>
            <w:pPr>
              <w:spacing w:after="0" w:line="240" w:lineRule="auto"/>
              <w:jc w:val="center"/>
            </w:pPr>
            <w:r/>
            <w:r>
              <w:rPr>
                <w:b w:val="0"/>
                <w:i w:val="0"/>
                <w:sz w:val="16"/>
              </w:rPr>
              <w:t>657</w:t>
            </w:r>
          </w:p>
        </w:tc>
        <w:tc>
          <w:tcPr>
            <w:tcW w:type="dxa" w:w="567"/>
            <w:vAlign w:val="center"/>
          </w:tcPr>
          <w:p>
            <w:pPr>
              <w:spacing w:after="0" w:line="240" w:lineRule="auto"/>
              <w:jc w:val="center"/>
            </w:pPr>
            <w:r/>
            <w:r>
              <w:rPr>
                <w:b w:val="0"/>
                <w:i w:val="0"/>
                <w:sz w:val="16"/>
              </w:rPr>
              <w:t>15,7</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Habitation précaire</w:t>
            </w:r>
          </w:p>
        </w:tc>
        <w:tc>
          <w:tcPr>
            <w:tcW w:type="dxa" w:w="737"/>
            <w:vAlign w:val="center"/>
          </w:tcPr>
          <w:p>
            <w:pPr>
              <w:spacing w:after="0" w:line="240" w:lineRule="auto"/>
              <w:jc w:val="center"/>
            </w:pPr>
            <w:r/>
            <w:r>
              <w:rPr>
                <w:b w:val="0"/>
                <w:i w:val="0"/>
                <w:sz w:val="16"/>
              </w:rPr>
              <w:t>4</w:t>
            </w:r>
          </w:p>
        </w:tc>
        <w:tc>
          <w:tcPr>
            <w:tcW w:type="dxa" w:w="567"/>
            <w:vAlign w:val="center"/>
          </w:tcPr>
          <w:p>
            <w:pPr>
              <w:spacing w:after="0" w:line="240" w:lineRule="auto"/>
              <w:jc w:val="center"/>
            </w:pPr>
            <w:r/>
            <w:r>
              <w:rPr>
                <w:b w:val="0"/>
                <w:i w:val="0"/>
                <w:sz w:val="16"/>
              </w:rPr>
              <w:t>0,1</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Autre type de logement</w:t>
            </w:r>
          </w:p>
        </w:tc>
        <w:tc>
          <w:tcPr>
            <w:tcW w:type="dxa" w:w="737"/>
            <w:vAlign w:val="center"/>
          </w:tcPr>
          <w:p>
            <w:pPr>
              <w:spacing w:after="0" w:line="240" w:lineRule="auto"/>
              <w:jc w:val="center"/>
            </w:pPr>
            <w:r/>
            <w:r>
              <w:rPr>
                <w:b w:val="0"/>
                <w:i w:val="0"/>
                <w:sz w:val="16"/>
              </w:rPr>
              <w:t>4</w:t>
            </w:r>
          </w:p>
        </w:tc>
        <w:tc>
          <w:tcPr>
            <w:tcW w:type="dxa" w:w="567"/>
            <w:vAlign w:val="center"/>
          </w:tcPr>
          <w:p>
            <w:pPr>
              <w:spacing w:after="0" w:line="240" w:lineRule="auto"/>
              <w:jc w:val="center"/>
            </w:pPr>
            <w:r/>
            <w:r>
              <w:rPr>
                <w:b w:val="0"/>
                <w:i w:val="0"/>
                <w:sz w:val="16"/>
              </w:rPr>
              <w:t>0,1</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r>
        <w:trPr>
          <w:cantSplit/>
        </w:trPr>
        <w:tc>
          <w:tcPr>
            <w:tcW w:type="dxa" w:w="2778"/>
            <w:vAlign w:val="center"/>
          </w:tcPr>
          <w:p>
            <w:pPr>
              <w:spacing w:after="0" w:line="240" w:lineRule="auto"/>
              <w:jc w:val="left"/>
            </w:pPr>
            <w:r/>
            <w:r>
              <w:rPr>
                <w:b w:val="0"/>
                <w:i w:val="0"/>
                <w:sz w:val="16"/>
              </w:rPr>
              <w:t>Non renseigné</w:t>
            </w:r>
          </w:p>
        </w:tc>
        <w:tc>
          <w:tcPr>
            <w:tcW w:type="dxa" w:w="737"/>
            <w:vAlign w:val="center"/>
          </w:tcPr>
          <w:p>
            <w:pPr>
              <w:spacing w:after="0" w:line="240" w:lineRule="auto"/>
              <w:jc w:val="center"/>
            </w:pPr>
            <w:r/>
            <w:r>
              <w:rPr>
                <w:b w:val="0"/>
                <w:i w:val="0"/>
                <w:sz w:val="16"/>
              </w:rPr>
              <w:t>80</w:t>
            </w:r>
          </w:p>
        </w:tc>
        <w:tc>
          <w:tcPr>
            <w:tcW w:type="dxa" w:w="567"/>
            <w:vAlign w:val="center"/>
          </w:tcPr>
          <w:p>
            <w:pPr>
              <w:spacing w:after="0" w:line="240" w:lineRule="auto"/>
              <w:jc w:val="center"/>
            </w:pPr>
            <w:r/>
            <w:r>
              <w:rPr>
                <w:b w:val="0"/>
                <w:i w:val="0"/>
                <w:sz w:val="16"/>
              </w:rPr>
              <w:t>1,9</w:t>
            </w:r>
          </w:p>
        </w:tc>
        <w:tc>
          <w:tcPr>
            <w:tcW w:type="dxa" w:w="3685"/>
            <w:vAlign w:val="center"/>
          </w:tcPr>
          <w:p>
            <w:pPr>
              <w:spacing w:after="0" w:line="240" w:lineRule="auto"/>
              <w:jc w:val="left"/>
            </w:pPr>
            <w:r/>
            <w:r>
              <w:rPr>
                <w:b w:val="0"/>
                <w:i w:val="0"/>
                <w:sz w:val="16"/>
              </w:rPr>
            </w:r>
          </w:p>
        </w:tc>
        <w:tc>
          <w:tcPr>
            <w:tcW w:type="dxa" w:w="737"/>
            <w:vAlign w:val="center"/>
          </w:tcPr>
          <w:p>
            <w:pPr>
              <w:spacing w:after="0" w:line="240" w:lineRule="auto"/>
              <w:jc w:val="center"/>
            </w:pPr>
            <w:r/>
            <w:r>
              <w:rPr>
                <w:b w:val="0"/>
                <w:i w:val="0"/>
                <w:sz w:val="16"/>
              </w:rPr>
            </w:r>
          </w:p>
        </w:tc>
        <w:tc>
          <w:tcPr>
            <w:tcW w:type="dxa" w:w="567"/>
            <w:vAlign w:val="center"/>
          </w:tcPr>
          <w:p>
            <w:pPr>
              <w:spacing w:after="0" w:line="240" w:lineRule="auto"/>
              <w:jc w:val="center"/>
            </w:pPr>
            <w:r/>
            <w:r>
              <w:rPr>
                <w:b w:val="0"/>
                <w:i w:val="0"/>
                <w:sz w:val="16"/>
              </w:rPr>
            </w:r>
          </w:p>
        </w:tc>
      </w:tr>
    </w:tbl>
    <w:p>
      <w:pPr>
        <w:spacing w:after="200"/>
        <w:jc w:val="left"/>
      </w:pPr>
      <w:r>
        <w:rPr>
          <w:i/>
          <w:sz w:val="18"/>
        </w:rPr>
        <w:t>Source : INSEE, enquête SRCV 2015, base SRCV1_menage. Champ : base brute, 4 198 ménages. Commande Stata : tab1 nb_credits motif_a nenfants cs24pr tuu10 typlog, m. UU : unité urbaine.</w:t>
      </w:r>
    </w:p>
    <w:p>
      <w:pPr>
        <w:jc w:val="both"/>
      </w:pPr>
      <w:r>
        <w:rPr>
          <w:b/>
        </w:rPr>
        <w:t>Valeurs manquantes.</w:t>
      </w:r>
      <w:r>
        <w:t xml:space="preserve"> Seules la CSP (66 ménages, soit 1,6 %) et le type de logement (80 ménages, soit 1,9 %) comportent des valeurs manquantes. Ces proportions sont inférieures à 5 % : nous supprimons ces observations.</w:t>
      </w:r>
    </w:p>
    <w:p>
      <w:pPr>
        <w:jc w:val="both"/>
      </w:pPr>
      <w:r>
        <w:rPr>
          <w:b/>
        </w:rPr>
        <w:t>Regroupements.</w:t>
      </w:r>
      <w:r>
        <w:t xml:space="preserve"> Plusieurs variables ont des modalités à très faible effectif, que nous regroupons pour que chaque modalité représente, autant que possible, au moins 10 % des ménages :</w:t>
      </w:r>
    </w:p>
    <w:p>
      <w:pPr>
        <w:spacing w:after="80"/>
        <w:ind w:left="340"/>
        <w:jc w:val="both"/>
      </w:pPr>
      <w:r>
        <w:t xml:space="preserve">– </w:t>
      </w:r>
      <w:r>
        <w:rPr>
          <w:i/>
        </w:rPr>
        <w:t>Nombre de crédits</w:t>
      </w:r>
      <w:r>
        <w:t xml:space="preserve"> : 71 % des ménages remboursent un seul crédit et 25 % en remboursent deux, mais les ménages ayant trois crédits ou plus ne représentent que 3,9 % de la base. Nous opposons donc les ménages qui ont </w:t>
      </w:r>
      <w:r>
        <w:rPr>
          <w:b/>
        </w:rPr>
        <w:t>un seul crédit</w:t>
      </w:r>
      <w:r>
        <w:t xml:space="preserve"> à ceux qui en ont </w:t>
      </w:r>
      <w:r>
        <w:rPr>
          <w:b/>
        </w:rPr>
        <w:t>deux ou plus</w:t>
      </w:r>
      <w:r>
        <w:t>.</w:t>
      </w:r>
    </w:p>
    <w:p>
      <w:pPr>
        <w:spacing w:after="80"/>
        <w:ind w:left="340"/>
        <w:jc w:val="both"/>
      </w:pPr>
      <w:r>
        <w:t xml:space="preserve">– </w:t>
      </w:r>
      <w:r>
        <w:rPr>
          <w:i/>
        </w:rPr>
        <w:t>Crédit pour un autre bien immobilier</w:t>
      </w:r>
      <w:r>
        <w:t xml:space="preserve"> : la variable est déjà binaire et la modalité « oui » regroupe 13,7 % des ménages ; nous la conservons telle quelle.</w:t>
      </w:r>
    </w:p>
    <w:p>
      <w:pPr>
        <w:spacing w:after="80"/>
        <w:ind w:left="340"/>
        <w:jc w:val="both"/>
      </w:pPr>
      <w:r>
        <w:t xml:space="preserve">– </w:t>
      </w:r>
      <w:r>
        <w:rPr>
          <w:i/>
        </w:rPr>
        <w:t>Nombre d’enfants</w:t>
      </w:r>
      <w:r>
        <w:t xml:space="preserve"> : les ménages de quatre enfants ou plus représentent moins de 2,5 % de la base. Nous créons quatre modalités : </w:t>
      </w:r>
      <w:r>
        <w:rPr>
          <w:b/>
        </w:rPr>
        <w:t>aucun enfant, un enfant, deux enfants, trois enfants ou plus</w:t>
      </w:r>
      <w:r>
        <w:t xml:space="preserve"> (10,7 % des ménages pour la dernière).</w:t>
      </w:r>
    </w:p>
    <w:p>
      <w:pPr>
        <w:spacing w:after="80"/>
        <w:ind w:left="340"/>
        <w:jc w:val="both"/>
      </w:pPr>
      <w:r>
        <w:t xml:space="preserve">– </w:t>
      </w:r>
      <w:r>
        <w:rPr>
          <w:i/>
        </w:rPr>
        <w:t>CSP</w:t>
      </w:r>
      <w:r>
        <w:t xml:space="preserve"> : la nomenclature détaillée compte 24 postes, dont beaucoup regroupent moins de 2 % des ménages. Nous les regroupons selon le premier chiffre de la nomenclature des PCS : </w:t>
      </w:r>
      <w:r>
        <w:rPr>
          <w:b/>
        </w:rPr>
        <w:t>agriculteurs, artisans, commerçants et chefs d’entreprise ; cadres et professions intellectuelles supérieures ; professions intermédiaires ; employés ; ouvriers ; retraités et autres inactifs</w:t>
      </w:r>
      <w:r>
        <w:t>. Les inactifs autres que retraités (chômeurs n’ayant jamais travaillé et inactifs divers, 3 % des ménages) sont regroupés avec les retraités, car ils sont eux aussi hors de l’emploi. Le groupe des indépendants reste sous le seuil indicatif de 10 % (6,1 % des ménages), mais nous le gardons à part : leur comportement d’emprunt est particulier (crédits professionnels, revenus irréguliers) et ils ne peuvent pas être rapprochés naturellement d’une catégorie de salariés. Avec plus de 200 ménages, ce groupe reste suffisant pour estimer un coefficient.</w:t>
      </w:r>
    </w:p>
    <w:p>
      <w:pPr>
        <w:spacing w:after="80"/>
        <w:ind w:left="340"/>
        <w:jc w:val="both"/>
      </w:pPr>
      <w:r>
        <w:t xml:space="preserve">– </w:t>
      </w:r>
      <w:r>
        <w:rPr>
          <w:i/>
        </w:rPr>
        <w:t>Taille de l’unité urbaine</w:t>
      </w:r>
      <w:r>
        <w:t xml:space="preserve"> : les petites et moyennes unités urbaines ont des effectifs faibles (entre 5 % et 7 % chacune). Nous retenons cinq modalités : </w:t>
      </w:r>
      <w:r>
        <w:rPr>
          <w:b/>
        </w:rPr>
        <w:t>commune rurale ; unité urbaine de moins de 20 000 habitants ; de 20 000 à 199 999 habitants ; de 200 000 habitants ou plus (hors Paris) ; agglomération parisienne</w:t>
      </w:r>
      <w:r>
        <w:t>. L’agglomération parisienne (9,2 % des ménages) est légèrement sous le seuil de 10 %, mais nous la conservons à part, car c’est là que les prix de l’immobilier sont les plus élevés, ce qui est au cœur de notre hypothèse sur cette variable.</w:t>
      </w:r>
    </w:p>
    <w:p>
      <w:pPr>
        <w:spacing w:after="160"/>
        <w:ind w:left="340"/>
        <w:jc w:val="both"/>
      </w:pPr>
      <w:r>
        <w:t xml:space="preserve">– </w:t>
      </w:r>
      <w:r>
        <w:rPr>
          <w:i/>
        </w:rPr>
        <w:t>Type de logement</w:t>
      </w:r>
      <w:r>
        <w:t xml:space="preserve"> : nous regroupons les maisons individuelles et mitoyennes (</w:t>
      </w:r>
      <w:r>
        <w:rPr>
          <w:b/>
        </w:rPr>
        <w:t>maison</w:t>
      </w:r>
      <w:r>
        <w:t>) d’une part, et les appartements quelle que soit la taille de l’immeuble (</w:t>
      </w:r>
      <w:r>
        <w:rPr>
          <w:b/>
        </w:rPr>
        <w:t>appartement</w:t>
      </w:r>
      <w:r>
        <w:t>) d’autre part. Les habitations précaires et les « autres types de logement » ne concernent que 8 ménages (0,2 %) et ne peuvent être rattachées ni aux maisons ni aux appartements : nous les supprimons.</w:t>
      </w:r>
    </w:p>
    <w:p>
      <w:pPr>
        <w:pStyle w:val="Heading3"/>
      </w:pPr>
      <w:r>
        <w:t>2.4. Échantillon de travail</w:t>
      </w:r>
    </w:p>
    <w:p>
      <w:pPr>
        <w:keepNext/>
        <w:spacing w:after="60"/>
        <w:jc w:val="left"/>
      </w:pPr>
      <w:r>
        <w:rPr>
          <w:b/>
          <w:sz w:val="21"/>
        </w:rPr>
        <w:t>Tableau 5 – Construction de l’échantillon de travail</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4762"/>
        <w:gridCol w:w="793"/>
        <w:gridCol w:w="1757"/>
        <w:gridCol w:w="1757"/>
      </w:tblGrid>
      <w:tr>
        <w:trPr>
          <w:cantSplit/>
          <w:tblHeader/>
        </w:trPr>
        <w:tc>
          <w:tcPr>
            <w:tcW w:type="dxa" w:w="4762"/>
            <w:shd w:val="clear" w:color="auto" w:fill="E8ECF2"/>
            <w:vAlign w:val="center"/>
          </w:tcPr>
          <w:p>
            <w:pPr>
              <w:keepNext/>
              <w:spacing w:after="0" w:line="240" w:lineRule="auto"/>
              <w:jc w:val="left"/>
            </w:pPr>
            <w:r/>
            <w:r>
              <w:rPr>
                <w:b/>
                <w:i w:val="0"/>
                <w:sz w:val="18"/>
              </w:rPr>
              <w:t>Motif de suppression</w:t>
            </w:r>
          </w:p>
        </w:tc>
        <w:tc>
          <w:tcPr>
            <w:tcW w:type="dxa" w:w="793"/>
            <w:shd w:val="clear" w:color="auto" w:fill="E8ECF2"/>
            <w:vAlign w:val="center"/>
          </w:tcPr>
          <w:p>
            <w:pPr>
              <w:keepNext/>
              <w:spacing w:after="0" w:line="240" w:lineRule="auto"/>
              <w:jc w:val="center"/>
            </w:pPr>
            <w:r/>
            <w:r>
              <w:rPr>
                <w:b/>
                <w:i w:val="0"/>
                <w:sz w:val="18"/>
              </w:rPr>
              <w:t>Étape</w:t>
            </w:r>
          </w:p>
        </w:tc>
        <w:tc>
          <w:tcPr>
            <w:tcW w:type="dxa" w:w="1757"/>
            <w:shd w:val="clear" w:color="auto" w:fill="E8ECF2"/>
            <w:vAlign w:val="center"/>
          </w:tcPr>
          <w:p>
            <w:pPr>
              <w:keepNext/>
              <w:spacing w:after="0" w:line="240" w:lineRule="auto"/>
              <w:jc w:val="center"/>
            </w:pPr>
            <w:r/>
            <w:r>
              <w:rPr>
                <w:b/>
                <w:i w:val="0"/>
                <w:sz w:val="18"/>
              </w:rPr>
              <w:t>Observations supprimées</w:t>
            </w:r>
          </w:p>
        </w:tc>
        <w:tc>
          <w:tcPr>
            <w:tcW w:type="dxa" w:w="1757"/>
            <w:shd w:val="clear" w:color="auto" w:fill="E8ECF2"/>
            <w:vAlign w:val="center"/>
          </w:tcPr>
          <w:p>
            <w:pPr>
              <w:keepNext/>
              <w:spacing w:after="0" w:line="240" w:lineRule="auto"/>
              <w:jc w:val="center"/>
            </w:pPr>
            <w:r/>
            <w:r>
              <w:rPr>
                <w:b/>
                <w:i w:val="0"/>
                <w:sz w:val="18"/>
              </w:rPr>
              <w:t>Observations restantes</w:t>
            </w:r>
          </w:p>
        </w:tc>
      </w:tr>
      <w:tr>
        <w:trPr>
          <w:cantSplit/>
        </w:trPr>
        <w:tc>
          <w:tcPr>
            <w:tcW w:type="dxa" w:w="4762"/>
            <w:vAlign w:val="center"/>
          </w:tcPr>
          <w:p>
            <w:pPr>
              <w:keepNext/>
              <w:spacing w:after="0" w:line="240" w:lineRule="auto"/>
              <w:jc w:val="left"/>
            </w:pPr>
            <w:r>
              <w:rPr>
                <w:b/>
              </w:rPr>
            </w:r>
            <w:r>
              <w:rPr>
                <w:b/>
                <w:i w:val="0"/>
                <w:sz w:val="18"/>
              </w:rPr>
              <w:t>Base initiale</w:t>
            </w:r>
          </w:p>
        </w:tc>
        <w:tc>
          <w:tcPr>
            <w:tcW w:type="dxa" w:w="793"/>
            <w:vAlign w:val="center"/>
          </w:tcPr>
          <w:p>
            <w:pPr>
              <w:keepNext/>
              <w:spacing w:after="0" w:line="240" w:lineRule="auto"/>
              <w:jc w:val="center"/>
            </w:pPr>
            <w:r>
              <w:rPr>
                <w:b/>
              </w:rPr>
            </w:r>
            <w:r>
              <w:rPr>
                <w:b/>
                <w:i w:val="0"/>
                <w:sz w:val="18"/>
              </w:rPr>
            </w:r>
          </w:p>
        </w:tc>
        <w:tc>
          <w:tcPr>
            <w:tcW w:type="dxa" w:w="1757"/>
            <w:vAlign w:val="center"/>
          </w:tcPr>
          <w:p>
            <w:pPr>
              <w:keepNext/>
              <w:spacing w:after="0" w:line="240" w:lineRule="auto"/>
              <w:jc w:val="center"/>
            </w:pPr>
            <w:r>
              <w:rPr>
                <w:b/>
              </w:rPr>
            </w:r>
            <w:r>
              <w:rPr>
                <w:b/>
                <w:i w:val="0"/>
                <w:sz w:val="18"/>
              </w:rPr>
              <w:t>–</w:t>
            </w:r>
          </w:p>
        </w:tc>
        <w:tc>
          <w:tcPr>
            <w:tcW w:type="dxa" w:w="1757"/>
            <w:vAlign w:val="center"/>
          </w:tcPr>
          <w:p>
            <w:pPr>
              <w:keepNext/>
              <w:spacing w:after="0" w:line="240" w:lineRule="auto"/>
              <w:jc w:val="center"/>
            </w:pPr>
            <w:r>
              <w:rPr>
                <w:b/>
              </w:rPr>
            </w:r>
            <w:r>
              <w:rPr>
                <w:b/>
                <w:i w:val="0"/>
                <w:sz w:val="18"/>
              </w:rPr>
              <w:t>4 198</w:t>
            </w:r>
          </w:p>
        </w:tc>
      </w:tr>
      <w:tr>
        <w:trPr>
          <w:cantSplit/>
        </w:trPr>
        <w:tc>
          <w:tcPr>
            <w:tcW w:type="dxa" w:w="4762"/>
            <w:vAlign w:val="center"/>
          </w:tcPr>
          <w:p>
            <w:pPr>
              <w:keepNext/>
              <w:spacing w:after="0" w:line="240" w:lineRule="auto"/>
              <w:jc w:val="left"/>
            </w:pPr>
            <w:r/>
            <w:r>
              <w:rPr>
                <w:b w:val="0"/>
                <w:i w:val="0"/>
                <w:sz w:val="18"/>
              </w:rPr>
              <w:t>Mensualités inférieures au 1er centile (35 €) ou supérieures au 99e centile (3 767 €)</w:t>
            </w:r>
          </w:p>
        </w:tc>
        <w:tc>
          <w:tcPr>
            <w:tcW w:type="dxa" w:w="793"/>
            <w:vAlign w:val="center"/>
          </w:tcPr>
          <w:p>
            <w:pPr>
              <w:keepNext/>
              <w:spacing w:after="0" w:line="240" w:lineRule="auto"/>
              <w:jc w:val="center"/>
            </w:pPr>
            <w:r/>
            <w:r>
              <w:rPr>
                <w:b w:val="0"/>
                <w:i w:val="0"/>
                <w:sz w:val="18"/>
              </w:rPr>
              <w:t>1</w:t>
            </w:r>
          </w:p>
        </w:tc>
        <w:tc>
          <w:tcPr>
            <w:tcW w:type="dxa" w:w="1757"/>
            <w:vAlign w:val="center"/>
          </w:tcPr>
          <w:p>
            <w:pPr>
              <w:keepNext/>
              <w:spacing w:after="0" w:line="240" w:lineRule="auto"/>
              <w:jc w:val="center"/>
            </w:pPr>
            <w:r/>
            <w:r>
              <w:rPr>
                <w:b w:val="0"/>
                <w:i w:val="0"/>
                <w:sz w:val="18"/>
              </w:rPr>
              <w:t>81</w:t>
            </w:r>
          </w:p>
        </w:tc>
        <w:tc>
          <w:tcPr>
            <w:tcW w:type="dxa" w:w="1757"/>
            <w:vAlign w:val="center"/>
          </w:tcPr>
          <w:p>
            <w:pPr>
              <w:keepNext/>
              <w:spacing w:after="0" w:line="240" w:lineRule="auto"/>
              <w:jc w:val="center"/>
            </w:pPr>
            <w:r/>
            <w:r>
              <w:rPr>
                <w:b w:val="0"/>
                <w:i w:val="0"/>
                <w:sz w:val="18"/>
              </w:rPr>
              <w:t>4 117</w:t>
            </w:r>
          </w:p>
        </w:tc>
      </w:tr>
      <w:tr>
        <w:trPr>
          <w:cantSplit/>
        </w:trPr>
        <w:tc>
          <w:tcPr>
            <w:tcW w:type="dxa" w:w="4762"/>
            <w:vAlign w:val="center"/>
          </w:tcPr>
          <w:p>
            <w:pPr>
              <w:keepNext/>
              <w:spacing w:after="0" w:line="240" w:lineRule="auto"/>
              <w:jc w:val="left"/>
            </w:pPr>
            <w:r/>
            <w:r>
              <w:rPr>
                <w:b w:val="0"/>
                <w:i w:val="0"/>
                <w:sz w:val="18"/>
              </w:rPr>
              <w:t>Âge de la personne de référence manquant</w:t>
            </w:r>
          </w:p>
        </w:tc>
        <w:tc>
          <w:tcPr>
            <w:tcW w:type="dxa" w:w="793"/>
            <w:vAlign w:val="center"/>
          </w:tcPr>
          <w:p>
            <w:pPr>
              <w:keepNext/>
              <w:spacing w:after="0" w:line="240" w:lineRule="auto"/>
              <w:jc w:val="center"/>
            </w:pPr>
            <w:r/>
            <w:r>
              <w:rPr>
                <w:b w:val="0"/>
                <w:i w:val="0"/>
                <w:sz w:val="18"/>
              </w:rPr>
              <w:t>2</w:t>
            </w:r>
          </w:p>
        </w:tc>
        <w:tc>
          <w:tcPr>
            <w:tcW w:type="dxa" w:w="1757"/>
            <w:vAlign w:val="center"/>
          </w:tcPr>
          <w:p>
            <w:pPr>
              <w:keepNext/>
              <w:spacing w:after="0" w:line="240" w:lineRule="auto"/>
              <w:jc w:val="center"/>
            </w:pPr>
            <w:r/>
            <w:r>
              <w:rPr>
                <w:b w:val="0"/>
                <w:i w:val="0"/>
                <w:sz w:val="18"/>
              </w:rPr>
              <w:t>2</w:t>
            </w:r>
          </w:p>
        </w:tc>
        <w:tc>
          <w:tcPr>
            <w:tcW w:type="dxa" w:w="1757"/>
            <w:vAlign w:val="center"/>
          </w:tcPr>
          <w:p>
            <w:pPr>
              <w:keepNext/>
              <w:spacing w:after="0" w:line="240" w:lineRule="auto"/>
              <w:jc w:val="center"/>
            </w:pPr>
            <w:r/>
            <w:r>
              <w:rPr>
                <w:b w:val="0"/>
                <w:i w:val="0"/>
                <w:sz w:val="18"/>
              </w:rPr>
              <w:t>4 115</w:t>
            </w:r>
          </w:p>
        </w:tc>
      </w:tr>
      <w:tr>
        <w:trPr>
          <w:cantSplit/>
        </w:trPr>
        <w:tc>
          <w:tcPr>
            <w:tcW w:type="dxa" w:w="4762"/>
            <w:vAlign w:val="center"/>
          </w:tcPr>
          <w:p>
            <w:pPr>
              <w:keepNext/>
              <w:spacing w:after="0" w:line="240" w:lineRule="auto"/>
              <w:jc w:val="left"/>
            </w:pPr>
            <w:r/>
            <w:r>
              <w:rPr>
                <w:b w:val="0"/>
                <w:i w:val="0"/>
                <w:sz w:val="18"/>
              </w:rPr>
              <w:t>Personne de référence âgée de moins de 18 ans</w:t>
            </w:r>
          </w:p>
        </w:tc>
        <w:tc>
          <w:tcPr>
            <w:tcW w:type="dxa" w:w="793"/>
            <w:vAlign w:val="center"/>
          </w:tcPr>
          <w:p>
            <w:pPr>
              <w:keepNext/>
              <w:spacing w:after="0" w:line="240" w:lineRule="auto"/>
              <w:jc w:val="center"/>
            </w:pPr>
            <w:r/>
            <w:r>
              <w:rPr>
                <w:b w:val="0"/>
                <w:i w:val="0"/>
                <w:sz w:val="18"/>
              </w:rPr>
              <w:t>2</w:t>
            </w:r>
          </w:p>
        </w:tc>
        <w:tc>
          <w:tcPr>
            <w:tcW w:type="dxa" w:w="1757"/>
            <w:vAlign w:val="center"/>
          </w:tcPr>
          <w:p>
            <w:pPr>
              <w:keepNext/>
              <w:spacing w:after="0" w:line="240" w:lineRule="auto"/>
              <w:jc w:val="center"/>
            </w:pPr>
            <w:r/>
            <w:r>
              <w:rPr>
                <w:b w:val="0"/>
                <w:i w:val="0"/>
                <w:sz w:val="18"/>
              </w:rPr>
              <w:t>1</w:t>
            </w:r>
          </w:p>
        </w:tc>
        <w:tc>
          <w:tcPr>
            <w:tcW w:type="dxa" w:w="1757"/>
            <w:vAlign w:val="center"/>
          </w:tcPr>
          <w:p>
            <w:pPr>
              <w:keepNext/>
              <w:spacing w:after="0" w:line="240" w:lineRule="auto"/>
              <w:jc w:val="center"/>
            </w:pPr>
            <w:r/>
            <w:r>
              <w:rPr>
                <w:b w:val="0"/>
                <w:i w:val="0"/>
                <w:sz w:val="18"/>
              </w:rPr>
              <w:t>4 114</w:t>
            </w:r>
          </w:p>
        </w:tc>
      </w:tr>
      <w:tr>
        <w:trPr>
          <w:cantSplit/>
        </w:trPr>
        <w:tc>
          <w:tcPr>
            <w:tcW w:type="dxa" w:w="4762"/>
            <w:vAlign w:val="center"/>
          </w:tcPr>
          <w:p>
            <w:pPr>
              <w:keepNext/>
              <w:spacing w:after="0" w:line="240" w:lineRule="auto"/>
              <w:jc w:val="left"/>
            </w:pPr>
            <w:r/>
            <w:r>
              <w:rPr>
                <w:b w:val="0"/>
                <w:i w:val="0"/>
                <w:sz w:val="18"/>
              </w:rPr>
              <w:t>Revenu mensuel inférieur à 500 €</w:t>
            </w:r>
          </w:p>
        </w:tc>
        <w:tc>
          <w:tcPr>
            <w:tcW w:type="dxa" w:w="793"/>
            <w:vAlign w:val="center"/>
          </w:tcPr>
          <w:p>
            <w:pPr>
              <w:keepNext/>
              <w:spacing w:after="0" w:line="240" w:lineRule="auto"/>
              <w:jc w:val="center"/>
            </w:pPr>
            <w:r/>
            <w:r>
              <w:rPr>
                <w:b w:val="0"/>
                <w:i w:val="0"/>
                <w:sz w:val="18"/>
              </w:rPr>
              <w:t>3</w:t>
            </w:r>
          </w:p>
        </w:tc>
        <w:tc>
          <w:tcPr>
            <w:tcW w:type="dxa" w:w="1757"/>
            <w:vAlign w:val="center"/>
          </w:tcPr>
          <w:p>
            <w:pPr>
              <w:keepNext/>
              <w:spacing w:after="0" w:line="240" w:lineRule="auto"/>
              <w:jc w:val="center"/>
            </w:pPr>
            <w:r/>
            <w:r>
              <w:rPr>
                <w:b w:val="0"/>
                <w:i w:val="0"/>
                <w:sz w:val="18"/>
              </w:rPr>
              <w:t>2</w:t>
            </w:r>
          </w:p>
        </w:tc>
        <w:tc>
          <w:tcPr>
            <w:tcW w:type="dxa" w:w="1757"/>
            <w:vAlign w:val="center"/>
          </w:tcPr>
          <w:p>
            <w:pPr>
              <w:keepNext/>
              <w:spacing w:after="0" w:line="240" w:lineRule="auto"/>
              <w:jc w:val="center"/>
            </w:pPr>
            <w:r/>
            <w:r>
              <w:rPr>
                <w:b w:val="0"/>
                <w:i w:val="0"/>
                <w:sz w:val="18"/>
              </w:rPr>
              <w:t>4 112</w:t>
            </w:r>
          </w:p>
        </w:tc>
      </w:tr>
      <w:tr>
        <w:trPr>
          <w:cantSplit/>
        </w:trPr>
        <w:tc>
          <w:tcPr>
            <w:tcW w:type="dxa" w:w="4762"/>
            <w:vAlign w:val="center"/>
          </w:tcPr>
          <w:p>
            <w:pPr>
              <w:keepNext/>
              <w:spacing w:after="0" w:line="240" w:lineRule="auto"/>
              <w:jc w:val="left"/>
            </w:pPr>
            <w:r/>
            <w:r>
              <w:rPr>
                <w:b w:val="0"/>
                <w:i w:val="0"/>
                <w:sz w:val="18"/>
              </w:rPr>
              <w:t>Mensualités supérieures au revenu mensuel</w:t>
            </w:r>
          </w:p>
        </w:tc>
        <w:tc>
          <w:tcPr>
            <w:tcW w:type="dxa" w:w="793"/>
            <w:vAlign w:val="center"/>
          </w:tcPr>
          <w:p>
            <w:pPr>
              <w:keepNext/>
              <w:spacing w:after="0" w:line="240" w:lineRule="auto"/>
              <w:jc w:val="center"/>
            </w:pPr>
            <w:r/>
            <w:r>
              <w:rPr>
                <w:b w:val="0"/>
                <w:i w:val="0"/>
                <w:sz w:val="18"/>
              </w:rPr>
              <w:t>3</w:t>
            </w:r>
          </w:p>
        </w:tc>
        <w:tc>
          <w:tcPr>
            <w:tcW w:type="dxa" w:w="1757"/>
            <w:vAlign w:val="center"/>
          </w:tcPr>
          <w:p>
            <w:pPr>
              <w:keepNext/>
              <w:spacing w:after="0" w:line="240" w:lineRule="auto"/>
              <w:jc w:val="center"/>
            </w:pPr>
            <w:r/>
            <w:r>
              <w:rPr>
                <w:b w:val="0"/>
                <w:i w:val="0"/>
                <w:sz w:val="18"/>
              </w:rPr>
              <w:t>3</w:t>
            </w:r>
          </w:p>
        </w:tc>
        <w:tc>
          <w:tcPr>
            <w:tcW w:type="dxa" w:w="1757"/>
            <w:vAlign w:val="center"/>
          </w:tcPr>
          <w:p>
            <w:pPr>
              <w:keepNext/>
              <w:spacing w:after="0" w:line="240" w:lineRule="auto"/>
              <w:jc w:val="center"/>
            </w:pPr>
            <w:r/>
            <w:r>
              <w:rPr>
                <w:b w:val="0"/>
                <w:i w:val="0"/>
                <w:sz w:val="18"/>
              </w:rPr>
              <w:t>4 109</w:t>
            </w:r>
          </w:p>
        </w:tc>
      </w:tr>
      <w:tr>
        <w:trPr>
          <w:cantSplit/>
        </w:trPr>
        <w:tc>
          <w:tcPr>
            <w:tcW w:type="dxa" w:w="4762"/>
            <w:vAlign w:val="center"/>
          </w:tcPr>
          <w:p>
            <w:pPr>
              <w:keepNext/>
              <w:spacing w:after="0" w:line="240" w:lineRule="auto"/>
              <w:jc w:val="left"/>
            </w:pPr>
            <w:r/>
            <w:r>
              <w:rPr>
                <w:b w:val="0"/>
                <w:i w:val="0"/>
                <w:sz w:val="18"/>
              </w:rPr>
              <w:t>CSP de la personne de référence manquante</w:t>
            </w:r>
          </w:p>
        </w:tc>
        <w:tc>
          <w:tcPr>
            <w:tcW w:type="dxa" w:w="793"/>
            <w:vAlign w:val="center"/>
          </w:tcPr>
          <w:p>
            <w:pPr>
              <w:keepNext/>
              <w:spacing w:after="0" w:line="240" w:lineRule="auto"/>
              <w:jc w:val="center"/>
            </w:pPr>
            <w:r/>
            <w:r>
              <w:rPr>
                <w:b w:val="0"/>
                <w:i w:val="0"/>
                <w:sz w:val="18"/>
              </w:rPr>
              <w:t>4</w:t>
            </w:r>
          </w:p>
        </w:tc>
        <w:tc>
          <w:tcPr>
            <w:tcW w:type="dxa" w:w="1757"/>
            <w:vAlign w:val="center"/>
          </w:tcPr>
          <w:p>
            <w:pPr>
              <w:keepNext/>
              <w:spacing w:after="0" w:line="240" w:lineRule="auto"/>
              <w:jc w:val="center"/>
            </w:pPr>
            <w:r/>
            <w:r>
              <w:rPr>
                <w:b w:val="0"/>
                <w:i w:val="0"/>
                <w:sz w:val="18"/>
              </w:rPr>
              <w:t>63</w:t>
            </w:r>
          </w:p>
        </w:tc>
        <w:tc>
          <w:tcPr>
            <w:tcW w:type="dxa" w:w="1757"/>
            <w:vAlign w:val="center"/>
          </w:tcPr>
          <w:p>
            <w:pPr>
              <w:keepNext/>
              <w:spacing w:after="0" w:line="240" w:lineRule="auto"/>
              <w:jc w:val="center"/>
            </w:pPr>
            <w:r/>
            <w:r>
              <w:rPr>
                <w:b w:val="0"/>
                <w:i w:val="0"/>
                <w:sz w:val="18"/>
              </w:rPr>
              <w:t>4 046</w:t>
            </w:r>
          </w:p>
        </w:tc>
      </w:tr>
      <w:tr>
        <w:trPr>
          <w:cantSplit/>
        </w:trPr>
        <w:tc>
          <w:tcPr>
            <w:tcW w:type="dxa" w:w="4762"/>
            <w:vAlign w:val="center"/>
          </w:tcPr>
          <w:p>
            <w:pPr>
              <w:keepNext/>
              <w:spacing w:after="0" w:line="240" w:lineRule="auto"/>
              <w:jc w:val="left"/>
            </w:pPr>
            <w:r/>
            <w:r>
              <w:rPr>
                <w:b w:val="0"/>
                <w:i w:val="0"/>
                <w:sz w:val="18"/>
              </w:rPr>
              <w:t>Type de logement manquant</w:t>
            </w:r>
          </w:p>
        </w:tc>
        <w:tc>
          <w:tcPr>
            <w:tcW w:type="dxa" w:w="793"/>
            <w:vAlign w:val="center"/>
          </w:tcPr>
          <w:p>
            <w:pPr>
              <w:keepNext/>
              <w:spacing w:after="0" w:line="240" w:lineRule="auto"/>
              <w:jc w:val="center"/>
            </w:pPr>
            <w:r/>
            <w:r>
              <w:rPr>
                <w:b w:val="0"/>
                <w:i w:val="0"/>
                <w:sz w:val="18"/>
              </w:rPr>
              <w:t>4</w:t>
            </w:r>
          </w:p>
        </w:tc>
        <w:tc>
          <w:tcPr>
            <w:tcW w:type="dxa" w:w="1757"/>
            <w:vAlign w:val="center"/>
          </w:tcPr>
          <w:p>
            <w:pPr>
              <w:keepNext/>
              <w:spacing w:after="0" w:line="240" w:lineRule="auto"/>
              <w:jc w:val="center"/>
            </w:pPr>
            <w:r/>
            <w:r>
              <w:rPr>
                <w:b w:val="0"/>
                <w:i w:val="0"/>
                <w:sz w:val="18"/>
              </w:rPr>
              <w:t>76</w:t>
            </w:r>
          </w:p>
        </w:tc>
        <w:tc>
          <w:tcPr>
            <w:tcW w:type="dxa" w:w="1757"/>
            <w:vAlign w:val="center"/>
          </w:tcPr>
          <w:p>
            <w:pPr>
              <w:keepNext/>
              <w:spacing w:after="0" w:line="240" w:lineRule="auto"/>
              <w:jc w:val="center"/>
            </w:pPr>
            <w:r/>
            <w:r>
              <w:rPr>
                <w:b w:val="0"/>
                <w:i w:val="0"/>
                <w:sz w:val="18"/>
              </w:rPr>
              <w:t>3 970</w:t>
            </w:r>
          </w:p>
        </w:tc>
      </w:tr>
      <w:tr>
        <w:trPr>
          <w:cantSplit/>
        </w:trPr>
        <w:tc>
          <w:tcPr>
            <w:tcW w:type="dxa" w:w="4762"/>
            <w:vAlign w:val="center"/>
          </w:tcPr>
          <w:p>
            <w:pPr>
              <w:keepNext/>
              <w:spacing w:after="0" w:line="240" w:lineRule="auto"/>
              <w:jc w:val="left"/>
            </w:pPr>
            <w:r/>
            <w:r>
              <w:rPr>
                <w:b w:val="0"/>
                <w:i w:val="0"/>
                <w:sz w:val="18"/>
              </w:rPr>
              <w:t>Habitation précaire ou autre type de logement</w:t>
            </w:r>
          </w:p>
        </w:tc>
        <w:tc>
          <w:tcPr>
            <w:tcW w:type="dxa" w:w="793"/>
            <w:vAlign w:val="center"/>
          </w:tcPr>
          <w:p>
            <w:pPr>
              <w:keepNext/>
              <w:spacing w:after="0" w:line="240" w:lineRule="auto"/>
              <w:jc w:val="center"/>
            </w:pPr>
            <w:r/>
            <w:r>
              <w:rPr>
                <w:b w:val="0"/>
                <w:i w:val="0"/>
                <w:sz w:val="18"/>
              </w:rPr>
              <w:t>4</w:t>
            </w:r>
          </w:p>
        </w:tc>
        <w:tc>
          <w:tcPr>
            <w:tcW w:type="dxa" w:w="1757"/>
            <w:vAlign w:val="center"/>
          </w:tcPr>
          <w:p>
            <w:pPr>
              <w:keepNext/>
              <w:spacing w:after="0" w:line="240" w:lineRule="auto"/>
              <w:jc w:val="center"/>
            </w:pPr>
            <w:r/>
            <w:r>
              <w:rPr>
                <w:b w:val="0"/>
                <w:i w:val="0"/>
                <w:sz w:val="18"/>
              </w:rPr>
              <w:t>8</w:t>
            </w:r>
          </w:p>
        </w:tc>
        <w:tc>
          <w:tcPr>
            <w:tcW w:type="dxa" w:w="1757"/>
            <w:vAlign w:val="center"/>
          </w:tcPr>
          <w:p>
            <w:pPr>
              <w:keepNext/>
              <w:spacing w:after="0" w:line="240" w:lineRule="auto"/>
              <w:jc w:val="center"/>
            </w:pPr>
            <w:r/>
            <w:r>
              <w:rPr>
                <w:b w:val="0"/>
                <w:i w:val="0"/>
                <w:sz w:val="18"/>
              </w:rPr>
              <w:t>3 962</w:t>
            </w:r>
          </w:p>
        </w:tc>
      </w:tr>
      <w:tr>
        <w:trPr>
          <w:cantSplit/>
        </w:trPr>
        <w:tc>
          <w:tcPr>
            <w:tcW w:type="dxa" w:w="4762"/>
            <w:vAlign w:val="center"/>
          </w:tcPr>
          <w:p>
            <w:pPr>
              <w:spacing w:after="0" w:line="240" w:lineRule="auto"/>
              <w:jc w:val="left"/>
            </w:pPr>
            <w:r>
              <w:rPr>
                <w:b/>
              </w:rPr>
            </w:r>
            <w:r>
              <w:rPr>
                <w:b/>
                <w:i w:val="0"/>
                <w:sz w:val="18"/>
              </w:rPr>
              <w:t>Échantillon de travail</w:t>
            </w:r>
          </w:p>
        </w:tc>
        <w:tc>
          <w:tcPr>
            <w:tcW w:type="dxa" w:w="793"/>
            <w:vAlign w:val="center"/>
          </w:tcPr>
          <w:p>
            <w:pPr>
              <w:spacing w:after="0" w:line="240" w:lineRule="auto"/>
              <w:jc w:val="center"/>
            </w:pPr>
            <w:r>
              <w:rPr>
                <w:b/>
              </w:rPr>
            </w:r>
            <w:r>
              <w:rPr>
                <w:b/>
                <w:i w:val="0"/>
                <w:sz w:val="18"/>
              </w:rPr>
            </w:r>
          </w:p>
        </w:tc>
        <w:tc>
          <w:tcPr>
            <w:tcW w:type="dxa" w:w="1757"/>
            <w:vAlign w:val="center"/>
          </w:tcPr>
          <w:p>
            <w:pPr>
              <w:spacing w:after="0" w:line="240" w:lineRule="auto"/>
              <w:jc w:val="center"/>
            </w:pPr>
            <w:r>
              <w:rPr>
                <w:b/>
              </w:rPr>
            </w:r>
            <w:r>
              <w:rPr>
                <w:b/>
                <w:i w:val="0"/>
                <w:sz w:val="18"/>
              </w:rPr>
              <w:t>236</w:t>
            </w:r>
          </w:p>
        </w:tc>
        <w:tc>
          <w:tcPr>
            <w:tcW w:type="dxa" w:w="1757"/>
            <w:vAlign w:val="center"/>
          </w:tcPr>
          <w:p>
            <w:pPr>
              <w:spacing w:after="0" w:line="240" w:lineRule="auto"/>
              <w:jc w:val="center"/>
            </w:pPr>
            <w:r>
              <w:rPr>
                <w:b/>
              </w:rPr>
            </w:r>
            <w:r>
              <w:rPr>
                <w:b/>
                <w:i w:val="0"/>
                <w:sz w:val="18"/>
              </w:rPr>
              <w:t>3 962</w:t>
            </w:r>
          </w:p>
        </w:tc>
      </w:tr>
    </w:tbl>
    <w:p>
      <w:pPr>
        <w:spacing w:after="200"/>
        <w:jc w:val="left"/>
      </w:pPr>
      <w:r>
        <w:rPr>
          <w:i/>
          <w:sz w:val="18"/>
        </w:rPr>
        <w:t>Source : INSEE, enquête SRCV 2015, base SRCV1_menage. Lecture : les nombres d’observations supprimées peuvent être inférieurs aux nombres de valeurs manquantes de la base brute, car certains ménages avaient déjà été supprimés à une étape précédente.</w:t>
      </w:r>
    </w:p>
    <w:p>
      <w:pPr>
        <w:jc w:val="both"/>
      </w:pPr>
      <w:r>
        <w:t xml:space="preserve">Au total, 236 observations ont été supprimées. </w:t>
      </w:r>
      <w:r>
        <w:rPr>
          <w:b/>
        </w:rPr>
        <w:t>L’échantillon de travail compte 3 962 ménages</w:t>
      </w:r>
      <w:r>
        <w:t>, soit 94,4 % de la base initiale. Toute la suite de l’analyse est menée sur cet échantillon. Le revenu n’est pas déclaré pour 460 de ces ménages (11,6 %), qui forment la tranche « revenu non déclaré ».</w:t>
      </w:r>
    </w:p>
    <w:p>
      <w:pPr>
        <w:pStyle w:val="Heading2"/>
      </w:pPr>
      <w:r>
        <w:t>3. Statistiques descriptives univariées</w:t>
      </w:r>
    </w:p>
    <w:p>
      <w:pPr>
        <w:jc w:val="both"/>
      </w:pPr>
      <w:r>
        <w:t>Toutes les statistiques de cette section et de la suivante portent sur l’échantillon de travail (3 962 ménages).</w:t>
      </w:r>
    </w:p>
    <w:p>
      <w:pPr>
        <w:pStyle w:val="Heading3"/>
      </w:pPr>
      <w:r>
        <w:t>3.1. La variable expliquée : mensualités ou logarithme des mensualités ?</w:t>
      </w:r>
    </w:p>
    <w:p>
      <w:pPr>
        <w:keepNext/>
        <w:spacing w:after="60"/>
        <w:jc w:val="left"/>
      </w:pPr>
      <w:r>
        <w:rPr>
          <w:b/>
          <w:sz w:val="21"/>
        </w:rPr>
        <w:t>Tableau 6 – Distribution des mensualités et de leur logarithme</w:t>
      </w:r>
    </w:p>
    <w:tbl>
      <w:tblPr>
        <w:tblW w:type="dxa" w:w="7938"/>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2835"/>
        <w:gridCol w:w="2551"/>
        <w:gridCol w:w="2551"/>
      </w:tblGrid>
      <w:tr>
        <w:trPr>
          <w:cantSplit/>
          <w:tblHeader/>
        </w:trPr>
        <w:tc>
          <w:tcPr>
            <w:tcW w:type="dxa" w:w="2835"/>
            <w:shd w:val="clear" w:color="auto" w:fill="E8ECF2"/>
            <w:vAlign w:val="center"/>
          </w:tcPr>
          <w:p>
            <w:pPr>
              <w:keepNext/>
              <w:spacing w:after="0" w:line="240" w:lineRule="auto"/>
              <w:jc w:val="left"/>
            </w:pPr>
            <w:r/>
            <w:r>
              <w:rPr>
                <w:b/>
                <w:i w:val="0"/>
                <w:sz w:val="18"/>
              </w:rPr>
              <w:t>Statistique</w:t>
            </w:r>
          </w:p>
        </w:tc>
        <w:tc>
          <w:tcPr>
            <w:tcW w:type="dxa" w:w="2551"/>
            <w:shd w:val="clear" w:color="auto" w:fill="E8ECF2"/>
            <w:vAlign w:val="center"/>
          </w:tcPr>
          <w:p>
            <w:pPr>
              <w:keepNext/>
              <w:spacing w:after="0" w:line="240" w:lineRule="auto"/>
              <w:jc w:val="center"/>
            </w:pPr>
            <w:r/>
            <w:r>
              <w:rPr>
                <w:b/>
                <w:i w:val="0"/>
                <w:sz w:val="18"/>
              </w:rPr>
              <w:t>Mensualités (euros)</w:t>
            </w:r>
          </w:p>
        </w:tc>
        <w:tc>
          <w:tcPr>
            <w:tcW w:type="dxa" w:w="2551"/>
            <w:shd w:val="clear" w:color="auto" w:fill="E8ECF2"/>
            <w:vAlign w:val="center"/>
          </w:tcPr>
          <w:p>
            <w:pPr>
              <w:keepNext/>
              <w:spacing w:after="0" w:line="240" w:lineRule="auto"/>
              <w:jc w:val="center"/>
            </w:pPr>
            <w:r/>
            <w:r>
              <w:rPr>
                <w:b/>
                <w:i w:val="0"/>
                <w:sz w:val="18"/>
              </w:rPr>
              <w:t>Logarithme des mensualités</w:t>
            </w:r>
          </w:p>
        </w:tc>
      </w:tr>
      <w:tr>
        <w:trPr>
          <w:cantSplit/>
        </w:trPr>
        <w:tc>
          <w:tcPr>
            <w:tcW w:type="dxa" w:w="2835"/>
            <w:vAlign w:val="center"/>
          </w:tcPr>
          <w:p>
            <w:pPr>
              <w:keepNext/>
              <w:spacing w:after="0" w:line="240" w:lineRule="auto"/>
              <w:jc w:val="left"/>
            </w:pPr>
            <w:r/>
            <w:r>
              <w:rPr>
                <w:b w:val="0"/>
                <w:i w:val="0"/>
                <w:sz w:val="18"/>
              </w:rPr>
              <w:t>Observations</w:t>
            </w:r>
          </w:p>
        </w:tc>
        <w:tc>
          <w:tcPr>
            <w:tcW w:type="dxa" w:w="2551"/>
            <w:vAlign w:val="center"/>
          </w:tcPr>
          <w:p>
            <w:pPr>
              <w:keepNext/>
              <w:spacing w:after="0" w:line="240" w:lineRule="auto"/>
              <w:jc w:val="center"/>
            </w:pPr>
            <w:r/>
            <w:r>
              <w:rPr>
                <w:b w:val="0"/>
                <w:i w:val="0"/>
                <w:sz w:val="18"/>
              </w:rPr>
              <w:t>3 962</w:t>
            </w:r>
          </w:p>
        </w:tc>
        <w:tc>
          <w:tcPr>
            <w:tcW w:type="dxa" w:w="2551"/>
            <w:vAlign w:val="center"/>
          </w:tcPr>
          <w:p>
            <w:pPr>
              <w:keepNext/>
              <w:spacing w:after="0" w:line="240" w:lineRule="auto"/>
              <w:jc w:val="center"/>
            </w:pPr>
            <w:r/>
            <w:r>
              <w:rPr>
                <w:b w:val="0"/>
                <w:i w:val="0"/>
                <w:sz w:val="18"/>
              </w:rPr>
              <w:t>3 962</w:t>
            </w:r>
          </w:p>
        </w:tc>
      </w:tr>
      <w:tr>
        <w:trPr>
          <w:cantSplit/>
        </w:trPr>
        <w:tc>
          <w:tcPr>
            <w:tcW w:type="dxa" w:w="2835"/>
            <w:vAlign w:val="center"/>
          </w:tcPr>
          <w:p>
            <w:pPr>
              <w:keepNext/>
              <w:spacing w:after="0" w:line="240" w:lineRule="auto"/>
              <w:jc w:val="left"/>
            </w:pPr>
            <w:r/>
            <w:r>
              <w:rPr>
                <w:b w:val="0"/>
                <w:i w:val="0"/>
                <w:sz w:val="18"/>
              </w:rPr>
              <w:t>Moyenne</w:t>
            </w:r>
          </w:p>
        </w:tc>
        <w:tc>
          <w:tcPr>
            <w:tcW w:type="dxa" w:w="2551"/>
            <w:vAlign w:val="center"/>
          </w:tcPr>
          <w:p>
            <w:pPr>
              <w:keepNext/>
              <w:spacing w:after="0" w:line="240" w:lineRule="auto"/>
              <w:jc w:val="center"/>
            </w:pPr>
            <w:r/>
            <w:r>
              <w:rPr>
                <w:b w:val="0"/>
                <w:i w:val="0"/>
                <w:sz w:val="18"/>
              </w:rPr>
              <w:t>690,1</w:t>
            </w:r>
          </w:p>
        </w:tc>
        <w:tc>
          <w:tcPr>
            <w:tcW w:type="dxa" w:w="2551"/>
            <w:vAlign w:val="center"/>
          </w:tcPr>
          <w:p>
            <w:pPr>
              <w:keepNext/>
              <w:spacing w:after="0" w:line="240" w:lineRule="auto"/>
              <w:jc w:val="center"/>
            </w:pPr>
            <w:r/>
            <w:r>
              <w:rPr>
                <w:b w:val="0"/>
                <w:i w:val="0"/>
                <w:sz w:val="18"/>
              </w:rPr>
              <w:t>6,189</w:t>
            </w:r>
          </w:p>
        </w:tc>
      </w:tr>
      <w:tr>
        <w:trPr>
          <w:cantSplit/>
        </w:trPr>
        <w:tc>
          <w:tcPr>
            <w:tcW w:type="dxa" w:w="2835"/>
            <w:vAlign w:val="center"/>
          </w:tcPr>
          <w:p>
            <w:pPr>
              <w:keepNext/>
              <w:spacing w:after="0" w:line="240" w:lineRule="auto"/>
              <w:jc w:val="left"/>
            </w:pPr>
            <w:r/>
            <w:r>
              <w:rPr>
                <w:b w:val="0"/>
                <w:i w:val="0"/>
                <w:sz w:val="18"/>
              </w:rPr>
              <w:t>Écart-type</w:t>
            </w:r>
          </w:p>
        </w:tc>
        <w:tc>
          <w:tcPr>
            <w:tcW w:type="dxa" w:w="2551"/>
            <w:vAlign w:val="center"/>
          </w:tcPr>
          <w:p>
            <w:pPr>
              <w:keepNext/>
              <w:spacing w:after="0" w:line="240" w:lineRule="auto"/>
              <w:jc w:val="center"/>
            </w:pPr>
            <w:r/>
            <w:r>
              <w:rPr>
                <w:b w:val="0"/>
                <w:i w:val="0"/>
                <w:sz w:val="18"/>
              </w:rPr>
              <w:t>562,1</w:t>
            </w:r>
          </w:p>
        </w:tc>
        <w:tc>
          <w:tcPr>
            <w:tcW w:type="dxa" w:w="2551"/>
            <w:vAlign w:val="center"/>
          </w:tcPr>
          <w:p>
            <w:pPr>
              <w:keepNext/>
              <w:spacing w:after="0" w:line="240" w:lineRule="auto"/>
              <w:jc w:val="center"/>
            </w:pPr>
            <w:r/>
            <w:r>
              <w:rPr>
                <w:b w:val="0"/>
                <w:i w:val="0"/>
                <w:sz w:val="18"/>
              </w:rPr>
              <w:t>0,899</w:t>
            </w:r>
          </w:p>
        </w:tc>
      </w:tr>
      <w:tr>
        <w:trPr>
          <w:cantSplit/>
        </w:trPr>
        <w:tc>
          <w:tcPr>
            <w:tcW w:type="dxa" w:w="2835"/>
            <w:vAlign w:val="center"/>
          </w:tcPr>
          <w:p>
            <w:pPr>
              <w:keepNext/>
              <w:spacing w:after="0" w:line="240" w:lineRule="auto"/>
              <w:jc w:val="left"/>
            </w:pPr>
            <w:r/>
            <w:r>
              <w:rPr>
                <w:b w:val="0"/>
                <w:i w:val="0"/>
                <w:sz w:val="18"/>
              </w:rPr>
              <w:t>Minimum</w:t>
            </w:r>
          </w:p>
        </w:tc>
        <w:tc>
          <w:tcPr>
            <w:tcW w:type="dxa" w:w="2551"/>
            <w:vAlign w:val="center"/>
          </w:tcPr>
          <w:p>
            <w:pPr>
              <w:keepNext/>
              <w:spacing w:after="0" w:line="240" w:lineRule="auto"/>
              <w:jc w:val="center"/>
            </w:pPr>
            <w:r/>
            <w:r>
              <w:rPr>
                <w:b w:val="0"/>
                <w:i w:val="0"/>
                <w:sz w:val="18"/>
              </w:rPr>
              <w:t>35</w:t>
            </w:r>
          </w:p>
        </w:tc>
        <w:tc>
          <w:tcPr>
            <w:tcW w:type="dxa" w:w="2551"/>
            <w:vAlign w:val="center"/>
          </w:tcPr>
          <w:p>
            <w:pPr>
              <w:keepNext/>
              <w:spacing w:after="0" w:line="240" w:lineRule="auto"/>
              <w:jc w:val="center"/>
            </w:pPr>
            <w:r/>
            <w:r>
              <w:rPr>
                <w:b w:val="0"/>
                <w:i w:val="0"/>
                <w:sz w:val="18"/>
              </w:rPr>
              <w:t>3,555</w:t>
            </w:r>
          </w:p>
        </w:tc>
      </w:tr>
      <w:tr>
        <w:trPr>
          <w:cantSplit/>
        </w:trPr>
        <w:tc>
          <w:tcPr>
            <w:tcW w:type="dxa" w:w="2835"/>
            <w:vAlign w:val="center"/>
          </w:tcPr>
          <w:p>
            <w:pPr>
              <w:keepNext/>
              <w:spacing w:after="0" w:line="240" w:lineRule="auto"/>
              <w:jc w:val="left"/>
            </w:pPr>
            <w:r/>
            <w:r>
              <w:rPr>
                <w:b w:val="0"/>
                <w:i w:val="0"/>
                <w:sz w:val="18"/>
              </w:rPr>
              <w:t>1er centile</w:t>
            </w:r>
          </w:p>
        </w:tc>
        <w:tc>
          <w:tcPr>
            <w:tcW w:type="dxa" w:w="2551"/>
            <w:vAlign w:val="center"/>
          </w:tcPr>
          <w:p>
            <w:pPr>
              <w:keepNext/>
              <w:spacing w:after="0" w:line="240" w:lineRule="auto"/>
              <w:jc w:val="center"/>
            </w:pPr>
            <w:r/>
            <w:r>
              <w:rPr>
                <w:b w:val="0"/>
                <w:i w:val="0"/>
                <w:sz w:val="18"/>
              </w:rPr>
              <w:t>50</w:t>
            </w:r>
          </w:p>
        </w:tc>
        <w:tc>
          <w:tcPr>
            <w:tcW w:type="dxa" w:w="2551"/>
            <w:vAlign w:val="center"/>
          </w:tcPr>
          <w:p>
            <w:pPr>
              <w:keepNext/>
              <w:spacing w:after="0" w:line="240" w:lineRule="auto"/>
              <w:jc w:val="center"/>
            </w:pPr>
            <w:r/>
            <w:r>
              <w:rPr>
                <w:b w:val="0"/>
                <w:i w:val="0"/>
                <w:sz w:val="18"/>
              </w:rPr>
              <w:t>3,912</w:t>
            </w:r>
          </w:p>
        </w:tc>
      </w:tr>
      <w:tr>
        <w:trPr>
          <w:cantSplit/>
        </w:trPr>
        <w:tc>
          <w:tcPr>
            <w:tcW w:type="dxa" w:w="2835"/>
            <w:vAlign w:val="center"/>
          </w:tcPr>
          <w:p>
            <w:pPr>
              <w:keepNext/>
              <w:spacing w:after="0" w:line="240" w:lineRule="auto"/>
              <w:jc w:val="left"/>
            </w:pPr>
            <w:r/>
            <w:r>
              <w:rPr>
                <w:b w:val="0"/>
                <w:i w:val="0"/>
                <w:sz w:val="18"/>
              </w:rPr>
              <w:t>5e centile</w:t>
            </w:r>
          </w:p>
        </w:tc>
        <w:tc>
          <w:tcPr>
            <w:tcW w:type="dxa" w:w="2551"/>
            <w:vAlign w:val="center"/>
          </w:tcPr>
          <w:p>
            <w:pPr>
              <w:keepNext/>
              <w:spacing w:after="0" w:line="240" w:lineRule="auto"/>
              <w:jc w:val="center"/>
            </w:pPr>
            <w:r/>
            <w:r>
              <w:rPr>
                <w:b w:val="0"/>
                <w:i w:val="0"/>
                <w:sz w:val="18"/>
              </w:rPr>
              <w:t>95</w:t>
            </w:r>
          </w:p>
        </w:tc>
        <w:tc>
          <w:tcPr>
            <w:tcW w:type="dxa" w:w="2551"/>
            <w:vAlign w:val="center"/>
          </w:tcPr>
          <w:p>
            <w:pPr>
              <w:keepNext/>
              <w:spacing w:after="0" w:line="240" w:lineRule="auto"/>
              <w:jc w:val="center"/>
            </w:pPr>
            <w:r/>
            <w:r>
              <w:rPr>
                <w:b w:val="0"/>
                <w:i w:val="0"/>
                <w:sz w:val="18"/>
              </w:rPr>
              <w:t>4,554</w:t>
            </w:r>
          </w:p>
        </w:tc>
      </w:tr>
      <w:tr>
        <w:trPr>
          <w:cantSplit/>
        </w:trPr>
        <w:tc>
          <w:tcPr>
            <w:tcW w:type="dxa" w:w="2835"/>
            <w:vAlign w:val="center"/>
          </w:tcPr>
          <w:p>
            <w:pPr>
              <w:keepNext/>
              <w:spacing w:after="0" w:line="240" w:lineRule="auto"/>
              <w:jc w:val="left"/>
            </w:pPr>
            <w:r/>
            <w:r>
              <w:rPr>
                <w:b w:val="0"/>
                <w:i w:val="0"/>
                <w:sz w:val="18"/>
              </w:rPr>
              <w:t>1er décile</w:t>
            </w:r>
          </w:p>
        </w:tc>
        <w:tc>
          <w:tcPr>
            <w:tcW w:type="dxa" w:w="2551"/>
            <w:vAlign w:val="center"/>
          </w:tcPr>
          <w:p>
            <w:pPr>
              <w:keepNext/>
              <w:spacing w:after="0" w:line="240" w:lineRule="auto"/>
              <w:jc w:val="center"/>
            </w:pPr>
            <w:r/>
            <w:r>
              <w:rPr>
                <w:b w:val="0"/>
                <w:i w:val="0"/>
                <w:sz w:val="18"/>
              </w:rPr>
              <w:t>135</w:t>
            </w:r>
          </w:p>
        </w:tc>
        <w:tc>
          <w:tcPr>
            <w:tcW w:type="dxa" w:w="2551"/>
            <w:vAlign w:val="center"/>
          </w:tcPr>
          <w:p>
            <w:pPr>
              <w:keepNext/>
              <w:spacing w:after="0" w:line="240" w:lineRule="auto"/>
              <w:jc w:val="center"/>
            </w:pPr>
            <w:r/>
            <w:r>
              <w:rPr>
                <w:b w:val="0"/>
                <w:i w:val="0"/>
                <w:sz w:val="18"/>
              </w:rPr>
              <w:t>4,905</w:t>
            </w:r>
          </w:p>
        </w:tc>
      </w:tr>
      <w:tr>
        <w:trPr>
          <w:cantSplit/>
        </w:trPr>
        <w:tc>
          <w:tcPr>
            <w:tcW w:type="dxa" w:w="2835"/>
            <w:vAlign w:val="center"/>
          </w:tcPr>
          <w:p>
            <w:pPr>
              <w:keepNext/>
              <w:spacing w:after="0" w:line="240" w:lineRule="auto"/>
              <w:jc w:val="left"/>
            </w:pPr>
            <w:r/>
            <w:r>
              <w:rPr>
                <w:b w:val="0"/>
                <w:i w:val="0"/>
                <w:sz w:val="18"/>
              </w:rPr>
              <w:t>1er quartile</w:t>
            </w:r>
          </w:p>
        </w:tc>
        <w:tc>
          <w:tcPr>
            <w:tcW w:type="dxa" w:w="2551"/>
            <w:vAlign w:val="center"/>
          </w:tcPr>
          <w:p>
            <w:pPr>
              <w:keepNext/>
              <w:spacing w:after="0" w:line="240" w:lineRule="auto"/>
              <w:jc w:val="center"/>
            </w:pPr>
            <w:r/>
            <w:r>
              <w:rPr>
                <w:b w:val="0"/>
                <w:i w:val="0"/>
                <w:sz w:val="18"/>
              </w:rPr>
              <w:t>260</w:t>
            </w:r>
          </w:p>
        </w:tc>
        <w:tc>
          <w:tcPr>
            <w:tcW w:type="dxa" w:w="2551"/>
            <w:vAlign w:val="center"/>
          </w:tcPr>
          <w:p>
            <w:pPr>
              <w:keepNext/>
              <w:spacing w:after="0" w:line="240" w:lineRule="auto"/>
              <w:jc w:val="center"/>
            </w:pPr>
            <w:r/>
            <w:r>
              <w:rPr>
                <w:b w:val="0"/>
                <w:i w:val="0"/>
                <w:sz w:val="18"/>
              </w:rPr>
              <w:t>5,561</w:t>
            </w:r>
          </w:p>
        </w:tc>
      </w:tr>
      <w:tr>
        <w:trPr>
          <w:cantSplit/>
        </w:trPr>
        <w:tc>
          <w:tcPr>
            <w:tcW w:type="dxa" w:w="2835"/>
            <w:vAlign w:val="center"/>
          </w:tcPr>
          <w:p>
            <w:pPr>
              <w:keepNext/>
              <w:spacing w:after="0" w:line="240" w:lineRule="auto"/>
              <w:jc w:val="left"/>
            </w:pPr>
            <w:r/>
            <w:r>
              <w:rPr>
                <w:b w:val="0"/>
                <w:i w:val="0"/>
                <w:sz w:val="18"/>
              </w:rPr>
              <w:t>Médiane</w:t>
            </w:r>
          </w:p>
        </w:tc>
        <w:tc>
          <w:tcPr>
            <w:tcW w:type="dxa" w:w="2551"/>
            <w:vAlign w:val="center"/>
          </w:tcPr>
          <w:p>
            <w:pPr>
              <w:keepNext/>
              <w:spacing w:after="0" w:line="240" w:lineRule="auto"/>
              <w:jc w:val="center"/>
            </w:pPr>
            <w:r/>
            <w:r>
              <w:rPr>
                <w:b w:val="0"/>
                <w:i w:val="0"/>
                <w:sz w:val="18"/>
              </w:rPr>
              <w:t>560</w:t>
            </w:r>
          </w:p>
        </w:tc>
        <w:tc>
          <w:tcPr>
            <w:tcW w:type="dxa" w:w="2551"/>
            <w:vAlign w:val="center"/>
          </w:tcPr>
          <w:p>
            <w:pPr>
              <w:keepNext/>
              <w:spacing w:after="0" w:line="240" w:lineRule="auto"/>
              <w:jc w:val="center"/>
            </w:pPr>
            <w:r/>
            <w:r>
              <w:rPr>
                <w:b w:val="0"/>
                <w:i w:val="0"/>
                <w:sz w:val="18"/>
              </w:rPr>
              <w:t>6,328</w:t>
            </w:r>
          </w:p>
        </w:tc>
      </w:tr>
      <w:tr>
        <w:trPr>
          <w:cantSplit/>
        </w:trPr>
        <w:tc>
          <w:tcPr>
            <w:tcW w:type="dxa" w:w="2835"/>
            <w:vAlign w:val="center"/>
          </w:tcPr>
          <w:p>
            <w:pPr>
              <w:keepNext/>
              <w:spacing w:after="0" w:line="240" w:lineRule="auto"/>
              <w:jc w:val="left"/>
            </w:pPr>
            <w:r/>
            <w:r>
              <w:rPr>
                <w:b w:val="0"/>
                <w:i w:val="0"/>
                <w:sz w:val="18"/>
              </w:rPr>
              <w:t>3e quartile</w:t>
            </w:r>
          </w:p>
        </w:tc>
        <w:tc>
          <w:tcPr>
            <w:tcW w:type="dxa" w:w="2551"/>
            <w:vAlign w:val="center"/>
          </w:tcPr>
          <w:p>
            <w:pPr>
              <w:keepNext/>
              <w:spacing w:after="0" w:line="240" w:lineRule="auto"/>
              <w:jc w:val="center"/>
            </w:pPr>
            <w:r/>
            <w:r>
              <w:rPr>
                <w:b w:val="0"/>
                <w:i w:val="0"/>
                <w:sz w:val="18"/>
              </w:rPr>
              <w:t>961</w:t>
            </w:r>
          </w:p>
        </w:tc>
        <w:tc>
          <w:tcPr>
            <w:tcW w:type="dxa" w:w="2551"/>
            <w:vAlign w:val="center"/>
          </w:tcPr>
          <w:p>
            <w:pPr>
              <w:keepNext/>
              <w:spacing w:after="0" w:line="240" w:lineRule="auto"/>
              <w:jc w:val="center"/>
            </w:pPr>
            <w:r/>
            <w:r>
              <w:rPr>
                <w:b w:val="0"/>
                <w:i w:val="0"/>
                <w:sz w:val="18"/>
              </w:rPr>
              <w:t>6,868</w:t>
            </w:r>
          </w:p>
        </w:tc>
      </w:tr>
      <w:tr>
        <w:trPr>
          <w:cantSplit/>
        </w:trPr>
        <w:tc>
          <w:tcPr>
            <w:tcW w:type="dxa" w:w="2835"/>
            <w:vAlign w:val="center"/>
          </w:tcPr>
          <w:p>
            <w:pPr>
              <w:keepNext/>
              <w:spacing w:after="0" w:line="240" w:lineRule="auto"/>
              <w:jc w:val="left"/>
            </w:pPr>
            <w:r/>
            <w:r>
              <w:rPr>
                <w:b w:val="0"/>
                <w:i w:val="0"/>
                <w:sz w:val="18"/>
              </w:rPr>
              <w:t>9e décile</w:t>
            </w:r>
          </w:p>
        </w:tc>
        <w:tc>
          <w:tcPr>
            <w:tcW w:type="dxa" w:w="2551"/>
            <w:vAlign w:val="center"/>
          </w:tcPr>
          <w:p>
            <w:pPr>
              <w:keepNext/>
              <w:spacing w:after="0" w:line="240" w:lineRule="auto"/>
              <w:jc w:val="center"/>
            </w:pPr>
            <w:r/>
            <w:r>
              <w:rPr>
                <w:b w:val="0"/>
                <w:i w:val="0"/>
                <w:sz w:val="18"/>
              </w:rPr>
              <w:t>1 370</w:t>
            </w:r>
          </w:p>
        </w:tc>
        <w:tc>
          <w:tcPr>
            <w:tcW w:type="dxa" w:w="2551"/>
            <w:vAlign w:val="center"/>
          </w:tcPr>
          <w:p>
            <w:pPr>
              <w:keepNext/>
              <w:spacing w:after="0" w:line="240" w:lineRule="auto"/>
              <w:jc w:val="center"/>
            </w:pPr>
            <w:r/>
            <w:r>
              <w:rPr>
                <w:b w:val="0"/>
                <w:i w:val="0"/>
                <w:sz w:val="18"/>
              </w:rPr>
              <w:t>7,223</w:t>
            </w:r>
          </w:p>
        </w:tc>
      </w:tr>
      <w:tr>
        <w:trPr>
          <w:cantSplit/>
        </w:trPr>
        <w:tc>
          <w:tcPr>
            <w:tcW w:type="dxa" w:w="2835"/>
            <w:vAlign w:val="center"/>
          </w:tcPr>
          <w:p>
            <w:pPr>
              <w:keepNext/>
              <w:spacing w:after="0" w:line="240" w:lineRule="auto"/>
              <w:jc w:val="left"/>
            </w:pPr>
            <w:r/>
            <w:r>
              <w:rPr>
                <w:b w:val="0"/>
                <w:i w:val="0"/>
                <w:sz w:val="18"/>
              </w:rPr>
              <w:t>95e centile</w:t>
            </w:r>
          </w:p>
        </w:tc>
        <w:tc>
          <w:tcPr>
            <w:tcW w:type="dxa" w:w="2551"/>
            <w:vAlign w:val="center"/>
          </w:tcPr>
          <w:p>
            <w:pPr>
              <w:keepNext/>
              <w:spacing w:after="0" w:line="240" w:lineRule="auto"/>
              <w:jc w:val="center"/>
            </w:pPr>
            <w:r/>
            <w:r>
              <w:rPr>
                <w:b w:val="0"/>
                <w:i w:val="0"/>
                <w:sz w:val="18"/>
              </w:rPr>
              <w:t>1 710</w:t>
            </w:r>
          </w:p>
        </w:tc>
        <w:tc>
          <w:tcPr>
            <w:tcW w:type="dxa" w:w="2551"/>
            <w:vAlign w:val="center"/>
          </w:tcPr>
          <w:p>
            <w:pPr>
              <w:keepNext/>
              <w:spacing w:after="0" w:line="240" w:lineRule="auto"/>
              <w:jc w:val="center"/>
            </w:pPr>
            <w:r/>
            <w:r>
              <w:rPr>
                <w:b w:val="0"/>
                <w:i w:val="0"/>
                <w:sz w:val="18"/>
              </w:rPr>
              <w:t>7,444</w:t>
            </w:r>
          </w:p>
        </w:tc>
      </w:tr>
      <w:tr>
        <w:trPr>
          <w:cantSplit/>
        </w:trPr>
        <w:tc>
          <w:tcPr>
            <w:tcW w:type="dxa" w:w="2835"/>
            <w:vAlign w:val="center"/>
          </w:tcPr>
          <w:p>
            <w:pPr>
              <w:keepNext/>
              <w:spacing w:after="0" w:line="240" w:lineRule="auto"/>
              <w:jc w:val="left"/>
            </w:pPr>
            <w:r/>
            <w:r>
              <w:rPr>
                <w:b w:val="0"/>
                <w:i w:val="0"/>
                <w:sz w:val="18"/>
              </w:rPr>
              <w:t>99e centile</w:t>
            </w:r>
          </w:p>
        </w:tc>
        <w:tc>
          <w:tcPr>
            <w:tcW w:type="dxa" w:w="2551"/>
            <w:vAlign w:val="center"/>
          </w:tcPr>
          <w:p>
            <w:pPr>
              <w:keepNext/>
              <w:spacing w:after="0" w:line="240" w:lineRule="auto"/>
              <w:jc w:val="center"/>
            </w:pPr>
            <w:r/>
            <w:r>
              <w:rPr>
                <w:b w:val="0"/>
                <w:i w:val="0"/>
                <w:sz w:val="18"/>
              </w:rPr>
              <w:t>2 910</w:t>
            </w:r>
          </w:p>
        </w:tc>
        <w:tc>
          <w:tcPr>
            <w:tcW w:type="dxa" w:w="2551"/>
            <w:vAlign w:val="center"/>
          </w:tcPr>
          <w:p>
            <w:pPr>
              <w:keepNext/>
              <w:spacing w:after="0" w:line="240" w:lineRule="auto"/>
              <w:jc w:val="center"/>
            </w:pPr>
            <w:r/>
            <w:r>
              <w:rPr>
                <w:b w:val="0"/>
                <w:i w:val="0"/>
                <w:sz w:val="18"/>
              </w:rPr>
              <w:t>7,976</w:t>
            </w:r>
          </w:p>
        </w:tc>
      </w:tr>
      <w:tr>
        <w:trPr>
          <w:cantSplit/>
        </w:trPr>
        <w:tc>
          <w:tcPr>
            <w:tcW w:type="dxa" w:w="2835"/>
            <w:vAlign w:val="center"/>
          </w:tcPr>
          <w:p>
            <w:pPr>
              <w:keepNext/>
              <w:spacing w:after="0" w:line="240" w:lineRule="auto"/>
              <w:jc w:val="left"/>
            </w:pPr>
            <w:r/>
            <w:r>
              <w:rPr>
                <w:b w:val="0"/>
                <w:i w:val="0"/>
                <w:sz w:val="18"/>
              </w:rPr>
              <w:t>Maximum</w:t>
            </w:r>
          </w:p>
        </w:tc>
        <w:tc>
          <w:tcPr>
            <w:tcW w:type="dxa" w:w="2551"/>
            <w:vAlign w:val="center"/>
          </w:tcPr>
          <w:p>
            <w:pPr>
              <w:keepNext/>
              <w:spacing w:after="0" w:line="240" w:lineRule="auto"/>
              <w:jc w:val="center"/>
            </w:pPr>
            <w:r/>
            <w:r>
              <w:rPr>
                <w:b w:val="0"/>
                <w:i w:val="0"/>
                <w:sz w:val="18"/>
              </w:rPr>
              <w:t>3 767</w:t>
            </w:r>
          </w:p>
        </w:tc>
        <w:tc>
          <w:tcPr>
            <w:tcW w:type="dxa" w:w="2551"/>
            <w:vAlign w:val="center"/>
          </w:tcPr>
          <w:p>
            <w:pPr>
              <w:keepNext/>
              <w:spacing w:after="0" w:line="240" w:lineRule="auto"/>
              <w:jc w:val="center"/>
            </w:pPr>
            <w:r/>
            <w:r>
              <w:rPr>
                <w:b w:val="0"/>
                <w:i w:val="0"/>
                <w:sz w:val="18"/>
              </w:rPr>
              <w:t>8,234</w:t>
            </w:r>
          </w:p>
        </w:tc>
      </w:tr>
      <w:tr>
        <w:trPr>
          <w:cantSplit/>
        </w:trPr>
        <w:tc>
          <w:tcPr>
            <w:tcW w:type="dxa" w:w="2835"/>
            <w:vAlign w:val="center"/>
          </w:tcPr>
          <w:p>
            <w:pPr>
              <w:keepNext/>
              <w:spacing w:after="0" w:line="240" w:lineRule="auto"/>
              <w:jc w:val="left"/>
            </w:pPr>
            <w:r/>
            <w:r>
              <w:rPr>
                <w:b w:val="0"/>
                <w:i w:val="0"/>
                <w:sz w:val="18"/>
              </w:rPr>
              <w:t>Skewness</w:t>
            </w:r>
          </w:p>
        </w:tc>
        <w:tc>
          <w:tcPr>
            <w:tcW w:type="dxa" w:w="2551"/>
            <w:vAlign w:val="center"/>
          </w:tcPr>
          <w:p>
            <w:pPr>
              <w:keepNext/>
              <w:spacing w:after="0" w:line="240" w:lineRule="auto"/>
              <w:jc w:val="center"/>
            </w:pPr>
            <w:r/>
            <w:r>
              <w:rPr>
                <w:b w:val="0"/>
                <w:i w:val="0"/>
                <w:sz w:val="18"/>
              </w:rPr>
              <w:t>1,70</w:t>
            </w:r>
          </w:p>
        </w:tc>
        <w:tc>
          <w:tcPr>
            <w:tcW w:type="dxa" w:w="2551"/>
            <w:vAlign w:val="center"/>
          </w:tcPr>
          <w:p>
            <w:pPr>
              <w:keepNext/>
              <w:spacing w:after="0" w:line="240" w:lineRule="auto"/>
              <w:jc w:val="center"/>
            </w:pPr>
            <w:r/>
            <w:r>
              <w:rPr>
                <w:b w:val="0"/>
                <w:i w:val="0"/>
                <w:sz w:val="18"/>
              </w:rPr>
              <w:t>–0,45</w:t>
            </w:r>
          </w:p>
        </w:tc>
      </w:tr>
      <w:tr>
        <w:trPr>
          <w:cantSplit/>
        </w:trPr>
        <w:tc>
          <w:tcPr>
            <w:tcW w:type="dxa" w:w="2835"/>
            <w:vAlign w:val="center"/>
          </w:tcPr>
          <w:p>
            <w:pPr>
              <w:spacing w:after="0" w:line="240" w:lineRule="auto"/>
              <w:jc w:val="left"/>
            </w:pPr>
            <w:r/>
            <w:r>
              <w:rPr>
                <w:b w:val="0"/>
                <w:i w:val="0"/>
                <w:sz w:val="18"/>
              </w:rPr>
              <w:t>Kurtosis</w:t>
            </w:r>
          </w:p>
        </w:tc>
        <w:tc>
          <w:tcPr>
            <w:tcW w:type="dxa" w:w="2551"/>
            <w:vAlign w:val="center"/>
          </w:tcPr>
          <w:p>
            <w:pPr>
              <w:spacing w:after="0" w:line="240" w:lineRule="auto"/>
              <w:jc w:val="center"/>
            </w:pPr>
            <w:r/>
            <w:r>
              <w:rPr>
                <w:b w:val="0"/>
                <w:i w:val="0"/>
                <w:sz w:val="18"/>
              </w:rPr>
              <w:t>7,29</w:t>
            </w:r>
          </w:p>
        </w:tc>
        <w:tc>
          <w:tcPr>
            <w:tcW w:type="dxa" w:w="2551"/>
            <w:vAlign w:val="center"/>
          </w:tcPr>
          <w:p>
            <w:pPr>
              <w:spacing w:after="0" w:line="240" w:lineRule="auto"/>
              <w:jc w:val="center"/>
            </w:pPr>
            <w:r/>
            <w:r>
              <w:rPr>
                <w:b w:val="0"/>
                <w:i w:val="0"/>
                <w:sz w:val="18"/>
              </w:rPr>
              <w:t>2,67</w:t>
            </w:r>
          </w:p>
        </w:tc>
      </w:tr>
    </w:tbl>
    <w:p>
      <w:pPr>
        <w:spacing w:after="200"/>
        <w:jc w:val="left"/>
      </w:pPr>
      <w:r>
        <w:rPr>
          <w:i/>
          <w:sz w:val="18"/>
        </w:rPr>
        <w:t>Source : INSEE, enquête SRCV 2015, base SRCV1_menage. Champ : échantillon de travail (3 962 ménages). Commandes Stata : sum credits, d ; sum lncredits, d.</w:t>
      </w:r>
    </w:p>
    <w:p>
      <w:pPr>
        <w:jc w:val="both"/>
      </w:pPr>
      <w:r>
        <w:t xml:space="preserve">Après nettoyage, les ménages remboursent en moyenne </w:t>
      </w:r>
      <w:r>
        <w:rPr>
          <w:b/>
        </w:rPr>
        <w:t>690 euros par mois</w:t>
      </w:r>
      <w:r>
        <w:t>. La médiane est nettement plus faible (</w:t>
      </w:r>
      <w:r>
        <w:rPr>
          <w:b/>
        </w:rPr>
        <w:t>560 euros</w:t>
      </w:r>
      <w:r>
        <w:t>) : la moitié des ménages rembourse moins de 560 euros par mois. Un quart des ménages rembourse moins de 260 euros et un quart plus de 961 euros, tandis que 10 % des ménages remboursent plus de 1 370 euros par mois. L’écart entre la moyenne et la médiane traduit une distribution asymétrique, étalée vers la droite, que l’on voit nettement sur la figure 1 : beaucoup de ménages ont des mensualités faibles, qui correspondent souvent à un crédit à la consommation ou automobile, tandis qu’une minorité rembourse des montants élevés, en général liés à un prêt immobilier. Le skewness (1,70) est nettement positif et le kurtosis (7,29) bien supérieur à 3, valeur d’une loi normale : la distribution a une queue droite beaucoup plus épaisse que celle d’une loi normale.</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866375"/>
                  <wp:docPr id="1" name="Picture 1"/>
                  <wp:cNvGraphicFramePr>
                    <a:graphicFrameLocks noChangeAspect="1"/>
                  </wp:cNvGraphicFramePr>
                  <a:graphic>
                    <a:graphicData uri="http://schemas.openxmlformats.org/drawingml/2006/picture">
                      <pic:pic>
                        <pic:nvPicPr>
                          <pic:cNvPr id="0" name="fig01_hist_credits.png"/>
                          <pic:cNvPicPr/>
                        </pic:nvPicPr>
                        <pic:blipFill>
                          <a:blip r:embed="rId10"/>
                          <a:stretch>
                            <a:fillRect/>
                          </a:stretch>
                        </pic:blipFill>
                        <pic:spPr>
                          <a:xfrm>
                            <a:off x="0" y="0"/>
                            <a:ext cx="2844000" cy="1866375"/>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1866375"/>
                  <wp:docPr id="2" name="Picture 2"/>
                  <wp:cNvGraphicFramePr>
                    <a:graphicFrameLocks noChangeAspect="1"/>
                  </wp:cNvGraphicFramePr>
                  <a:graphic>
                    <a:graphicData uri="http://schemas.openxmlformats.org/drawingml/2006/picture">
                      <pic:pic>
                        <pic:nvPicPr>
                          <pic:cNvPr id="0" name="fig02_hist_lncredits.png"/>
                          <pic:cNvPicPr/>
                        </pic:nvPicPr>
                        <pic:blipFill>
                          <a:blip r:embed="rId11"/>
                          <a:stretch>
                            <a:fillRect/>
                          </a:stretch>
                        </pic:blipFill>
                        <pic:spPr>
                          <a:xfrm>
                            <a:off x="0" y="0"/>
                            <a:ext cx="2844000" cy="1866375"/>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1 – Distribution des mensualités</w:t>
            </w:r>
          </w:p>
        </w:tc>
        <w:tc>
          <w:tcPr>
            <w:tcW w:type="dxa" w:w="4536"/>
            <w:vAlign w:val="center"/>
          </w:tcPr>
          <w:p>
            <w:pPr>
              <w:spacing w:after="0" w:line="240" w:lineRule="auto"/>
              <w:jc w:val="center"/>
            </w:pPr>
            <w:r/>
            <w:r>
              <w:rPr>
                <w:b/>
                <w:i w:val="0"/>
                <w:sz w:val="19"/>
              </w:rPr>
              <w:t>Figure 2 – Distribution du logarithme des mensualités</w:t>
            </w:r>
          </w:p>
        </w:tc>
      </w:tr>
    </w:tbl>
    <w:p>
      <w:pPr>
        <w:spacing w:after="200"/>
        <w:jc w:val="left"/>
      </w:pPr>
      <w:r>
        <w:rPr>
          <w:i/>
          <w:sz w:val="18"/>
        </w:rPr>
        <w:t>Source : INSEE, enquête SRCV 2015, base SRCV1_menage. Champ : échantillon de travail (3 962 ménages).</w:t>
      </w:r>
    </w:p>
    <w:p>
      <w:pPr>
        <w:jc w:val="both"/>
      </w:pPr>
      <w:r>
        <w:t xml:space="preserve">Le </w:t>
      </w:r>
      <w:r>
        <w:rPr>
          <w:b/>
        </w:rPr>
        <w:t>logarithme des mensualités</w:t>
      </w:r>
      <w:r>
        <w:t xml:space="preserve"> a une distribution beaucoup plus symétrique (figure 2) : sa moyenne (6,19) et sa médiane (6,33) sont proches, le skewness n’est plus que de –0,45 et le kurtosis (2,67) est proche de 3. La distribution reste légèrement étalée vers la gauche, à cause des ménages qui remboursent de très petites sommes. L’histogramme présente aussi des pics réguliers : les mensualités sont souvent déclarées en montants ronds (32 % sont des multiples de 50 euros, comme 200, 300 ou 500 euros), ce qui crée des accumulations de ménages sur certaines valeurs.</w:t>
      </w:r>
    </w:p>
    <w:p>
      <w:pPr>
        <w:keepNext/>
        <w:jc w:val="both"/>
      </w:pPr>
      <w:r>
        <w:t>Pour confirmer cette intuition, nous réalisons deux tests de normalité (tableau 7).</w:t>
      </w:r>
    </w:p>
    <w:p>
      <w:pPr>
        <w:keepNext/>
        <w:spacing w:after="60"/>
        <w:jc w:val="left"/>
      </w:pPr>
      <w:r>
        <w:rPr>
          <w:b/>
          <w:sz w:val="21"/>
        </w:rPr>
        <w:t>Tableau 7 – Tests de normalité des mensualités et de leur logarithme</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1701"/>
        <w:gridCol w:w="822"/>
        <w:gridCol w:w="822"/>
        <w:gridCol w:w="907"/>
        <w:gridCol w:w="907"/>
        <w:gridCol w:w="1020"/>
        <w:gridCol w:w="963"/>
        <w:gridCol w:w="1020"/>
        <w:gridCol w:w="907"/>
      </w:tblGrid>
      <w:tr>
        <w:trPr>
          <w:cantSplit/>
          <w:tblHeader/>
        </w:trPr>
        <w:tc>
          <w:tcPr>
            <w:tcW w:type="dxa" w:w="1701"/>
            <w:shd w:val="clear" w:color="auto" w:fill="E8ECF2"/>
            <w:vAlign w:val="center"/>
          </w:tcPr>
          <w:p>
            <w:pPr>
              <w:keepNext/>
              <w:spacing w:after="0" w:line="240" w:lineRule="auto"/>
              <w:jc w:val="left"/>
            </w:pPr>
            <w:r/>
            <w:r>
              <w:rPr>
                <w:b/>
                <w:i w:val="0"/>
                <w:sz w:val="16"/>
              </w:rPr>
              <w:t>Variable</w:t>
            </w:r>
          </w:p>
        </w:tc>
        <w:tc>
          <w:tcPr>
            <w:tcW w:type="dxa" w:w="822"/>
            <w:shd w:val="clear" w:color="auto" w:fill="E8ECF2"/>
            <w:vAlign w:val="center"/>
          </w:tcPr>
          <w:p>
            <w:pPr>
              <w:keepNext/>
              <w:spacing w:after="0" w:line="240" w:lineRule="auto"/>
              <w:jc w:val="center"/>
            </w:pPr>
            <w:r/>
            <w:r>
              <w:rPr>
                <w:b/>
                <w:i w:val="0"/>
                <w:sz w:val="16"/>
              </w:rPr>
              <w:t>Skew-ness</w:t>
            </w:r>
          </w:p>
        </w:tc>
        <w:tc>
          <w:tcPr>
            <w:tcW w:type="dxa" w:w="822"/>
            <w:shd w:val="clear" w:color="auto" w:fill="E8ECF2"/>
            <w:vAlign w:val="center"/>
          </w:tcPr>
          <w:p>
            <w:pPr>
              <w:keepNext/>
              <w:spacing w:after="0" w:line="240" w:lineRule="auto"/>
              <w:jc w:val="center"/>
            </w:pPr>
            <w:r/>
            <w:r>
              <w:rPr>
                <w:b/>
                <w:i w:val="0"/>
                <w:sz w:val="16"/>
              </w:rPr>
              <w:t>Kurto-sis</w:t>
            </w:r>
          </w:p>
        </w:tc>
        <w:tc>
          <w:tcPr>
            <w:tcW w:type="dxa" w:w="907"/>
            <w:shd w:val="clear" w:color="auto" w:fill="E8ECF2"/>
            <w:vAlign w:val="center"/>
          </w:tcPr>
          <w:p>
            <w:pPr>
              <w:keepNext/>
              <w:spacing w:after="0" w:line="240" w:lineRule="auto"/>
              <w:jc w:val="center"/>
            </w:pPr>
            <w:r/>
            <w:r>
              <w:rPr>
                <w:b/>
                <w:i w:val="0"/>
                <w:sz w:val="16"/>
              </w:rPr>
              <w:t>Pr(skew-ness)</w:t>
            </w:r>
          </w:p>
        </w:tc>
        <w:tc>
          <w:tcPr>
            <w:tcW w:type="dxa" w:w="907"/>
            <w:shd w:val="clear" w:color="auto" w:fill="E8ECF2"/>
            <w:vAlign w:val="center"/>
          </w:tcPr>
          <w:p>
            <w:pPr>
              <w:keepNext/>
              <w:spacing w:after="0" w:line="240" w:lineRule="auto"/>
              <w:jc w:val="center"/>
            </w:pPr>
            <w:r/>
            <w:r>
              <w:rPr>
                <w:b/>
                <w:i w:val="0"/>
                <w:sz w:val="16"/>
              </w:rPr>
              <w:t>Pr(kurto-sis)</w:t>
            </w:r>
          </w:p>
        </w:tc>
        <w:tc>
          <w:tcPr>
            <w:tcW w:type="dxa" w:w="1020"/>
            <w:shd w:val="clear" w:color="auto" w:fill="E8ECF2"/>
            <w:vAlign w:val="center"/>
          </w:tcPr>
          <w:p>
            <w:pPr>
              <w:keepNext/>
              <w:spacing w:after="0" w:line="240" w:lineRule="auto"/>
              <w:jc w:val="center"/>
            </w:pPr>
            <w:r/>
            <w:r>
              <w:rPr>
                <w:b/>
                <w:i w:val="0"/>
                <w:sz w:val="16"/>
              </w:rPr>
              <w:t>Khi-deux (2 ddl)</w:t>
            </w:r>
          </w:p>
        </w:tc>
        <w:tc>
          <w:tcPr>
            <w:tcW w:type="dxa" w:w="963"/>
            <w:shd w:val="clear" w:color="auto" w:fill="E8ECF2"/>
            <w:vAlign w:val="center"/>
          </w:tcPr>
          <w:p>
            <w:pPr>
              <w:keepNext/>
              <w:spacing w:after="0" w:line="240" w:lineRule="auto"/>
              <w:jc w:val="center"/>
            </w:pPr>
            <w:r/>
            <w:r>
              <w:rPr>
                <w:b/>
                <w:i w:val="0"/>
                <w:sz w:val="16"/>
              </w:rPr>
              <w:t>Prob &gt; khi-deux</w:t>
            </w:r>
          </w:p>
        </w:tc>
        <w:tc>
          <w:tcPr>
            <w:tcW w:type="dxa" w:w="1020"/>
            <w:shd w:val="clear" w:color="auto" w:fill="E8ECF2"/>
            <w:vAlign w:val="center"/>
          </w:tcPr>
          <w:p>
            <w:pPr>
              <w:keepNext/>
              <w:spacing w:after="0" w:line="240" w:lineRule="auto"/>
              <w:jc w:val="center"/>
            </w:pPr>
            <w:r/>
            <w:r>
              <w:rPr>
                <w:b/>
                <w:i w:val="0"/>
                <w:sz w:val="16"/>
              </w:rPr>
              <w:t>W de Shapiro-Wilk</w:t>
            </w:r>
          </w:p>
        </w:tc>
        <w:tc>
          <w:tcPr>
            <w:tcW w:type="dxa" w:w="907"/>
            <w:shd w:val="clear" w:color="auto" w:fill="E8ECF2"/>
            <w:vAlign w:val="center"/>
          </w:tcPr>
          <w:p>
            <w:pPr>
              <w:keepNext/>
              <w:spacing w:after="0" w:line="240" w:lineRule="auto"/>
              <w:jc w:val="center"/>
            </w:pPr>
            <w:r/>
            <w:r>
              <w:rPr>
                <w:b/>
                <w:i w:val="0"/>
                <w:sz w:val="16"/>
              </w:rPr>
              <w:t>Prob &gt; z</w:t>
            </w:r>
          </w:p>
        </w:tc>
      </w:tr>
      <w:tr>
        <w:trPr>
          <w:cantSplit/>
        </w:trPr>
        <w:tc>
          <w:tcPr>
            <w:tcW w:type="dxa" w:w="1701"/>
            <w:vAlign w:val="center"/>
          </w:tcPr>
          <w:p>
            <w:pPr>
              <w:keepNext/>
              <w:spacing w:after="0" w:line="240" w:lineRule="auto"/>
              <w:jc w:val="left"/>
            </w:pPr>
            <w:r/>
            <w:r>
              <w:rPr>
                <w:b w:val="0"/>
                <w:i w:val="0"/>
                <w:sz w:val="16"/>
              </w:rPr>
              <w:t>Mensualités</w:t>
            </w:r>
          </w:p>
        </w:tc>
        <w:tc>
          <w:tcPr>
            <w:tcW w:type="dxa" w:w="822"/>
            <w:vAlign w:val="center"/>
          </w:tcPr>
          <w:p>
            <w:pPr>
              <w:keepNext/>
              <w:spacing w:after="0" w:line="240" w:lineRule="auto"/>
              <w:jc w:val="center"/>
            </w:pPr>
            <w:r/>
            <w:r>
              <w:rPr>
                <w:b w:val="0"/>
                <w:i w:val="0"/>
                <w:sz w:val="16"/>
              </w:rPr>
              <w:t>1,696</w:t>
            </w:r>
          </w:p>
        </w:tc>
        <w:tc>
          <w:tcPr>
            <w:tcW w:type="dxa" w:w="822"/>
            <w:vAlign w:val="center"/>
          </w:tcPr>
          <w:p>
            <w:pPr>
              <w:keepNext/>
              <w:spacing w:after="0" w:line="240" w:lineRule="auto"/>
              <w:jc w:val="center"/>
            </w:pPr>
            <w:r/>
            <w:r>
              <w:rPr>
                <w:b w:val="0"/>
                <w:i w:val="0"/>
                <w:sz w:val="16"/>
              </w:rPr>
              <w:t>7,290</w:t>
            </w:r>
          </w:p>
        </w:tc>
        <w:tc>
          <w:tcPr>
            <w:tcW w:type="dxa" w:w="907"/>
            <w:vAlign w:val="center"/>
          </w:tcPr>
          <w:p>
            <w:pPr>
              <w:keepNext/>
              <w:spacing w:after="0" w:line="240" w:lineRule="auto"/>
              <w:jc w:val="center"/>
            </w:pPr>
            <w:r/>
            <w:r>
              <w:rPr>
                <w:b w:val="0"/>
                <w:i w:val="0"/>
                <w:sz w:val="16"/>
              </w:rPr>
              <w:t>&lt; 0,001</w:t>
            </w:r>
          </w:p>
        </w:tc>
        <w:tc>
          <w:tcPr>
            <w:tcW w:type="dxa" w:w="907"/>
            <w:vAlign w:val="center"/>
          </w:tcPr>
          <w:p>
            <w:pPr>
              <w:keepNext/>
              <w:spacing w:after="0" w:line="240" w:lineRule="auto"/>
              <w:jc w:val="center"/>
            </w:pPr>
            <w:r/>
            <w:r>
              <w:rPr>
                <w:b w:val="0"/>
                <w:i w:val="0"/>
                <w:sz w:val="16"/>
              </w:rPr>
              <w:t>&lt; 0,001</w:t>
            </w:r>
          </w:p>
        </w:tc>
        <w:tc>
          <w:tcPr>
            <w:tcW w:type="dxa" w:w="1020"/>
            <w:vAlign w:val="center"/>
          </w:tcPr>
          <w:p>
            <w:pPr>
              <w:keepNext/>
              <w:spacing w:after="0" w:line="240" w:lineRule="auto"/>
              <w:jc w:val="center"/>
            </w:pPr>
            <w:r/>
            <w:r>
              <w:rPr>
                <w:b w:val="0"/>
                <w:i w:val="0"/>
                <w:sz w:val="16"/>
              </w:rPr>
              <w:t>1 357,84</w:t>
            </w:r>
          </w:p>
        </w:tc>
        <w:tc>
          <w:tcPr>
            <w:tcW w:type="dxa" w:w="963"/>
            <w:vAlign w:val="center"/>
          </w:tcPr>
          <w:p>
            <w:pPr>
              <w:keepNext/>
              <w:spacing w:after="0" w:line="240" w:lineRule="auto"/>
              <w:jc w:val="center"/>
            </w:pPr>
            <w:r/>
            <w:r>
              <w:rPr>
                <w:b w:val="0"/>
                <w:i w:val="0"/>
                <w:sz w:val="16"/>
              </w:rPr>
              <w:t>&lt; 0,001</w:t>
            </w:r>
          </w:p>
        </w:tc>
        <w:tc>
          <w:tcPr>
            <w:tcW w:type="dxa" w:w="1020"/>
            <w:vAlign w:val="center"/>
          </w:tcPr>
          <w:p>
            <w:pPr>
              <w:keepNext/>
              <w:spacing w:after="0" w:line="240" w:lineRule="auto"/>
              <w:jc w:val="center"/>
            </w:pPr>
            <w:r/>
            <w:r>
              <w:rPr>
                <w:b w:val="0"/>
                <w:i w:val="0"/>
                <w:sz w:val="16"/>
              </w:rPr>
              <w:t>0,861</w:t>
            </w:r>
          </w:p>
        </w:tc>
        <w:tc>
          <w:tcPr>
            <w:tcW w:type="dxa" w:w="907"/>
            <w:vAlign w:val="center"/>
          </w:tcPr>
          <w:p>
            <w:pPr>
              <w:keepNext/>
              <w:spacing w:after="0" w:line="240" w:lineRule="auto"/>
              <w:jc w:val="center"/>
            </w:pPr>
            <w:r/>
            <w:r>
              <w:rPr>
                <w:b w:val="0"/>
                <w:i w:val="0"/>
                <w:sz w:val="16"/>
              </w:rPr>
              <w:t>&lt; 0,001</w:t>
            </w:r>
          </w:p>
        </w:tc>
      </w:tr>
      <w:tr>
        <w:trPr>
          <w:cantSplit/>
        </w:trPr>
        <w:tc>
          <w:tcPr>
            <w:tcW w:type="dxa" w:w="1701"/>
            <w:vAlign w:val="center"/>
          </w:tcPr>
          <w:p>
            <w:pPr>
              <w:spacing w:after="0" w:line="240" w:lineRule="auto"/>
              <w:jc w:val="left"/>
            </w:pPr>
            <w:r/>
            <w:r>
              <w:rPr>
                <w:b w:val="0"/>
                <w:i w:val="0"/>
                <w:sz w:val="16"/>
              </w:rPr>
              <w:t>Logarithme des mensualités</w:t>
            </w:r>
          </w:p>
        </w:tc>
        <w:tc>
          <w:tcPr>
            <w:tcW w:type="dxa" w:w="822"/>
            <w:vAlign w:val="center"/>
          </w:tcPr>
          <w:p>
            <w:pPr>
              <w:spacing w:after="0" w:line="240" w:lineRule="auto"/>
              <w:jc w:val="center"/>
            </w:pPr>
            <w:r/>
            <w:r>
              <w:rPr>
                <w:b w:val="0"/>
                <w:i w:val="0"/>
                <w:sz w:val="16"/>
              </w:rPr>
              <w:t>–0,450</w:t>
            </w:r>
          </w:p>
        </w:tc>
        <w:tc>
          <w:tcPr>
            <w:tcW w:type="dxa" w:w="822"/>
            <w:vAlign w:val="center"/>
          </w:tcPr>
          <w:p>
            <w:pPr>
              <w:spacing w:after="0" w:line="240" w:lineRule="auto"/>
              <w:jc w:val="center"/>
            </w:pPr>
            <w:r/>
            <w:r>
              <w:rPr>
                <w:b w:val="0"/>
                <w:i w:val="0"/>
                <w:sz w:val="16"/>
              </w:rPr>
              <w:t>2,666</w:t>
            </w:r>
          </w:p>
        </w:tc>
        <w:tc>
          <w:tcPr>
            <w:tcW w:type="dxa" w:w="907"/>
            <w:vAlign w:val="center"/>
          </w:tcPr>
          <w:p>
            <w:pPr>
              <w:spacing w:after="0" w:line="240" w:lineRule="auto"/>
              <w:jc w:val="center"/>
            </w:pPr>
            <w:r/>
            <w:r>
              <w:rPr>
                <w:b w:val="0"/>
                <w:i w:val="0"/>
                <w:sz w:val="16"/>
              </w:rPr>
              <w:t>&lt; 0,001</w:t>
            </w:r>
          </w:p>
        </w:tc>
        <w:tc>
          <w:tcPr>
            <w:tcW w:type="dxa" w:w="907"/>
            <w:vAlign w:val="center"/>
          </w:tcPr>
          <w:p>
            <w:pPr>
              <w:spacing w:after="0" w:line="240" w:lineRule="auto"/>
              <w:jc w:val="center"/>
            </w:pPr>
            <w:r/>
            <w:r>
              <w:rPr>
                <w:b w:val="0"/>
                <w:i w:val="0"/>
                <w:sz w:val="16"/>
              </w:rPr>
              <w:t>&lt; 0,001</w:t>
            </w:r>
          </w:p>
        </w:tc>
        <w:tc>
          <w:tcPr>
            <w:tcW w:type="dxa" w:w="1020"/>
            <w:vAlign w:val="center"/>
          </w:tcPr>
          <w:p>
            <w:pPr>
              <w:spacing w:after="0" w:line="240" w:lineRule="auto"/>
              <w:jc w:val="center"/>
            </w:pPr>
            <w:r/>
            <w:r>
              <w:rPr>
                <w:b w:val="0"/>
                <w:i w:val="0"/>
                <w:sz w:val="16"/>
              </w:rPr>
              <w:t>149,07</w:t>
            </w:r>
          </w:p>
        </w:tc>
        <w:tc>
          <w:tcPr>
            <w:tcW w:type="dxa" w:w="963"/>
            <w:vAlign w:val="center"/>
          </w:tcPr>
          <w:p>
            <w:pPr>
              <w:spacing w:after="0" w:line="240" w:lineRule="auto"/>
              <w:jc w:val="center"/>
            </w:pPr>
            <w:r/>
            <w:r>
              <w:rPr>
                <w:b w:val="0"/>
                <w:i w:val="0"/>
                <w:sz w:val="16"/>
              </w:rPr>
              <w:t>&lt; 0,001</w:t>
            </w:r>
          </w:p>
        </w:tc>
        <w:tc>
          <w:tcPr>
            <w:tcW w:type="dxa" w:w="1020"/>
            <w:vAlign w:val="center"/>
          </w:tcPr>
          <w:p>
            <w:pPr>
              <w:spacing w:after="0" w:line="240" w:lineRule="auto"/>
              <w:jc w:val="center"/>
            </w:pPr>
            <w:r/>
            <w:r>
              <w:rPr>
                <w:b w:val="0"/>
                <w:i w:val="0"/>
                <w:sz w:val="16"/>
              </w:rPr>
              <w:t>0,978</w:t>
            </w:r>
          </w:p>
        </w:tc>
        <w:tc>
          <w:tcPr>
            <w:tcW w:type="dxa" w:w="907"/>
            <w:vAlign w:val="center"/>
          </w:tcPr>
          <w:p>
            <w:pPr>
              <w:spacing w:after="0" w:line="240" w:lineRule="auto"/>
              <w:jc w:val="center"/>
            </w:pPr>
            <w:r/>
            <w:r>
              <w:rPr>
                <w:b w:val="0"/>
                <w:i w:val="0"/>
                <w:sz w:val="16"/>
              </w:rPr>
              <w:t>&lt; 0,001</w:t>
            </w:r>
          </w:p>
        </w:tc>
      </w:tr>
    </w:tbl>
    <w:p>
      <w:pPr>
        <w:spacing w:after="200"/>
        <w:jc w:val="left"/>
      </w:pPr>
      <w:r>
        <w:rPr>
          <w:i/>
          <w:sz w:val="18"/>
        </w:rPr>
        <w:t>Source : INSEE, enquête SRCV 2015, base SRCV1_menage. Champ : échantillon de travail (3 962 ménages). Commandes Stata : sktest credits lncredits, noadjust ; swilk credits lncredits.</w:t>
      </w:r>
    </w:p>
    <w:p>
      <w:pPr>
        <w:jc w:val="both"/>
      </w:pPr>
      <w:r>
        <w:t xml:space="preserve">Les deux tests ont pour hypothèse nulle H0 : « la variable suit une loi normale ». Le premier (commande sktest) combine un test sur le skewness et un test sur le kurtosis ; sous H0, sa statistique suit une loi du khi-deux à 2 degrés de liberté, dont la valeur critique au seuil de 5 % est 5,99 d’après la table. Pour les deux variables, la statistique calculée (1 357,84 pour les mensualités et 149,07 pour leur logarithme) est très supérieure à 5,99 et la probabilité critique est inférieure à 0,001 : </w:t>
      </w:r>
      <w:r>
        <w:rPr>
          <w:b/>
        </w:rPr>
        <w:t>on rejette la normalité dans les deux cas</w:t>
      </w:r>
      <w:r>
        <w:t>. Le test de Shapiro-Wilk conduit à la même conclusion. Ce résultat n’est pas surprenant avec près de 4 000 observations : le moindre écart à la loi normale devient alors significatif. En revanche, la statistique du khi-deux est divisée par neuf environ quand on passe au logarithme, et la statistique W de Shapiro-Wilk se rapproche de 1 (0,978 contre 0,861).</w:t>
      </w:r>
    </w:p>
    <w:p>
      <w:pPr>
        <w:jc w:val="both"/>
      </w:pPr>
      <w:r>
        <w:rPr>
          <w:b/>
        </w:rPr>
        <w:t>Conclusion</w:t>
      </w:r>
      <w:r>
        <w:t xml:space="preserve"> : le logarithme des mensualités est beaucoup plus proche d’une loi normale que les mensualités elles-mêmes. </w:t>
      </w:r>
      <w:r>
        <w:rPr>
          <w:b/>
        </w:rPr>
        <w:t>Dans la suite du projet, la variable expliquée sera donc ln(CREDITS).</w:t>
      </w:r>
      <w:r>
        <w:t xml:space="preserve"> Ce choix facilite aussi l’interprétation : les coefficients s’interpréteront comme des variations en pourcentage des mensualités, et le coefficient d’une variable explicative elle-même en logarithme s’interprétera comme une élasticité.</w:t>
      </w:r>
    </w:p>
    <w:p>
      <w:pPr>
        <w:pStyle w:val="Heading3"/>
      </w:pPr>
      <w:r>
        <w:t>3.2. Les variables explicatives continues</w:t>
      </w:r>
    </w:p>
    <w:p>
      <w:pPr>
        <w:keepNext/>
        <w:spacing w:after="60"/>
        <w:jc w:val="left"/>
      </w:pPr>
      <w:r>
        <w:rPr>
          <w:b/>
          <w:sz w:val="21"/>
        </w:rPr>
        <w:t>Tableau 8 – Distribution de l’âge et du revenu</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2268"/>
        <w:gridCol w:w="2268"/>
        <w:gridCol w:w="2268"/>
        <w:gridCol w:w="2268"/>
      </w:tblGrid>
      <w:tr>
        <w:trPr>
          <w:cantSplit/>
          <w:tblHeader/>
        </w:trPr>
        <w:tc>
          <w:tcPr>
            <w:tcW w:type="dxa" w:w="2268"/>
            <w:shd w:val="clear" w:color="auto" w:fill="E8ECF2"/>
            <w:vAlign w:val="center"/>
          </w:tcPr>
          <w:p>
            <w:pPr>
              <w:keepNext/>
              <w:spacing w:after="0" w:line="240" w:lineRule="auto"/>
              <w:jc w:val="left"/>
            </w:pPr>
            <w:r/>
            <w:r>
              <w:rPr>
                <w:b/>
                <w:i w:val="0"/>
                <w:sz w:val="18"/>
              </w:rPr>
              <w:t>Statistique</w:t>
            </w:r>
          </w:p>
        </w:tc>
        <w:tc>
          <w:tcPr>
            <w:tcW w:type="dxa" w:w="2268"/>
            <w:shd w:val="clear" w:color="auto" w:fill="E8ECF2"/>
            <w:vAlign w:val="center"/>
          </w:tcPr>
          <w:p>
            <w:pPr>
              <w:keepNext/>
              <w:spacing w:after="0" w:line="240" w:lineRule="auto"/>
              <w:jc w:val="center"/>
            </w:pPr>
            <w:r/>
            <w:r>
              <w:rPr>
                <w:b/>
                <w:i w:val="0"/>
                <w:sz w:val="18"/>
              </w:rPr>
              <w:t>Âge de la personne de référence (années)</w:t>
            </w:r>
          </w:p>
        </w:tc>
        <w:tc>
          <w:tcPr>
            <w:tcW w:type="dxa" w:w="2268"/>
            <w:shd w:val="clear" w:color="auto" w:fill="E8ECF2"/>
            <w:vAlign w:val="center"/>
          </w:tcPr>
          <w:p>
            <w:pPr>
              <w:keepNext/>
              <w:spacing w:after="0" w:line="240" w:lineRule="auto"/>
              <w:jc w:val="center"/>
            </w:pPr>
            <w:r/>
            <w:r>
              <w:rPr>
                <w:b/>
                <w:i w:val="0"/>
                <w:sz w:val="18"/>
              </w:rPr>
              <w:t>Revenu mensuel du ménage (euros)</w:t>
            </w:r>
          </w:p>
        </w:tc>
        <w:tc>
          <w:tcPr>
            <w:tcW w:type="dxa" w:w="2268"/>
            <w:shd w:val="clear" w:color="auto" w:fill="E8ECF2"/>
            <w:vAlign w:val="center"/>
          </w:tcPr>
          <w:p>
            <w:pPr>
              <w:keepNext/>
              <w:spacing w:after="0" w:line="240" w:lineRule="auto"/>
              <w:jc w:val="center"/>
            </w:pPr>
            <w:r/>
            <w:r>
              <w:rPr>
                <w:b/>
                <w:i w:val="0"/>
                <w:sz w:val="18"/>
              </w:rPr>
              <w:t>Logarithme du revenu</w:t>
            </w:r>
          </w:p>
        </w:tc>
      </w:tr>
      <w:tr>
        <w:trPr>
          <w:cantSplit/>
        </w:trPr>
        <w:tc>
          <w:tcPr>
            <w:tcW w:type="dxa" w:w="2268"/>
            <w:vAlign w:val="center"/>
          </w:tcPr>
          <w:p>
            <w:pPr>
              <w:keepNext/>
              <w:spacing w:after="0" w:line="240" w:lineRule="auto"/>
              <w:jc w:val="left"/>
            </w:pPr>
            <w:r/>
            <w:r>
              <w:rPr>
                <w:b w:val="0"/>
                <w:i w:val="0"/>
                <w:sz w:val="18"/>
              </w:rPr>
              <w:t>Observations</w:t>
            </w:r>
          </w:p>
        </w:tc>
        <w:tc>
          <w:tcPr>
            <w:tcW w:type="dxa" w:w="2268"/>
            <w:vAlign w:val="center"/>
          </w:tcPr>
          <w:p>
            <w:pPr>
              <w:keepNext/>
              <w:spacing w:after="0" w:line="240" w:lineRule="auto"/>
              <w:jc w:val="center"/>
            </w:pPr>
            <w:r/>
            <w:r>
              <w:rPr>
                <w:b w:val="0"/>
                <w:i w:val="0"/>
                <w:sz w:val="18"/>
              </w:rPr>
              <w:t>3 962</w:t>
            </w:r>
          </w:p>
        </w:tc>
        <w:tc>
          <w:tcPr>
            <w:tcW w:type="dxa" w:w="2268"/>
            <w:vAlign w:val="center"/>
          </w:tcPr>
          <w:p>
            <w:pPr>
              <w:keepNext/>
              <w:spacing w:after="0" w:line="240" w:lineRule="auto"/>
              <w:jc w:val="center"/>
            </w:pPr>
            <w:r/>
            <w:r>
              <w:rPr>
                <w:b w:val="0"/>
                <w:i w:val="0"/>
                <w:sz w:val="18"/>
              </w:rPr>
              <w:t>3 502</w:t>
            </w:r>
          </w:p>
        </w:tc>
        <w:tc>
          <w:tcPr>
            <w:tcW w:type="dxa" w:w="2268"/>
            <w:vAlign w:val="center"/>
          </w:tcPr>
          <w:p>
            <w:pPr>
              <w:keepNext/>
              <w:spacing w:after="0" w:line="240" w:lineRule="auto"/>
              <w:jc w:val="center"/>
            </w:pPr>
            <w:r/>
            <w:r>
              <w:rPr>
                <w:b w:val="0"/>
                <w:i w:val="0"/>
                <w:sz w:val="18"/>
              </w:rPr>
              <w:t>3 502</w:t>
            </w:r>
          </w:p>
        </w:tc>
      </w:tr>
      <w:tr>
        <w:trPr>
          <w:cantSplit/>
        </w:trPr>
        <w:tc>
          <w:tcPr>
            <w:tcW w:type="dxa" w:w="2268"/>
            <w:vAlign w:val="center"/>
          </w:tcPr>
          <w:p>
            <w:pPr>
              <w:keepNext/>
              <w:spacing w:after="0" w:line="240" w:lineRule="auto"/>
              <w:jc w:val="left"/>
            </w:pPr>
            <w:r/>
            <w:r>
              <w:rPr>
                <w:b w:val="0"/>
                <w:i w:val="0"/>
                <w:sz w:val="18"/>
              </w:rPr>
              <w:t>Moyenne</w:t>
            </w:r>
          </w:p>
        </w:tc>
        <w:tc>
          <w:tcPr>
            <w:tcW w:type="dxa" w:w="2268"/>
            <w:vAlign w:val="center"/>
          </w:tcPr>
          <w:p>
            <w:pPr>
              <w:keepNext/>
              <w:spacing w:after="0" w:line="240" w:lineRule="auto"/>
              <w:jc w:val="center"/>
            </w:pPr>
            <w:r/>
            <w:r>
              <w:rPr>
                <w:b w:val="0"/>
                <w:i w:val="0"/>
                <w:sz w:val="18"/>
              </w:rPr>
              <w:t>48,6</w:t>
            </w:r>
          </w:p>
        </w:tc>
        <w:tc>
          <w:tcPr>
            <w:tcW w:type="dxa" w:w="2268"/>
            <w:vAlign w:val="center"/>
          </w:tcPr>
          <w:p>
            <w:pPr>
              <w:keepNext/>
              <w:spacing w:after="0" w:line="240" w:lineRule="auto"/>
              <w:jc w:val="center"/>
            </w:pPr>
            <w:r/>
            <w:r>
              <w:rPr>
                <w:b w:val="0"/>
                <w:i w:val="0"/>
                <w:sz w:val="18"/>
              </w:rPr>
              <w:t>3 299</w:t>
            </w:r>
          </w:p>
        </w:tc>
        <w:tc>
          <w:tcPr>
            <w:tcW w:type="dxa" w:w="2268"/>
            <w:vAlign w:val="center"/>
          </w:tcPr>
          <w:p>
            <w:pPr>
              <w:keepNext/>
              <w:spacing w:after="0" w:line="240" w:lineRule="auto"/>
              <w:jc w:val="center"/>
            </w:pPr>
            <w:r/>
            <w:r>
              <w:rPr>
                <w:b w:val="0"/>
                <w:i w:val="0"/>
                <w:sz w:val="18"/>
              </w:rPr>
              <w:t>7,980</w:t>
            </w:r>
          </w:p>
        </w:tc>
      </w:tr>
      <w:tr>
        <w:trPr>
          <w:cantSplit/>
        </w:trPr>
        <w:tc>
          <w:tcPr>
            <w:tcW w:type="dxa" w:w="2268"/>
            <w:vAlign w:val="center"/>
          </w:tcPr>
          <w:p>
            <w:pPr>
              <w:keepNext/>
              <w:spacing w:after="0" w:line="240" w:lineRule="auto"/>
              <w:jc w:val="left"/>
            </w:pPr>
            <w:r/>
            <w:r>
              <w:rPr>
                <w:b w:val="0"/>
                <w:i w:val="0"/>
                <w:sz w:val="18"/>
              </w:rPr>
              <w:t>Écart-type</w:t>
            </w:r>
          </w:p>
        </w:tc>
        <w:tc>
          <w:tcPr>
            <w:tcW w:type="dxa" w:w="2268"/>
            <w:vAlign w:val="center"/>
          </w:tcPr>
          <w:p>
            <w:pPr>
              <w:keepNext/>
              <w:spacing w:after="0" w:line="240" w:lineRule="auto"/>
              <w:jc w:val="center"/>
            </w:pPr>
            <w:r/>
            <w:r>
              <w:rPr>
                <w:b w:val="0"/>
                <w:i w:val="0"/>
                <w:sz w:val="18"/>
              </w:rPr>
              <w:t>13,1</w:t>
            </w:r>
          </w:p>
        </w:tc>
        <w:tc>
          <w:tcPr>
            <w:tcW w:type="dxa" w:w="2268"/>
            <w:vAlign w:val="center"/>
          </w:tcPr>
          <w:p>
            <w:pPr>
              <w:keepNext/>
              <w:spacing w:after="0" w:line="240" w:lineRule="auto"/>
              <w:jc w:val="center"/>
            </w:pPr>
            <w:r/>
            <w:r>
              <w:rPr>
                <w:b w:val="0"/>
                <w:i w:val="0"/>
                <w:sz w:val="18"/>
              </w:rPr>
              <w:t>1 765</w:t>
            </w:r>
          </w:p>
        </w:tc>
        <w:tc>
          <w:tcPr>
            <w:tcW w:type="dxa" w:w="2268"/>
            <w:vAlign w:val="center"/>
          </w:tcPr>
          <w:p>
            <w:pPr>
              <w:keepNext/>
              <w:spacing w:after="0" w:line="240" w:lineRule="auto"/>
              <w:jc w:val="center"/>
            </w:pPr>
            <w:r/>
            <w:r>
              <w:rPr>
                <w:b w:val="0"/>
                <w:i w:val="0"/>
                <w:sz w:val="18"/>
              </w:rPr>
              <w:t>0,495</w:t>
            </w:r>
          </w:p>
        </w:tc>
      </w:tr>
      <w:tr>
        <w:trPr>
          <w:cantSplit/>
        </w:trPr>
        <w:tc>
          <w:tcPr>
            <w:tcW w:type="dxa" w:w="2268"/>
            <w:vAlign w:val="center"/>
          </w:tcPr>
          <w:p>
            <w:pPr>
              <w:keepNext/>
              <w:spacing w:after="0" w:line="240" w:lineRule="auto"/>
              <w:jc w:val="left"/>
            </w:pPr>
            <w:r/>
            <w:r>
              <w:rPr>
                <w:b w:val="0"/>
                <w:i w:val="0"/>
                <w:sz w:val="18"/>
              </w:rPr>
              <w:t>Minimum</w:t>
            </w:r>
          </w:p>
        </w:tc>
        <w:tc>
          <w:tcPr>
            <w:tcW w:type="dxa" w:w="2268"/>
            <w:vAlign w:val="center"/>
          </w:tcPr>
          <w:p>
            <w:pPr>
              <w:keepNext/>
              <w:spacing w:after="0" w:line="240" w:lineRule="auto"/>
              <w:jc w:val="center"/>
            </w:pPr>
            <w:r/>
            <w:r>
              <w:rPr>
                <w:b w:val="0"/>
                <w:i w:val="0"/>
                <w:sz w:val="18"/>
              </w:rPr>
              <w:t>20</w:t>
            </w:r>
          </w:p>
        </w:tc>
        <w:tc>
          <w:tcPr>
            <w:tcW w:type="dxa" w:w="2268"/>
            <w:vAlign w:val="center"/>
          </w:tcPr>
          <w:p>
            <w:pPr>
              <w:keepNext/>
              <w:spacing w:after="0" w:line="240" w:lineRule="auto"/>
              <w:jc w:val="center"/>
            </w:pPr>
            <w:r/>
            <w:r>
              <w:rPr>
                <w:b w:val="0"/>
                <w:i w:val="0"/>
                <w:sz w:val="18"/>
              </w:rPr>
              <w:t>500</w:t>
            </w:r>
          </w:p>
        </w:tc>
        <w:tc>
          <w:tcPr>
            <w:tcW w:type="dxa" w:w="2268"/>
            <w:vAlign w:val="center"/>
          </w:tcPr>
          <w:p>
            <w:pPr>
              <w:keepNext/>
              <w:spacing w:after="0" w:line="240" w:lineRule="auto"/>
              <w:jc w:val="center"/>
            </w:pPr>
            <w:r/>
            <w:r>
              <w:rPr>
                <w:b w:val="0"/>
                <w:i w:val="0"/>
                <w:sz w:val="18"/>
              </w:rPr>
              <w:t>6,215</w:t>
            </w:r>
          </w:p>
        </w:tc>
      </w:tr>
      <w:tr>
        <w:trPr>
          <w:cantSplit/>
        </w:trPr>
        <w:tc>
          <w:tcPr>
            <w:tcW w:type="dxa" w:w="2268"/>
            <w:vAlign w:val="center"/>
          </w:tcPr>
          <w:p>
            <w:pPr>
              <w:keepNext/>
              <w:spacing w:after="0" w:line="240" w:lineRule="auto"/>
              <w:jc w:val="left"/>
            </w:pPr>
            <w:r/>
            <w:r>
              <w:rPr>
                <w:b w:val="0"/>
                <w:i w:val="0"/>
                <w:sz w:val="18"/>
              </w:rPr>
              <w:t>1er décile</w:t>
            </w:r>
          </w:p>
        </w:tc>
        <w:tc>
          <w:tcPr>
            <w:tcW w:type="dxa" w:w="2268"/>
            <w:vAlign w:val="center"/>
          </w:tcPr>
          <w:p>
            <w:pPr>
              <w:keepNext/>
              <w:spacing w:after="0" w:line="240" w:lineRule="auto"/>
              <w:jc w:val="center"/>
            </w:pPr>
            <w:r/>
            <w:r>
              <w:rPr>
                <w:b w:val="0"/>
                <w:i w:val="0"/>
                <w:sz w:val="18"/>
              </w:rPr>
              <w:t>32</w:t>
            </w:r>
          </w:p>
        </w:tc>
        <w:tc>
          <w:tcPr>
            <w:tcW w:type="dxa" w:w="2268"/>
            <w:vAlign w:val="center"/>
          </w:tcPr>
          <w:p>
            <w:pPr>
              <w:keepNext/>
              <w:spacing w:after="0" w:line="240" w:lineRule="auto"/>
              <w:jc w:val="center"/>
            </w:pPr>
            <w:r/>
            <w:r>
              <w:rPr>
                <w:b w:val="0"/>
                <w:i w:val="0"/>
                <w:sz w:val="18"/>
              </w:rPr>
              <w:t>1 500</w:t>
            </w:r>
          </w:p>
        </w:tc>
        <w:tc>
          <w:tcPr>
            <w:tcW w:type="dxa" w:w="2268"/>
            <w:vAlign w:val="center"/>
          </w:tcPr>
          <w:p>
            <w:pPr>
              <w:keepNext/>
              <w:spacing w:after="0" w:line="240" w:lineRule="auto"/>
              <w:jc w:val="center"/>
            </w:pPr>
            <w:r/>
            <w:r>
              <w:rPr>
                <w:b w:val="0"/>
                <w:i w:val="0"/>
                <w:sz w:val="18"/>
              </w:rPr>
              <w:t>7,313</w:t>
            </w:r>
          </w:p>
        </w:tc>
      </w:tr>
      <w:tr>
        <w:trPr>
          <w:cantSplit/>
        </w:trPr>
        <w:tc>
          <w:tcPr>
            <w:tcW w:type="dxa" w:w="2268"/>
            <w:vAlign w:val="center"/>
          </w:tcPr>
          <w:p>
            <w:pPr>
              <w:keepNext/>
              <w:spacing w:after="0" w:line="240" w:lineRule="auto"/>
              <w:jc w:val="left"/>
            </w:pPr>
            <w:r/>
            <w:r>
              <w:rPr>
                <w:b w:val="0"/>
                <w:i w:val="0"/>
                <w:sz w:val="18"/>
              </w:rPr>
              <w:t>1er quartile</w:t>
            </w:r>
          </w:p>
        </w:tc>
        <w:tc>
          <w:tcPr>
            <w:tcW w:type="dxa" w:w="2268"/>
            <w:vAlign w:val="center"/>
          </w:tcPr>
          <w:p>
            <w:pPr>
              <w:keepNext/>
              <w:spacing w:after="0" w:line="240" w:lineRule="auto"/>
              <w:jc w:val="center"/>
            </w:pPr>
            <w:r/>
            <w:r>
              <w:rPr>
                <w:b w:val="0"/>
                <w:i w:val="0"/>
                <w:sz w:val="18"/>
              </w:rPr>
              <w:t>39</w:t>
            </w:r>
          </w:p>
        </w:tc>
        <w:tc>
          <w:tcPr>
            <w:tcW w:type="dxa" w:w="2268"/>
            <w:vAlign w:val="center"/>
          </w:tcPr>
          <w:p>
            <w:pPr>
              <w:keepNext/>
              <w:spacing w:after="0" w:line="240" w:lineRule="auto"/>
              <w:jc w:val="center"/>
            </w:pPr>
            <w:r/>
            <w:r>
              <w:rPr>
                <w:b w:val="0"/>
                <w:i w:val="0"/>
                <w:sz w:val="18"/>
              </w:rPr>
              <w:t>2 100</w:t>
            </w:r>
          </w:p>
        </w:tc>
        <w:tc>
          <w:tcPr>
            <w:tcW w:type="dxa" w:w="2268"/>
            <w:vAlign w:val="center"/>
          </w:tcPr>
          <w:p>
            <w:pPr>
              <w:keepNext/>
              <w:spacing w:after="0" w:line="240" w:lineRule="auto"/>
              <w:jc w:val="center"/>
            </w:pPr>
            <w:r/>
            <w:r>
              <w:rPr>
                <w:b w:val="0"/>
                <w:i w:val="0"/>
                <w:sz w:val="18"/>
              </w:rPr>
              <w:t>7,650</w:t>
            </w:r>
          </w:p>
        </w:tc>
      </w:tr>
      <w:tr>
        <w:trPr>
          <w:cantSplit/>
        </w:trPr>
        <w:tc>
          <w:tcPr>
            <w:tcW w:type="dxa" w:w="2268"/>
            <w:vAlign w:val="center"/>
          </w:tcPr>
          <w:p>
            <w:pPr>
              <w:keepNext/>
              <w:spacing w:after="0" w:line="240" w:lineRule="auto"/>
              <w:jc w:val="left"/>
            </w:pPr>
            <w:r/>
            <w:r>
              <w:rPr>
                <w:b w:val="0"/>
                <w:i w:val="0"/>
                <w:sz w:val="18"/>
              </w:rPr>
              <w:t>Médiane</w:t>
            </w:r>
          </w:p>
        </w:tc>
        <w:tc>
          <w:tcPr>
            <w:tcW w:type="dxa" w:w="2268"/>
            <w:vAlign w:val="center"/>
          </w:tcPr>
          <w:p>
            <w:pPr>
              <w:keepNext/>
              <w:spacing w:after="0" w:line="240" w:lineRule="auto"/>
              <w:jc w:val="center"/>
            </w:pPr>
            <w:r/>
            <w:r>
              <w:rPr>
                <w:b w:val="0"/>
                <w:i w:val="0"/>
                <w:sz w:val="18"/>
              </w:rPr>
              <w:t>48</w:t>
            </w:r>
          </w:p>
        </w:tc>
        <w:tc>
          <w:tcPr>
            <w:tcW w:type="dxa" w:w="2268"/>
            <w:vAlign w:val="center"/>
          </w:tcPr>
          <w:p>
            <w:pPr>
              <w:keepNext/>
              <w:spacing w:after="0" w:line="240" w:lineRule="auto"/>
              <w:jc w:val="center"/>
            </w:pPr>
            <w:r/>
            <w:r>
              <w:rPr>
                <w:b w:val="0"/>
                <w:i w:val="0"/>
                <w:sz w:val="18"/>
              </w:rPr>
              <w:t>3 000</w:t>
            </w:r>
          </w:p>
        </w:tc>
        <w:tc>
          <w:tcPr>
            <w:tcW w:type="dxa" w:w="2268"/>
            <w:vAlign w:val="center"/>
          </w:tcPr>
          <w:p>
            <w:pPr>
              <w:keepNext/>
              <w:spacing w:after="0" w:line="240" w:lineRule="auto"/>
              <w:jc w:val="center"/>
            </w:pPr>
            <w:r/>
            <w:r>
              <w:rPr>
                <w:b w:val="0"/>
                <w:i w:val="0"/>
                <w:sz w:val="18"/>
              </w:rPr>
              <w:t>8,006</w:t>
            </w:r>
          </w:p>
        </w:tc>
      </w:tr>
      <w:tr>
        <w:trPr>
          <w:cantSplit/>
        </w:trPr>
        <w:tc>
          <w:tcPr>
            <w:tcW w:type="dxa" w:w="2268"/>
            <w:vAlign w:val="center"/>
          </w:tcPr>
          <w:p>
            <w:pPr>
              <w:keepNext/>
              <w:spacing w:after="0" w:line="240" w:lineRule="auto"/>
              <w:jc w:val="left"/>
            </w:pPr>
            <w:r/>
            <w:r>
              <w:rPr>
                <w:b w:val="0"/>
                <w:i w:val="0"/>
                <w:sz w:val="18"/>
              </w:rPr>
              <w:t>3e quartile</w:t>
            </w:r>
          </w:p>
        </w:tc>
        <w:tc>
          <w:tcPr>
            <w:tcW w:type="dxa" w:w="2268"/>
            <w:vAlign w:val="center"/>
          </w:tcPr>
          <w:p>
            <w:pPr>
              <w:keepNext/>
              <w:spacing w:after="0" w:line="240" w:lineRule="auto"/>
              <w:jc w:val="center"/>
            </w:pPr>
            <w:r/>
            <w:r>
              <w:rPr>
                <w:b w:val="0"/>
                <w:i w:val="0"/>
                <w:sz w:val="18"/>
              </w:rPr>
              <w:t>58</w:t>
            </w:r>
          </w:p>
        </w:tc>
        <w:tc>
          <w:tcPr>
            <w:tcW w:type="dxa" w:w="2268"/>
            <w:vAlign w:val="center"/>
          </w:tcPr>
          <w:p>
            <w:pPr>
              <w:keepNext/>
              <w:spacing w:after="0" w:line="240" w:lineRule="auto"/>
              <w:jc w:val="center"/>
            </w:pPr>
            <w:r/>
            <w:r>
              <w:rPr>
                <w:b w:val="0"/>
                <w:i w:val="0"/>
                <w:sz w:val="18"/>
              </w:rPr>
              <w:t>4 000</w:t>
            </w:r>
          </w:p>
        </w:tc>
        <w:tc>
          <w:tcPr>
            <w:tcW w:type="dxa" w:w="2268"/>
            <w:vAlign w:val="center"/>
          </w:tcPr>
          <w:p>
            <w:pPr>
              <w:keepNext/>
              <w:spacing w:after="0" w:line="240" w:lineRule="auto"/>
              <w:jc w:val="center"/>
            </w:pPr>
            <w:r/>
            <w:r>
              <w:rPr>
                <w:b w:val="0"/>
                <w:i w:val="0"/>
                <w:sz w:val="18"/>
              </w:rPr>
              <w:t>8,294</w:t>
            </w:r>
          </w:p>
        </w:tc>
      </w:tr>
      <w:tr>
        <w:trPr>
          <w:cantSplit/>
        </w:trPr>
        <w:tc>
          <w:tcPr>
            <w:tcW w:type="dxa" w:w="2268"/>
            <w:vAlign w:val="center"/>
          </w:tcPr>
          <w:p>
            <w:pPr>
              <w:keepNext/>
              <w:spacing w:after="0" w:line="240" w:lineRule="auto"/>
              <w:jc w:val="left"/>
            </w:pPr>
            <w:r/>
            <w:r>
              <w:rPr>
                <w:b w:val="0"/>
                <w:i w:val="0"/>
                <w:sz w:val="18"/>
              </w:rPr>
              <w:t>9e décile</w:t>
            </w:r>
          </w:p>
        </w:tc>
        <w:tc>
          <w:tcPr>
            <w:tcW w:type="dxa" w:w="2268"/>
            <w:vAlign w:val="center"/>
          </w:tcPr>
          <w:p>
            <w:pPr>
              <w:keepNext/>
              <w:spacing w:after="0" w:line="240" w:lineRule="auto"/>
              <w:jc w:val="center"/>
            </w:pPr>
            <w:r/>
            <w:r>
              <w:rPr>
                <w:b w:val="0"/>
                <w:i w:val="0"/>
                <w:sz w:val="18"/>
              </w:rPr>
              <w:t>67</w:t>
            </w:r>
          </w:p>
        </w:tc>
        <w:tc>
          <w:tcPr>
            <w:tcW w:type="dxa" w:w="2268"/>
            <w:vAlign w:val="center"/>
          </w:tcPr>
          <w:p>
            <w:pPr>
              <w:keepNext/>
              <w:spacing w:after="0" w:line="240" w:lineRule="auto"/>
              <w:jc w:val="center"/>
            </w:pPr>
            <w:r/>
            <w:r>
              <w:rPr>
                <w:b w:val="0"/>
                <w:i w:val="0"/>
                <w:sz w:val="18"/>
              </w:rPr>
              <w:t>5 200</w:t>
            </w:r>
          </w:p>
        </w:tc>
        <w:tc>
          <w:tcPr>
            <w:tcW w:type="dxa" w:w="2268"/>
            <w:vAlign w:val="center"/>
          </w:tcPr>
          <w:p>
            <w:pPr>
              <w:keepNext/>
              <w:spacing w:after="0" w:line="240" w:lineRule="auto"/>
              <w:jc w:val="center"/>
            </w:pPr>
            <w:r/>
            <w:r>
              <w:rPr>
                <w:b w:val="0"/>
                <w:i w:val="0"/>
                <w:sz w:val="18"/>
              </w:rPr>
              <w:t>8,556</w:t>
            </w:r>
          </w:p>
        </w:tc>
      </w:tr>
      <w:tr>
        <w:trPr>
          <w:cantSplit/>
        </w:trPr>
        <w:tc>
          <w:tcPr>
            <w:tcW w:type="dxa" w:w="2268"/>
            <w:vAlign w:val="center"/>
          </w:tcPr>
          <w:p>
            <w:pPr>
              <w:keepNext/>
              <w:spacing w:after="0" w:line="240" w:lineRule="auto"/>
              <w:jc w:val="left"/>
            </w:pPr>
            <w:r/>
            <w:r>
              <w:rPr>
                <w:b w:val="0"/>
                <w:i w:val="0"/>
                <w:sz w:val="18"/>
              </w:rPr>
              <w:t>Maximum</w:t>
            </w:r>
          </w:p>
        </w:tc>
        <w:tc>
          <w:tcPr>
            <w:tcW w:type="dxa" w:w="2268"/>
            <w:vAlign w:val="center"/>
          </w:tcPr>
          <w:p>
            <w:pPr>
              <w:keepNext/>
              <w:spacing w:after="0" w:line="240" w:lineRule="auto"/>
              <w:jc w:val="center"/>
            </w:pPr>
            <w:r/>
            <w:r>
              <w:rPr>
                <w:b w:val="0"/>
                <w:i w:val="0"/>
                <w:sz w:val="18"/>
              </w:rPr>
              <w:t>93</w:t>
            </w:r>
          </w:p>
        </w:tc>
        <w:tc>
          <w:tcPr>
            <w:tcW w:type="dxa" w:w="2268"/>
            <w:vAlign w:val="center"/>
          </w:tcPr>
          <w:p>
            <w:pPr>
              <w:keepNext/>
              <w:spacing w:after="0" w:line="240" w:lineRule="auto"/>
              <w:jc w:val="center"/>
            </w:pPr>
            <w:r/>
            <w:r>
              <w:rPr>
                <w:b w:val="0"/>
                <w:i w:val="0"/>
                <w:sz w:val="18"/>
              </w:rPr>
              <w:t>25 284</w:t>
            </w:r>
          </w:p>
        </w:tc>
        <w:tc>
          <w:tcPr>
            <w:tcW w:type="dxa" w:w="2268"/>
            <w:vAlign w:val="center"/>
          </w:tcPr>
          <w:p>
            <w:pPr>
              <w:keepNext/>
              <w:spacing w:after="0" w:line="240" w:lineRule="auto"/>
              <w:jc w:val="center"/>
            </w:pPr>
            <w:r/>
            <w:r>
              <w:rPr>
                <w:b w:val="0"/>
                <w:i w:val="0"/>
                <w:sz w:val="18"/>
              </w:rPr>
              <w:t>10,138</w:t>
            </w:r>
          </w:p>
        </w:tc>
      </w:tr>
      <w:tr>
        <w:trPr>
          <w:cantSplit/>
        </w:trPr>
        <w:tc>
          <w:tcPr>
            <w:tcW w:type="dxa" w:w="2268"/>
            <w:vAlign w:val="center"/>
          </w:tcPr>
          <w:p>
            <w:pPr>
              <w:keepNext/>
              <w:spacing w:after="0" w:line="240" w:lineRule="auto"/>
              <w:jc w:val="left"/>
            </w:pPr>
            <w:r/>
            <w:r>
              <w:rPr>
                <w:b w:val="0"/>
                <w:i w:val="0"/>
                <w:sz w:val="18"/>
              </w:rPr>
              <w:t>Skewness</w:t>
            </w:r>
          </w:p>
        </w:tc>
        <w:tc>
          <w:tcPr>
            <w:tcW w:type="dxa" w:w="2268"/>
            <w:vAlign w:val="center"/>
          </w:tcPr>
          <w:p>
            <w:pPr>
              <w:keepNext/>
              <w:spacing w:after="0" w:line="240" w:lineRule="auto"/>
              <w:jc w:val="center"/>
            </w:pPr>
            <w:r/>
            <w:r>
              <w:rPr>
                <w:b w:val="0"/>
                <w:i w:val="0"/>
                <w:sz w:val="18"/>
              </w:rPr>
              <w:t>0,28</w:t>
            </w:r>
          </w:p>
        </w:tc>
        <w:tc>
          <w:tcPr>
            <w:tcW w:type="dxa" w:w="2268"/>
            <w:vAlign w:val="center"/>
          </w:tcPr>
          <w:p>
            <w:pPr>
              <w:keepNext/>
              <w:spacing w:after="0" w:line="240" w:lineRule="auto"/>
              <w:jc w:val="center"/>
            </w:pPr>
            <w:r/>
            <w:r>
              <w:rPr>
                <w:b w:val="0"/>
                <w:i w:val="0"/>
                <w:sz w:val="18"/>
              </w:rPr>
              <w:t>2,39</w:t>
            </w:r>
          </w:p>
        </w:tc>
        <w:tc>
          <w:tcPr>
            <w:tcW w:type="dxa" w:w="2268"/>
            <w:vAlign w:val="center"/>
          </w:tcPr>
          <w:p>
            <w:pPr>
              <w:keepNext/>
              <w:spacing w:after="0" w:line="240" w:lineRule="auto"/>
              <w:jc w:val="center"/>
            </w:pPr>
            <w:r/>
            <w:r>
              <w:rPr>
                <w:b w:val="0"/>
                <w:i w:val="0"/>
                <w:sz w:val="18"/>
              </w:rPr>
              <w:t>–0,08</w:t>
            </w:r>
          </w:p>
        </w:tc>
      </w:tr>
      <w:tr>
        <w:trPr>
          <w:cantSplit/>
        </w:trPr>
        <w:tc>
          <w:tcPr>
            <w:tcW w:type="dxa" w:w="2268"/>
            <w:vAlign w:val="center"/>
          </w:tcPr>
          <w:p>
            <w:pPr>
              <w:spacing w:after="0" w:line="240" w:lineRule="auto"/>
              <w:jc w:val="left"/>
            </w:pPr>
            <w:r/>
            <w:r>
              <w:rPr>
                <w:b w:val="0"/>
                <w:i w:val="0"/>
                <w:sz w:val="18"/>
              </w:rPr>
              <w:t>Kurtosis</w:t>
            </w:r>
          </w:p>
        </w:tc>
        <w:tc>
          <w:tcPr>
            <w:tcW w:type="dxa" w:w="2268"/>
            <w:vAlign w:val="center"/>
          </w:tcPr>
          <w:p>
            <w:pPr>
              <w:spacing w:after="0" w:line="240" w:lineRule="auto"/>
              <w:jc w:val="center"/>
            </w:pPr>
            <w:r/>
            <w:r>
              <w:rPr>
                <w:b w:val="0"/>
                <w:i w:val="0"/>
                <w:sz w:val="18"/>
              </w:rPr>
              <w:t>2,49</w:t>
            </w:r>
          </w:p>
        </w:tc>
        <w:tc>
          <w:tcPr>
            <w:tcW w:type="dxa" w:w="2268"/>
            <w:vAlign w:val="center"/>
          </w:tcPr>
          <w:p>
            <w:pPr>
              <w:spacing w:after="0" w:line="240" w:lineRule="auto"/>
              <w:jc w:val="center"/>
            </w:pPr>
            <w:r/>
            <w:r>
              <w:rPr>
                <w:b w:val="0"/>
                <w:i w:val="0"/>
                <w:sz w:val="18"/>
              </w:rPr>
              <w:t>16,81</w:t>
            </w:r>
          </w:p>
        </w:tc>
        <w:tc>
          <w:tcPr>
            <w:tcW w:type="dxa" w:w="2268"/>
            <w:vAlign w:val="center"/>
          </w:tcPr>
          <w:p>
            <w:pPr>
              <w:spacing w:after="0" w:line="240" w:lineRule="auto"/>
              <w:jc w:val="center"/>
            </w:pPr>
            <w:r/>
            <w:r>
              <w:rPr>
                <w:b w:val="0"/>
                <w:i w:val="0"/>
                <w:sz w:val="18"/>
              </w:rPr>
              <w:t>3,24</w:t>
            </w:r>
          </w:p>
        </w:tc>
      </w:tr>
    </w:tbl>
    <w:p>
      <w:pPr>
        <w:spacing w:after="200"/>
        <w:jc w:val="left"/>
      </w:pPr>
      <w:r>
        <w:rPr>
          <w:i/>
          <w:sz w:val="18"/>
        </w:rPr>
        <w:t>Source : INSEE, enquête SRCV 2015, base SRCV1_menage. Champ : échantillon de travail (3 962 ménages) ; pour le revenu, ménages ayant déclaré leur revenu (3 502). Commande Stata : tabstat agepr totreven lnrevenu.</w:t>
      </w:r>
    </w:p>
    <w:p>
      <w:pPr>
        <w:jc w:val="both"/>
      </w:pPr>
      <w:r>
        <w:t xml:space="preserve">Les personnes de référence ont en moyenne </w:t>
      </w:r>
      <w:r>
        <w:rPr>
          <w:b/>
        </w:rPr>
        <w:t>48,6 ans</w:t>
      </w:r>
      <w:r>
        <w:t>, et l’âge médian est de 48 ans. La moitié d’entre elles ont entre 39 et 58 ans. La distribution est assez symétrique (skewness de 0,28) et un peu plus aplatie qu’une loi normale (kurtosis de 2,49). Plus de la moitié des ménages (54 %) ont une personne de référence âgée de 35 à 55 ans, alors que seuls 49 ménages ont une personne de référence de moins de 25 ans et 25 ménages une personne de plus de 80 ans (figure 3). Les jeunes forment moins souvent un ménage autonome et empruntent plus difficilement, et les personnes âgées ont en général fini de rembourser : on voit déjà ici un effet de cycle de vie.</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866375"/>
                  <wp:docPr id="3" name="Picture 3"/>
                  <wp:cNvGraphicFramePr>
                    <a:graphicFrameLocks noChangeAspect="1"/>
                  </wp:cNvGraphicFramePr>
                  <a:graphic>
                    <a:graphicData uri="http://schemas.openxmlformats.org/drawingml/2006/picture">
                      <pic:pic>
                        <pic:nvPicPr>
                          <pic:cNvPr id="0" name="fig03_hist_age.png"/>
                          <pic:cNvPicPr/>
                        </pic:nvPicPr>
                        <pic:blipFill>
                          <a:blip r:embed="rId12"/>
                          <a:stretch>
                            <a:fillRect/>
                          </a:stretch>
                        </pic:blipFill>
                        <pic:spPr>
                          <a:xfrm>
                            <a:off x="0" y="0"/>
                            <a:ext cx="2844000" cy="1866375"/>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1866375"/>
                  <wp:docPr id="4" name="Picture 4"/>
                  <wp:cNvGraphicFramePr>
                    <a:graphicFrameLocks noChangeAspect="1"/>
                  </wp:cNvGraphicFramePr>
                  <a:graphic>
                    <a:graphicData uri="http://schemas.openxmlformats.org/drawingml/2006/picture">
                      <pic:pic>
                        <pic:nvPicPr>
                          <pic:cNvPr id="0" name="fig04_hist_revenu.png"/>
                          <pic:cNvPicPr/>
                        </pic:nvPicPr>
                        <pic:blipFill>
                          <a:blip r:embed="rId13"/>
                          <a:stretch>
                            <a:fillRect/>
                          </a:stretch>
                        </pic:blipFill>
                        <pic:spPr>
                          <a:xfrm>
                            <a:off x="0" y="0"/>
                            <a:ext cx="2844000" cy="1866375"/>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3 – Distribution de l’âge de la personne de référence</w:t>
            </w:r>
          </w:p>
        </w:tc>
        <w:tc>
          <w:tcPr>
            <w:tcW w:type="dxa" w:w="4536"/>
            <w:vAlign w:val="center"/>
          </w:tcPr>
          <w:p>
            <w:pPr>
              <w:spacing w:after="0" w:line="240" w:lineRule="auto"/>
              <w:jc w:val="center"/>
            </w:pPr>
            <w:r/>
            <w:r>
              <w:rPr>
                <w:b/>
                <w:i w:val="0"/>
                <w:sz w:val="19"/>
              </w:rPr>
              <w:t>Figure 4 – Distribution du revenu mensuel du ménage</w:t>
            </w:r>
          </w:p>
        </w:tc>
      </w:tr>
    </w:tbl>
    <w:p>
      <w:pPr>
        <w:spacing w:after="200"/>
        <w:jc w:val="left"/>
      </w:pPr>
      <w:r>
        <w:rPr>
          <w:i/>
          <w:sz w:val="18"/>
        </w:rPr>
        <w:t>Source : INSEE, enquête SRCV 2015, base SRCV1_menage. Champ : échantillon de travail (3 962 ménages) ; figure 4 : ménages ayant déclaré leur revenu (3 502).</w:t>
      </w:r>
    </w:p>
    <w:p>
      <w:pPr>
        <w:jc w:val="both"/>
      </w:pPr>
      <w:r>
        <w:t xml:space="preserve">Pour les 3 502 ménages qui l’ont déclaré, le revenu mensuel moyen est de </w:t>
      </w:r>
      <w:r>
        <w:rPr>
          <w:b/>
        </w:rPr>
        <w:t>3 299 euros</w:t>
      </w:r>
      <w:r>
        <w:t xml:space="preserve"> et le revenu médian de </w:t>
      </w:r>
      <w:r>
        <w:rPr>
          <w:b/>
        </w:rPr>
        <w:t>3 000 euros</w:t>
      </w:r>
      <w:r>
        <w:t>. 10 % des ménages ont moins de 1 500 euros par mois et 10 % plus de 5 200 euros. Comme toutes les distributions de revenus, celle-ci est très asymétrique vers la droite (skewness de 2,39, kurtosis de 16,81), avec quelques revenus très élevés (figure 4). Cette asymétrie disparaît presque en logarithme (skewness de –0,08 et kurtosis de 3,24) : si le revenu était introduit sous forme continue, il faudrait donc le prendre en logarithme. Enfin, le taux d’effort médian, c’est-à-dire la part du revenu consacrée aux remboursements, est de 19,1 % ; il dépasse 37,5 % pour 10 % des ménages, soit au-dessus de la règle d’un tiers des revenus appliquée par les banques.</w:t>
      </w:r>
    </w:p>
    <w:p>
      <w:pPr>
        <w:pStyle w:val="Heading3"/>
      </w:pPr>
      <w:r>
        <w:t>3.3. Les variables explicatives qualitatives</w:t>
      </w:r>
    </w:p>
    <w:p>
      <w:pPr>
        <w:keepNext/>
        <w:spacing w:after="60"/>
        <w:jc w:val="left"/>
      </w:pPr>
      <w:r>
        <w:rPr>
          <w:b/>
          <w:sz w:val="21"/>
        </w:rPr>
        <w:t>Tableau 9 – Fréquences des variables qualitatives après regroupement</w:t>
      </w:r>
    </w:p>
    <w:tbl>
      <w:tblPr>
        <w:tblW w:type="dxa" w:w="7938"/>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5103"/>
        <w:gridCol w:w="1417"/>
        <w:gridCol w:w="1417"/>
      </w:tblGrid>
      <w:tr>
        <w:trPr>
          <w:cantSplit/>
          <w:tblHeader/>
        </w:trPr>
        <w:tc>
          <w:tcPr>
            <w:tcW w:type="dxa" w:w="5103"/>
            <w:shd w:val="clear" w:color="auto" w:fill="E8ECF2"/>
            <w:vAlign w:val="center"/>
          </w:tcPr>
          <w:p>
            <w:pPr>
              <w:spacing w:after="0" w:line="240" w:lineRule="auto"/>
              <w:jc w:val="left"/>
            </w:pPr>
            <w:r/>
            <w:r>
              <w:rPr>
                <w:b/>
                <w:i w:val="0"/>
                <w:sz w:val="18"/>
              </w:rPr>
              <w:t>Modalité</w:t>
            </w:r>
          </w:p>
        </w:tc>
        <w:tc>
          <w:tcPr>
            <w:tcW w:type="dxa" w:w="1417"/>
            <w:shd w:val="clear" w:color="auto" w:fill="E8ECF2"/>
            <w:vAlign w:val="center"/>
          </w:tcPr>
          <w:p>
            <w:pPr>
              <w:spacing w:after="0" w:line="240" w:lineRule="auto"/>
              <w:jc w:val="center"/>
            </w:pPr>
            <w:r/>
            <w:r>
              <w:rPr>
                <w:b/>
                <w:i w:val="0"/>
                <w:sz w:val="18"/>
              </w:rPr>
              <w:t>Effectif</w:t>
            </w:r>
          </w:p>
        </w:tc>
        <w:tc>
          <w:tcPr>
            <w:tcW w:type="dxa" w:w="1417"/>
            <w:shd w:val="clear" w:color="auto" w:fill="E8ECF2"/>
            <w:vAlign w:val="center"/>
          </w:tcPr>
          <w:p>
            <w:pPr>
              <w:spacing w:after="0" w:line="240" w:lineRule="auto"/>
              <w:jc w:val="center"/>
            </w:pPr>
            <w:r/>
            <w:r>
              <w:rPr>
                <w:b/>
                <w:i w:val="0"/>
                <w:sz w:val="18"/>
              </w:rPr>
              <w:t>%</w:t>
            </w:r>
          </w:p>
        </w:tc>
      </w:tr>
      <w:tr>
        <w:trPr>
          <w:cantSplit/>
        </w:trPr>
        <w:tc>
          <w:tcPr>
            <w:tcW w:type="dxa" w:w="7938"/>
            <w:gridSpan w:val="3"/>
            <w:shd w:val="clear" w:color="auto" w:fill="F4F6F9"/>
            <w:vAlign w:val="center"/>
          </w:tcPr>
          <w:p>
            <w:pPr>
              <w:spacing w:after="0" w:line="240" w:lineRule="auto"/>
              <w:jc w:val="left"/>
            </w:pPr>
            <w:r/>
            <w:r>
              <w:rPr>
                <w:b/>
                <w:i w:val="0"/>
                <w:sz w:val="18"/>
              </w:rPr>
              <w:t>Revenu mensuel du ménage</w:t>
            </w:r>
          </w:p>
        </w:tc>
      </w:tr>
      <w:tr>
        <w:trPr>
          <w:cantSplit/>
        </w:trPr>
        <w:tc>
          <w:tcPr>
            <w:tcW w:type="dxa" w:w="5103"/>
            <w:vAlign w:val="center"/>
          </w:tcPr>
          <w:p>
            <w:pPr>
              <w:spacing w:after="0" w:line="240" w:lineRule="auto"/>
              <w:jc w:val="left"/>
            </w:pPr>
            <w:r/>
            <w:r>
              <w:rPr>
                <w:b w:val="0"/>
                <w:i w:val="0"/>
                <w:sz w:val="18"/>
              </w:rPr>
              <w:t>Moins de 2 000 €</w:t>
            </w:r>
          </w:p>
        </w:tc>
        <w:tc>
          <w:tcPr>
            <w:tcW w:type="dxa" w:w="1417"/>
            <w:vAlign w:val="center"/>
          </w:tcPr>
          <w:p>
            <w:pPr>
              <w:spacing w:after="0" w:line="240" w:lineRule="auto"/>
              <w:jc w:val="center"/>
            </w:pPr>
            <w:r/>
            <w:r>
              <w:rPr>
                <w:b w:val="0"/>
                <w:i w:val="0"/>
                <w:sz w:val="18"/>
              </w:rPr>
              <w:t>731</w:t>
            </w:r>
          </w:p>
        </w:tc>
        <w:tc>
          <w:tcPr>
            <w:tcW w:type="dxa" w:w="1417"/>
            <w:vAlign w:val="center"/>
          </w:tcPr>
          <w:p>
            <w:pPr>
              <w:spacing w:after="0" w:line="240" w:lineRule="auto"/>
              <w:jc w:val="center"/>
            </w:pPr>
            <w:r/>
            <w:r>
              <w:rPr>
                <w:b w:val="0"/>
                <w:i w:val="0"/>
                <w:sz w:val="18"/>
              </w:rPr>
              <w:t>18,5</w:t>
            </w:r>
          </w:p>
        </w:tc>
      </w:tr>
      <w:tr>
        <w:trPr>
          <w:cantSplit/>
        </w:trPr>
        <w:tc>
          <w:tcPr>
            <w:tcW w:type="dxa" w:w="5103"/>
            <w:vAlign w:val="center"/>
          </w:tcPr>
          <w:p>
            <w:pPr>
              <w:spacing w:after="0" w:line="240" w:lineRule="auto"/>
              <w:jc w:val="left"/>
            </w:pPr>
            <w:r/>
            <w:r>
              <w:rPr>
                <w:b w:val="0"/>
                <w:i w:val="0"/>
                <w:sz w:val="18"/>
              </w:rPr>
              <w:t>2 000 à 2 999 €</w:t>
            </w:r>
          </w:p>
        </w:tc>
        <w:tc>
          <w:tcPr>
            <w:tcW w:type="dxa" w:w="1417"/>
            <w:vAlign w:val="center"/>
          </w:tcPr>
          <w:p>
            <w:pPr>
              <w:spacing w:after="0" w:line="240" w:lineRule="auto"/>
              <w:jc w:val="center"/>
            </w:pPr>
            <w:r/>
            <w:r>
              <w:rPr>
                <w:b w:val="0"/>
                <w:i w:val="0"/>
                <w:sz w:val="18"/>
              </w:rPr>
              <w:t>895</w:t>
            </w:r>
          </w:p>
        </w:tc>
        <w:tc>
          <w:tcPr>
            <w:tcW w:type="dxa" w:w="1417"/>
            <w:vAlign w:val="center"/>
          </w:tcPr>
          <w:p>
            <w:pPr>
              <w:spacing w:after="0" w:line="240" w:lineRule="auto"/>
              <w:jc w:val="center"/>
            </w:pPr>
            <w:r/>
            <w:r>
              <w:rPr>
                <w:b w:val="0"/>
                <w:i w:val="0"/>
                <w:sz w:val="18"/>
              </w:rPr>
              <w:t>22,6</w:t>
            </w:r>
          </w:p>
        </w:tc>
      </w:tr>
      <w:tr>
        <w:trPr>
          <w:cantSplit/>
        </w:trPr>
        <w:tc>
          <w:tcPr>
            <w:tcW w:type="dxa" w:w="5103"/>
            <w:vAlign w:val="center"/>
          </w:tcPr>
          <w:p>
            <w:pPr>
              <w:spacing w:after="0" w:line="240" w:lineRule="auto"/>
              <w:jc w:val="left"/>
            </w:pPr>
            <w:r/>
            <w:r>
              <w:rPr>
                <w:b w:val="0"/>
                <w:i w:val="0"/>
                <w:sz w:val="18"/>
              </w:rPr>
              <w:t>3 000 à 3 999 €</w:t>
            </w:r>
          </w:p>
        </w:tc>
        <w:tc>
          <w:tcPr>
            <w:tcW w:type="dxa" w:w="1417"/>
            <w:vAlign w:val="center"/>
          </w:tcPr>
          <w:p>
            <w:pPr>
              <w:spacing w:after="0" w:line="240" w:lineRule="auto"/>
              <w:jc w:val="center"/>
            </w:pPr>
            <w:r/>
            <w:r>
              <w:rPr>
                <w:b w:val="0"/>
                <w:i w:val="0"/>
                <w:sz w:val="18"/>
              </w:rPr>
              <w:t>885</w:t>
            </w:r>
          </w:p>
        </w:tc>
        <w:tc>
          <w:tcPr>
            <w:tcW w:type="dxa" w:w="1417"/>
            <w:vAlign w:val="center"/>
          </w:tcPr>
          <w:p>
            <w:pPr>
              <w:spacing w:after="0" w:line="240" w:lineRule="auto"/>
              <w:jc w:val="center"/>
            </w:pPr>
            <w:r/>
            <w:r>
              <w:rPr>
                <w:b w:val="0"/>
                <w:i w:val="0"/>
                <w:sz w:val="18"/>
              </w:rPr>
              <w:t>22,3</w:t>
            </w:r>
          </w:p>
        </w:tc>
      </w:tr>
      <w:tr>
        <w:trPr>
          <w:cantSplit/>
        </w:trPr>
        <w:tc>
          <w:tcPr>
            <w:tcW w:type="dxa" w:w="5103"/>
            <w:vAlign w:val="center"/>
          </w:tcPr>
          <w:p>
            <w:pPr>
              <w:spacing w:after="0" w:line="240" w:lineRule="auto"/>
              <w:jc w:val="left"/>
            </w:pPr>
            <w:r/>
            <w:r>
              <w:rPr>
                <w:b w:val="0"/>
                <w:i w:val="0"/>
                <w:sz w:val="18"/>
              </w:rPr>
              <w:t>4 000 à 4 999 €</w:t>
            </w:r>
          </w:p>
        </w:tc>
        <w:tc>
          <w:tcPr>
            <w:tcW w:type="dxa" w:w="1417"/>
            <w:vAlign w:val="center"/>
          </w:tcPr>
          <w:p>
            <w:pPr>
              <w:spacing w:after="0" w:line="240" w:lineRule="auto"/>
              <w:jc w:val="center"/>
            </w:pPr>
            <w:r/>
            <w:r>
              <w:rPr>
                <w:b w:val="0"/>
                <w:i w:val="0"/>
                <w:sz w:val="18"/>
              </w:rPr>
              <w:t>526</w:t>
            </w:r>
          </w:p>
        </w:tc>
        <w:tc>
          <w:tcPr>
            <w:tcW w:type="dxa" w:w="1417"/>
            <w:vAlign w:val="center"/>
          </w:tcPr>
          <w:p>
            <w:pPr>
              <w:spacing w:after="0" w:line="240" w:lineRule="auto"/>
              <w:jc w:val="center"/>
            </w:pPr>
            <w:r/>
            <w:r>
              <w:rPr>
                <w:b w:val="0"/>
                <w:i w:val="0"/>
                <w:sz w:val="18"/>
              </w:rPr>
              <w:t>13,3</w:t>
            </w:r>
          </w:p>
        </w:tc>
      </w:tr>
      <w:tr>
        <w:trPr>
          <w:cantSplit/>
        </w:trPr>
        <w:tc>
          <w:tcPr>
            <w:tcW w:type="dxa" w:w="5103"/>
            <w:vAlign w:val="center"/>
          </w:tcPr>
          <w:p>
            <w:pPr>
              <w:spacing w:after="0" w:line="240" w:lineRule="auto"/>
              <w:jc w:val="left"/>
            </w:pPr>
            <w:r/>
            <w:r>
              <w:rPr>
                <w:b w:val="0"/>
                <w:i w:val="0"/>
                <w:sz w:val="18"/>
              </w:rPr>
              <w:t>5 000 € et plus</w:t>
            </w:r>
          </w:p>
        </w:tc>
        <w:tc>
          <w:tcPr>
            <w:tcW w:type="dxa" w:w="1417"/>
            <w:vAlign w:val="center"/>
          </w:tcPr>
          <w:p>
            <w:pPr>
              <w:spacing w:after="0" w:line="240" w:lineRule="auto"/>
              <w:jc w:val="center"/>
            </w:pPr>
            <w:r/>
            <w:r>
              <w:rPr>
                <w:b w:val="0"/>
                <w:i w:val="0"/>
                <w:sz w:val="18"/>
              </w:rPr>
              <w:t>465</w:t>
            </w:r>
          </w:p>
        </w:tc>
        <w:tc>
          <w:tcPr>
            <w:tcW w:type="dxa" w:w="1417"/>
            <w:vAlign w:val="center"/>
          </w:tcPr>
          <w:p>
            <w:pPr>
              <w:spacing w:after="0" w:line="240" w:lineRule="auto"/>
              <w:jc w:val="center"/>
            </w:pPr>
            <w:r/>
            <w:r>
              <w:rPr>
                <w:b w:val="0"/>
                <w:i w:val="0"/>
                <w:sz w:val="18"/>
              </w:rPr>
              <w:t>11,7</w:t>
            </w:r>
          </w:p>
        </w:tc>
      </w:tr>
      <w:tr>
        <w:trPr>
          <w:cantSplit/>
        </w:trPr>
        <w:tc>
          <w:tcPr>
            <w:tcW w:type="dxa" w:w="5103"/>
            <w:vAlign w:val="center"/>
          </w:tcPr>
          <w:p>
            <w:pPr>
              <w:spacing w:after="0" w:line="240" w:lineRule="auto"/>
              <w:jc w:val="left"/>
            </w:pPr>
            <w:r/>
            <w:r>
              <w:rPr>
                <w:b w:val="0"/>
                <w:i w:val="0"/>
                <w:sz w:val="18"/>
              </w:rPr>
              <w:t>Revenu non déclaré</w:t>
            </w:r>
          </w:p>
        </w:tc>
        <w:tc>
          <w:tcPr>
            <w:tcW w:type="dxa" w:w="1417"/>
            <w:vAlign w:val="center"/>
          </w:tcPr>
          <w:p>
            <w:pPr>
              <w:spacing w:after="0" w:line="240" w:lineRule="auto"/>
              <w:jc w:val="center"/>
            </w:pPr>
            <w:r/>
            <w:r>
              <w:rPr>
                <w:b w:val="0"/>
                <w:i w:val="0"/>
                <w:sz w:val="18"/>
              </w:rPr>
              <w:t>460</w:t>
            </w:r>
          </w:p>
        </w:tc>
        <w:tc>
          <w:tcPr>
            <w:tcW w:type="dxa" w:w="1417"/>
            <w:vAlign w:val="center"/>
          </w:tcPr>
          <w:p>
            <w:pPr>
              <w:spacing w:after="0" w:line="240" w:lineRule="auto"/>
              <w:jc w:val="center"/>
            </w:pPr>
            <w:r/>
            <w:r>
              <w:rPr>
                <w:b w:val="0"/>
                <w:i w:val="0"/>
                <w:sz w:val="18"/>
              </w:rPr>
              <w:t>11,6</w:t>
            </w:r>
          </w:p>
        </w:tc>
      </w:tr>
      <w:tr>
        <w:trPr>
          <w:cantSplit/>
        </w:trPr>
        <w:tc>
          <w:tcPr>
            <w:tcW w:type="dxa" w:w="7938"/>
            <w:gridSpan w:val="3"/>
            <w:shd w:val="clear" w:color="auto" w:fill="F4F6F9"/>
            <w:vAlign w:val="center"/>
          </w:tcPr>
          <w:p>
            <w:pPr>
              <w:spacing w:after="0" w:line="240" w:lineRule="auto"/>
              <w:jc w:val="left"/>
            </w:pPr>
            <w:r/>
            <w:r>
              <w:rPr>
                <w:b/>
                <w:i w:val="0"/>
                <w:sz w:val="18"/>
              </w:rPr>
              <w:t>Statut d’occupation du logement</w:t>
            </w:r>
          </w:p>
        </w:tc>
      </w:tr>
      <w:tr>
        <w:trPr>
          <w:cantSplit/>
        </w:trPr>
        <w:tc>
          <w:tcPr>
            <w:tcW w:type="dxa" w:w="5103"/>
            <w:vAlign w:val="center"/>
          </w:tcPr>
          <w:p>
            <w:pPr>
              <w:spacing w:after="0" w:line="240" w:lineRule="auto"/>
              <w:jc w:val="left"/>
            </w:pPr>
            <w:r/>
            <w:r>
              <w:rPr>
                <w:b w:val="0"/>
                <w:i w:val="0"/>
                <w:sz w:val="18"/>
              </w:rPr>
              <w:t>Propriétaire accédant</w:t>
            </w:r>
          </w:p>
        </w:tc>
        <w:tc>
          <w:tcPr>
            <w:tcW w:type="dxa" w:w="1417"/>
            <w:vAlign w:val="center"/>
          </w:tcPr>
          <w:p>
            <w:pPr>
              <w:spacing w:after="0" w:line="240" w:lineRule="auto"/>
              <w:jc w:val="center"/>
            </w:pPr>
            <w:r/>
            <w:r>
              <w:rPr>
                <w:b w:val="0"/>
                <w:i w:val="0"/>
                <w:sz w:val="18"/>
              </w:rPr>
              <w:t>2 252</w:t>
            </w:r>
          </w:p>
        </w:tc>
        <w:tc>
          <w:tcPr>
            <w:tcW w:type="dxa" w:w="1417"/>
            <w:vAlign w:val="center"/>
          </w:tcPr>
          <w:p>
            <w:pPr>
              <w:spacing w:after="0" w:line="240" w:lineRule="auto"/>
              <w:jc w:val="center"/>
            </w:pPr>
            <w:r/>
            <w:r>
              <w:rPr>
                <w:b w:val="0"/>
                <w:i w:val="0"/>
                <w:sz w:val="18"/>
              </w:rPr>
              <w:t>56,8</w:t>
            </w:r>
          </w:p>
        </w:tc>
      </w:tr>
      <w:tr>
        <w:trPr>
          <w:cantSplit/>
        </w:trPr>
        <w:tc>
          <w:tcPr>
            <w:tcW w:type="dxa" w:w="5103"/>
            <w:vAlign w:val="center"/>
          </w:tcPr>
          <w:p>
            <w:pPr>
              <w:spacing w:after="0" w:line="240" w:lineRule="auto"/>
              <w:jc w:val="left"/>
            </w:pPr>
            <w:r/>
            <w:r>
              <w:rPr>
                <w:b w:val="0"/>
                <w:i w:val="0"/>
                <w:sz w:val="18"/>
              </w:rPr>
              <w:t>Propriétaire non accédant</w:t>
            </w:r>
          </w:p>
        </w:tc>
        <w:tc>
          <w:tcPr>
            <w:tcW w:type="dxa" w:w="1417"/>
            <w:vAlign w:val="center"/>
          </w:tcPr>
          <w:p>
            <w:pPr>
              <w:spacing w:after="0" w:line="240" w:lineRule="auto"/>
              <w:jc w:val="center"/>
            </w:pPr>
            <w:r/>
            <w:r>
              <w:rPr>
                <w:b w:val="0"/>
                <w:i w:val="0"/>
                <w:sz w:val="18"/>
              </w:rPr>
              <w:t>732</w:t>
            </w:r>
          </w:p>
        </w:tc>
        <w:tc>
          <w:tcPr>
            <w:tcW w:type="dxa" w:w="1417"/>
            <w:vAlign w:val="center"/>
          </w:tcPr>
          <w:p>
            <w:pPr>
              <w:spacing w:after="0" w:line="240" w:lineRule="auto"/>
              <w:jc w:val="center"/>
            </w:pPr>
            <w:r/>
            <w:r>
              <w:rPr>
                <w:b w:val="0"/>
                <w:i w:val="0"/>
                <w:sz w:val="18"/>
              </w:rPr>
              <w:t>18,5</w:t>
            </w:r>
          </w:p>
        </w:tc>
      </w:tr>
      <w:tr>
        <w:trPr>
          <w:cantSplit/>
        </w:trPr>
        <w:tc>
          <w:tcPr>
            <w:tcW w:type="dxa" w:w="5103"/>
            <w:vAlign w:val="center"/>
          </w:tcPr>
          <w:p>
            <w:pPr>
              <w:spacing w:after="0" w:line="240" w:lineRule="auto"/>
              <w:jc w:val="left"/>
            </w:pPr>
            <w:r/>
            <w:r>
              <w:rPr>
                <w:b w:val="0"/>
                <w:i w:val="0"/>
                <w:sz w:val="18"/>
              </w:rPr>
              <w:t>Locataire ou logé gratuitement</w:t>
            </w:r>
          </w:p>
        </w:tc>
        <w:tc>
          <w:tcPr>
            <w:tcW w:type="dxa" w:w="1417"/>
            <w:vAlign w:val="center"/>
          </w:tcPr>
          <w:p>
            <w:pPr>
              <w:spacing w:after="0" w:line="240" w:lineRule="auto"/>
              <w:jc w:val="center"/>
            </w:pPr>
            <w:r/>
            <w:r>
              <w:rPr>
                <w:b w:val="0"/>
                <w:i w:val="0"/>
                <w:sz w:val="18"/>
              </w:rPr>
              <w:t>978</w:t>
            </w:r>
          </w:p>
        </w:tc>
        <w:tc>
          <w:tcPr>
            <w:tcW w:type="dxa" w:w="1417"/>
            <w:vAlign w:val="center"/>
          </w:tcPr>
          <w:p>
            <w:pPr>
              <w:spacing w:after="0" w:line="240" w:lineRule="auto"/>
              <w:jc w:val="center"/>
            </w:pPr>
            <w:r/>
            <w:r>
              <w:rPr>
                <w:b w:val="0"/>
                <w:i w:val="0"/>
                <w:sz w:val="18"/>
              </w:rPr>
              <w:t>24,7</w:t>
            </w:r>
          </w:p>
        </w:tc>
      </w:tr>
      <w:tr>
        <w:trPr>
          <w:cantSplit/>
        </w:trPr>
        <w:tc>
          <w:tcPr>
            <w:tcW w:type="dxa" w:w="7938"/>
            <w:gridSpan w:val="3"/>
            <w:shd w:val="clear" w:color="auto" w:fill="F4F6F9"/>
            <w:vAlign w:val="center"/>
          </w:tcPr>
          <w:p>
            <w:pPr>
              <w:spacing w:after="0" w:line="240" w:lineRule="auto"/>
              <w:jc w:val="left"/>
            </w:pPr>
            <w:r/>
            <w:r>
              <w:rPr>
                <w:b/>
                <w:i w:val="0"/>
                <w:sz w:val="18"/>
              </w:rPr>
              <w:t>Nombre de crédits en cours</w:t>
            </w:r>
          </w:p>
        </w:tc>
      </w:tr>
      <w:tr>
        <w:trPr>
          <w:cantSplit/>
        </w:trPr>
        <w:tc>
          <w:tcPr>
            <w:tcW w:type="dxa" w:w="5103"/>
            <w:vAlign w:val="center"/>
          </w:tcPr>
          <w:p>
            <w:pPr>
              <w:spacing w:after="0" w:line="240" w:lineRule="auto"/>
              <w:jc w:val="left"/>
            </w:pPr>
            <w:r/>
            <w:r>
              <w:rPr>
                <w:b w:val="0"/>
                <w:i w:val="0"/>
                <w:sz w:val="18"/>
              </w:rPr>
              <w:t>Un seul crédit</w:t>
            </w:r>
          </w:p>
        </w:tc>
        <w:tc>
          <w:tcPr>
            <w:tcW w:type="dxa" w:w="1417"/>
            <w:vAlign w:val="center"/>
          </w:tcPr>
          <w:p>
            <w:pPr>
              <w:spacing w:after="0" w:line="240" w:lineRule="auto"/>
              <w:jc w:val="center"/>
            </w:pPr>
            <w:r/>
            <w:r>
              <w:rPr>
                <w:b w:val="0"/>
                <w:i w:val="0"/>
                <w:sz w:val="18"/>
              </w:rPr>
              <w:t>2 814</w:t>
            </w:r>
          </w:p>
        </w:tc>
        <w:tc>
          <w:tcPr>
            <w:tcW w:type="dxa" w:w="1417"/>
            <w:vAlign w:val="center"/>
          </w:tcPr>
          <w:p>
            <w:pPr>
              <w:spacing w:after="0" w:line="240" w:lineRule="auto"/>
              <w:jc w:val="center"/>
            </w:pPr>
            <w:r/>
            <w:r>
              <w:rPr>
                <w:b w:val="0"/>
                <w:i w:val="0"/>
                <w:sz w:val="18"/>
              </w:rPr>
              <w:t>71,0</w:t>
            </w:r>
          </w:p>
        </w:tc>
      </w:tr>
      <w:tr>
        <w:trPr>
          <w:cantSplit/>
        </w:trPr>
        <w:tc>
          <w:tcPr>
            <w:tcW w:type="dxa" w:w="5103"/>
            <w:vAlign w:val="center"/>
          </w:tcPr>
          <w:p>
            <w:pPr>
              <w:spacing w:after="0" w:line="240" w:lineRule="auto"/>
              <w:jc w:val="left"/>
            </w:pPr>
            <w:r/>
            <w:r>
              <w:rPr>
                <w:b w:val="0"/>
                <w:i w:val="0"/>
                <w:sz w:val="18"/>
              </w:rPr>
              <w:t>Deux crédits ou plus</w:t>
            </w:r>
          </w:p>
        </w:tc>
        <w:tc>
          <w:tcPr>
            <w:tcW w:type="dxa" w:w="1417"/>
            <w:vAlign w:val="center"/>
          </w:tcPr>
          <w:p>
            <w:pPr>
              <w:spacing w:after="0" w:line="240" w:lineRule="auto"/>
              <w:jc w:val="center"/>
            </w:pPr>
            <w:r/>
            <w:r>
              <w:rPr>
                <w:b w:val="0"/>
                <w:i w:val="0"/>
                <w:sz w:val="18"/>
              </w:rPr>
              <w:t>1 148</w:t>
            </w:r>
          </w:p>
        </w:tc>
        <w:tc>
          <w:tcPr>
            <w:tcW w:type="dxa" w:w="1417"/>
            <w:vAlign w:val="center"/>
          </w:tcPr>
          <w:p>
            <w:pPr>
              <w:spacing w:after="0" w:line="240" w:lineRule="auto"/>
              <w:jc w:val="center"/>
            </w:pPr>
            <w:r/>
            <w:r>
              <w:rPr>
                <w:b w:val="0"/>
                <w:i w:val="0"/>
                <w:sz w:val="18"/>
              </w:rPr>
              <w:t>29,0</w:t>
            </w:r>
          </w:p>
        </w:tc>
      </w:tr>
      <w:tr>
        <w:trPr>
          <w:cantSplit/>
        </w:trPr>
        <w:tc>
          <w:tcPr>
            <w:tcW w:type="dxa" w:w="7938"/>
            <w:gridSpan w:val="3"/>
            <w:shd w:val="clear" w:color="auto" w:fill="F4F6F9"/>
            <w:vAlign w:val="center"/>
          </w:tcPr>
          <w:p>
            <w:pPr>
              <w:spacing w:after="0" w:line="240" w:lineRule="auto"/>
              <w:jc w:val="left"/>
            </w:pPr>
            <w:r/>
            <w:r>
              <w:rPr>
                <w:b/>
                <w:i w:val="0"/>
                <w:sz w:val="18"/>
              </w:rPr>
              <w:t>Crédit pour un autre bien immobilier</w:t>
            </w:r>
          </w:p>
        </w:tc>
      </w:tr>
      <w:tr>
        <w:trPr>
          <w:cantSplit/>
        </w:trPr>
        <w:tc>
          <w:tcPr>
            <w:tcW w:type="dxa" w:w="5103"/>
            <w:vAlign w:val="center"/>
          </w:tcPr>
          <w:p>
            <w:pPr>
              <w:spacing w:after="0" w:line="240" w:lineRule="auto"/>
              <w:jc w:val="left"/>
            </w:pPr>
            <w:r/>
            <w:r>
              <w:rPr>
                <w:b w:val="0"/>
                <w:i w:val="0"/>
                <w:sz w:val="18"/>
              </w:rPr>
              <w:t>Non</w:t>
            </w:r>
          </w:p>
        </w:tc>
        <w:tc>
          <w:tcPr>
            <w:tcW w:type="dxa" w:w="1417"/>
            <w:vAlign w:val="center"/>
          </w:tcPr>
          <w:p>
            <w:pPr>
              <w:spacing w:after="0" w:line="240" w:lineRule="auto"/>
              <w:jc w:val="center"/>
            </w:pPr>
            <w:r/>
            <w:r>
              <w:rPr>
                <w:b w:val="0"/>
                <w:i w:val="0"/>
                <w:sz w:val="18"/>
              </w:rPr>
              <w:t>3 449</w:t>
            </w:r>
          </w:p>
        </w:tc>
        <w:tc>
          <w:tcPr>
            <w:tcW w:type="dxa" w:w="1417"/>
            <w:vAlign w:val="center"/>
          </w:tcPr>
          <w:p>
            <w:pPr>
              <w:spacing w:after="0" w:line="240" w:lineRule="auto"/>
              <w:jc w:val="center"/>
            </w:pPr>
            <w:r/>
            <w:r>
              <w:rPr>
                <w:b w:val="0"/>
                <w:i w:val="0"/>
                <w:sz w:val="18"/>
              </w:rPr>
              <w:t>87,1</w:t>
            </w:r>
          </w:p>
        </w:tc>
      </w:tr>
      <w:tr>
        <w:trPr>
          <w:cantSplit/>
        </w:trPr>
        <w:tc>
          <w:tcPr>
            <w:tcW w:type="dxa" w:w="5103"/>
            <w:vAlign w:val="center"/>
          </w:tcPr>
          <w:p>
            <w:pPr>
              <w:spacing w:after="0" w:line="240" w:lineRule="auto"/>
              <w:jc w:val="left"/>
            </w:pPr>
            <w:r/>
            <w:r>
              <w:rPr>
                <w:b w:val="0"/>
                <w:i w:val="0"/>
                <w:sz w:val="18"/>
              </w:rPr>
              <w:t>Oui</w:t>
            </w:r>
          </w:p>
        </w:tc>
        <w:tc>
          <w:tcPr>
            <w:tcW w:type="dxa" w:w="1417"/>
            <w:vAlign w:val="center"/>
          </w:tcPr>
          <w:p>
            <w:pPr>
              <w:spacing w:after="0" w:line="240" w:lineRule="auto"/>
              <w:jc w:val="center"/>
            </w:pPr>
            <w:r/>
            <w:r>
              <w:rPr>
                <w:b w:val="0"/>
                <w:i w:val="0"/>
                <w:sz w:val="18"/>
              </w:rPr>
              <w:t>513</w:t>
            </w:r>
          </w:p>
        </w:tc>
        <w:tc>
          <w:tcPr>
            <w:tcW w:type="dxa" w:w="1417"/>
            <w:vAlign w:val="center"/>
          </w:tcPr>
          <w:p>
            <w:pPr>
              <w:spacing w:after="0" w:line="240" w:lineRule="auto"/>
              <w:jc w:val="center"/>
            </w:pPr>
            <w:r/>
            <w:r>
              <w:rPr>
                <w:b w:val="0"/>
                <w:i w:val="0"/>
                <w:sz w:val="18"/>
              </w:rPr>
              <w:t>12,9</w:t>
            </w:r>
          </w:p>
        </w:tc>
      </w:tr>
      <w:tr>
        <w:trPr>
          <w:cantSplit/>
        </w:trPr>
        <w:tc>
          <w:tcPr>
            <w:tcW w:type="dxa" w:w="7938"/>
            <w:gridSpan w:val="3"/>
            <w:shd w:val="clear" w:color="auto" w:fill="F4F6F9"/>
            <w:vAlign w:val="center"/>
          </w:tcPr>
          <w:p>
            <w:pPr>
              <w:spacing w:after="0" w:line="240" w:lineRule="auto"/>
              <w:jc w:val="left"/>
            </w:pPr>
            <w:r/>
            <w:r>
              <w:rPr>
                <w:b/>
                <w:i w:val="0"/>
                <w:sz w:val="18"/>
              </w:rPr>
              <w:t>Nombre d’enfants</w:t>
            </w:r>
          </w:p>
        </w:tc>
      </w:tr>
      <w:tr>
        <w:trPr>
          <w:cantSplit/>
        </w:trPr>
        <w:tc>
          <w:tcPr>
            <w:tcW w:type="dxa" w:w="5103"/>
            <w:vAlign w:val="center"/>
          </w:tcPr>
          <w:p>
            <w:pPr>
              <w:spacing w:after="0" w:line="240" w:lineRule="auto"/>
              <w:jc w:val="left"/>
            </w:pPr>
            <w:r/>
            <w:r>
              <w:rPr>
                <w:b w:val="0"/>
                <w:i w:val="0"/>
                <w:sz w:val="18"/>
              </w:rPr>
              <w:t>Aucun enfant</w:t>
            </w:r>
          </w:p>
        </w:tc>
        <w:tc>
          <w:tcPr>
            <w:tcW w:type="dxa" w:w="1417"/>
            <w:vAlign w:val="center"/>
          </w:tcPr>
          <w:p>
            <w:pPr>
              <w:spacing w:after="0" w:line="240" w:lineRule="auto"/>
              <w:jc w:val="center"/>
            </w:pPr>
            <w:r/>
            <w:r>
              <w:rPr>
                <w:b w:val="0"/>
                <w:i w:val="0"/>
                <w:sz w:val="18"/>
              </w:rPr>
              <w:t>1 739</w:t>
            </w:r>
          </w:p>
        </w:tc>
        <w:tc>
          <w:tcPr>
            <w:tcW w:type="dxa" w:w="1417"/>
            <w:vAlign w:val="center"/>
          </w:tcPr>
          <w:p>
            <w:pPr>
              <w:spacing w:after="0" w:line="240" w:lineRule="auto"/>
              <w:jc w:val="center"/>
            </w:pPr>
            <w:r/>
            <w:r>
              <w:rPr>
                <w:b w:val="0"/>
                <w:i w:val="0"/>
                <w:sz w:val="18"/>
              </w:rPr>
              <w:t>43,9</w:t>
            </w:r>
          </w:p>
        </w:tc>
      </w:tr>
      <w:tr>
        <w:trPr>
          <w:cantSplit/>
        </w:trPr>
        <w:tc>
          <w:tcPr>
            <w:tcW w:type="dxa" w:w="5103"/>
            <w:vAlign w:val="center"/>
          </w:tcPr>
          <w:p>
            <w:pPr>
              <w:spacing w:after="0" w:line="240" w:lineRule="auto"/>
              <w:jc w:val="left"/>
            </w:pPr>
            <w:r/>
            <w:r>
              <w:rPr>
                <w:b w:val="0"/>
                <w:i w:val="0"/>
                <w:sz w:val="18"/>
              </w:rPr>
              <w:t>1 enfant</w:t>
            </w:r>
          </w:p>
        </w:tc>
        <w:tc>
          <w:tcPr>
            <w:tcW w:type="dxa" w:w="1417"/>
            <w:vAlign w:val="center"/>
          </w:tcPr>
          <w:p>
            <w:pPr>
              <w:spacing w:after="0" w:line="240" w:lineRule="auto"/>
              <w:jc w:val="center"/>
            </w:pPr>
            <w:r/>
            <w:r>
              <w:rPr>
                <w:b w:val="0"/>
                <w:i w:val="0"/>
                <w:sz w:val="18"/>
              </w:rPr>
              <w:t>856</w:t>
            </w:r>
          </w:p>
        </w:tc>
        <w:tc>
          <w:tcPr>
            <w:tcW w:type="dxa" w:w="1417"/>
            <w:vAlign w:val="center"/>
          </w:tcPr>
          <w:p>
            <w:pPr>
              <w:spacing w:after="0" w:line="240" w:lineRule="auto"/>
              <w:jc w:val="center"/>
            </w:pPr>
            <w:r/>
            <w:r>
              <w:rPr>
                <w:b w:val="0"/>
                <w:i w:val="0"/>
                <w:sz w:val="18"/>
              </w:rPr>
              <w:t>21,6</w:t>
            </w:r>
          </w:p>
        </w:tc>
      </w:tr>
      <w:tr>
        <w:trPr>
          <w:cantSplit/>
        </w:trPr>
        <w:tc>
          <w:tcPr>
            <w:tcW w:type="dxa" w:w="5103"/>
            <w:vAlign w:val="center"/>
          </w:tcPr>
          <w:p>
            <w:pPr>
              <w:spacing w:after="0" w:line="240" w:lineRule="auto"/>
              <w:jc w:val="left"/>
            </w:pPr>
            <w:r/>
            <w:r>
              <w:rPr>
                <w:b w:val="0"/>
                <w:i w:val="0"/>
                <w:sz w:val="18"/>
              </w:rPr>
              <w:t>2 enfants</w:t>
            </w:r>
          </w:p>
        </w:tc>
        <w:tc>
          <w:tcPr>
            <w:tcW w:type="dxa" w:w="1417"/>
            <w:vAlign w:val="center"/>
          </w:tcPr>
          <w:p>
            <w:pPr>
              <w:spacing w:after="0" w:line="240" w:lineRule="auto"/>
              <w:jc w:val="center"/>
            </w:pPr>
            <w:r/>
            <w:r>
              <w:rPr>
                <w:b w:val="0"/>
                <w:i w:val="0"/>
                <w:sz w:val="18"/>
              </w:rPr>
              <w:t>944</w:t>
            </w:r>
          </w:p>
        </w:tc>
        <w:tc>
          <w:tcPr>
            <w:tcW w:type="dxa" w:w="1417"/>
            <w:vAlign w:val="center"/>
          </w:tcPr>
          <w:p>
            <w:pPr>
              <w:spacing w:after="0" w:line="240" w:lineRule="auto"/>
              <w:jc w:val="center"/>
            </w:pPr>
            <w:r/>
            <w:r>
              <w:rPr>
                <w:b w:val="0"/>
                <w:i w:val="0"/>
                <w:sz w:val="18"/>
              </w:rPr>
              <w:t>23,8</w:t>
            </w:r>
          </w:p>
        </w:tc>
      </w:tr>
      <w:tr>
        <w:trPr>
          <w:cantSplit/>
        </w:trPr>
        <w:tc>
          <w:tcPr>
            <w:tcW w:type="dxa" w:w="5103"/>
            <w:vAlign w:val="center"/>
          </w:tcPr>
          <w:p>
            <w:pPr>
              <w:spacing w:after="0" w:line="240" w:lineRule="auto"/>
              <w:jc w:val="left"/>
            </w:pPr>
            <w:r/>
            <w:r>
              <w:rPr>
                <w:b w:val="0"/>
                <w:i w:val="0"/>
                <w:sz w:val="18"/>
              </w:rPr>
              <w:t>3 enfants ou plus</w:t>
            </w:r>
          </w:p>
        </w:tc>
        <w:tc>
          <w:tcPr>
            <w:tcW w:type="dxa" w:w="1417"/>
            <w:vAlign w:val="center"/>
          </w:tcPr>
          <w:p>
            <w:pPr>
              <w:spacing w:after="0" w:line="240" w:lineRule="auto"/>
              <w:jc w:val="center"/>
            </w:pPr>
            <w:r/>
            <w:r>
              <w:rPr>
                <w:b w:val="0"/>
                <w:i w:val="0"/>
                <w:sz w:val="18"/>
              </w:rPr>
              <w:t>423</w:t>
            </w:r>
          </w:p>
        </w:tc>
        <w:tc>
          <w:tcPr>
            <w:tcW w:type="dxa" w:w="1417"/>
            <w:vAlign w:val="center"/>
          </w:tcPr>
          <w:p>
            <w:pPr>
              <w:spacing w:after="0" w:line="240" w:lineRule="auto"/>
              <w:jc w:val="center"/>
            </w:pPr>
            <w:r/>
            <w:r>
              <w:rPr>
                <w:b w:val="0"/>
                <w:i w:val="0"/>
                <w:sz w:val="18"/>
              </w:rPr>
              <w:t>10,7</w:t>
            </w:r>
          </w:p>
        </w:tc>
      </w:tr>
      <w:tr>
        <w:trPr>
          <w:cantSplit/>
        </w:trPr>
        <w:tc>
          <w:tcPr>
            <w:tcW w:type="dxa" w:w="7938"/>
            <w:gridSpan w:val="3"/>
            <w:shd w:val="clear" w:color="auto" w:fill="F4F6F9"/>
            <w:vAlign w:val="center"/>
          </w:tcPr>
          <w:p>
            <w:pPr>
              <w:spacing w:after="0" w:line="240" w:lineRule="auto"/>
              <w:jc w:val="left"/>
            </w:pPr>
            <w:r/>
            <w:r>
              <w:rPr>
                <w:b/>
                <w:i w:val="0"/>
                <w:sz w:val="18"/>
              </w:rPr>
              <w:t>CSP de la personne de référence</w:t>
            </w:r>
          </w:p>
        </w:tc>
      </w:tr>
      <w:tr>
        <w:trPr>
          <w:cantSplit/>
        </w:trPr>
        <w:tc>
          <w:tcPr>
            <w:tcW w:type="dxa" w:w="5103"/>
            <w:vAlign w:val="center"/>
          </w:tcPr>
          <w:p>
            <w:pPr>
              <w:spacing w:after="0" w:line="240" w:lineRule="auto"/>
              <w:jc w:val="left"/>
            </w:pPr>
            <w:r/>
            <w:r>
              <w:rPr>
                <w:b w:val="0"/>
                <w:i w:val="0"/>
                <w:sz w:val="18"/>
              </w:rPr>
              <w:t>Agriculteurs, artisans, commerçants, chefs d’ent.</w:t>
            </w:r>
          </w:p>
        </w:tc>
        <w:tc>
          <w:tcPr>
            <w:tcW w:type="dxa" w:w="1417"/>
            <w:vAlign w:val="center"/>
          </w:tcPr>
          <w:p>
            <w:pPr>
              <w:spacing w:after="0" w:line="240" w:lineRule="auto"/>
              <w:jc w:val="center"/>
            </w:pPr>
            <w:r/>
            <w:r>
              <w:rPr>
                <w:b w:val="0"/>
                <w:i w:val="0"/>
                <w:sz w:val="18"/>
              </w:rPr>
              <w:t>231</w:t>
            </w:r>
          </w:p>
        </w:tc>
        <w:tc>
          <w:tcPr>
            <w:tcW w:type="dxa" w:w="1417"/>
            <w:vAlign w:val="center"/>
          </w:tcPr>
          <w:p>
            <w:pPr>
              <w:spacing w:after="0" w:line="240" w:lineRule="auto"/>
              <w:jc w:val="center"/>
            </w:pPr>
            <w:r/>
            <w:r>
              <w:rPr>
                <w:b w:val="0"/>
                <w:i w:val="0"/>
                <w:sz w:val="18"/>
              </w:rPr>
              <w:t>5,8</w:t>
            </w:r>
          </w:p>
        </w:tc>
      </w:tr>
      <w:tr>
        <w:trPr>
          <w:cantSplit/>
        </w:trPr>
        <w:tc>
          <w:tcPr>
            <w:tcW w:type="dxa" w:w="5103"/>
            <w:vAlign w:val="center"/>
          </w:tcPr>
          <w:p>
            <w:pPr>
              <w:spacing w:after="0" w:line="240" w:lineRule="auto"/>
              <w:jc w:val="left"/>
            </w:pPr>
            <w:r/>
            <w:r>
              <w:rPr>
                <w:b w:val="0"/>
                <w:i w:val="0"/>
                <w:sz w:val="18"/>
              </w:rPr>
              <w:t>Cadres, prof. intellectuelles sup.</w:t>
            </w:r>
          </w:p>
        </w:tc>
        <w:tc>
          <w:tcPr>
            <w:tcW w:type="dxa" w:w="1417"/>
            <w:vAlign w:val="center"/>
          </w:tcPr>
          <w:p>
            <w:pPr>
              <w:spacing w:after="0" w:line="240" w:lineRule="auto"/>
              <w:jc w:val="center"/>
            </w:pPr>
            <w:r/>
            <w:r>
              <w:rPr>
                <w:b w:val="0"/>
                <w:i w:val="0"/>
                <w:sz w:val="18"/>
              </w:rPr>
              <w:t>686</w:t>
            </w:r>
          </w:p>
        </w:tc>
        <w:tc>
          <w:tcPr>
            <w:tcW w:type="dxa" w:w="1417"/>
            <w:vAlign w:val="center"/>
          </w:tcPr>
          <w:p>
            <w:pPr>
              <w:spacing w:after="0" w:line="240" w:lineRule="auto"/>
              <w:jc w:val="center"/>
            </w:pPr>
            <w:r/>
            <w:r>
              <w:rPr>
                <w:b w:val="0"/>
                <w:i w:val="0"/>
                <w:sz w:val="18"/>
              </w:rPr>
              <w:t>17,3</w:t>
            </w:r>
          </w:p>
        </w:tc>
      </w:tr>
      <w:tr>
        <w:trPr>
          <w:cantSplit/>
        </w:trPr>
        <w:tc>
          <w:tcPr>
            <w:tcW w:type="dxa" w:w="5103"/>
            <w:vAlign w:val="center"/>
          </w:tcPr>
          <w:p>
            <w:pPr>
              <w:spacing w:after="0" w:line="240" w:lineRule="auto"/>
              <w:jc w:val="left"/>
            </w:pPr>
            <w:r/>
            <w:r>
              <w:rPr>
                <w:b w:val="0"/>
                <w:i w:val="0"/>
                <w:sz w:val="18"/>
              </w:rPr>
              <w:t>Professions intermédiaires</w:t>
            </w:r>
          </w:p>
        </w:tc>
        <w:tc>
          <w:tcPr>
            <w:tcW w:type="dxa" w:w="1417"/>
            <w:vAlign w:val="center"/>
          </w:tcPr>
          <w:p>
            <w:pPr>
              <w:spacing w:after="0" w:line="240" w:lineRule="auto"/>
              <w:jc w:val="center"/>
            </w:pPr>
            <w:r/>
            <w:r>
              <w:rPr>
                <w:b w:val="0"/>
                <w:i w:val="0"/>
                <w:sz w:val="18"/>
              </w:rPr>
              <w:t>915</w:t>
            </w:r>
          </w:p>
        </w:tc>
        <w:tc>
          <w:tcPr>
            <w:tcW w:type="dxa" w:w="1417"/>
            <w:vAlign w:val="center"/>
          </w:tcPr>
          <w:p>
            <w:pPr>
              <w:spacing w:after="0" w:line="240" w:lineRule="auto"/>
              <w:jc w:val="center"/>
            </w:pPr>
            <w:r/>
            <w:r>
              <w:rPr>
                <w:b w:val="0"/>
                <w:i w:val="0"/>
                <w:sz w:val="18"/>
              </w:rPr>
              <w:t>23,1</w:t>
            </w:r>
          </w:p>
        </w:tc>
      </w:tr>
      <w:tr>
        <w:trPr>
          <w:cantSplit/>
        </w:trPr>
        <w:tc>
          <w:tcPr>
            <w:tcW w:type="dxa" w:w="5103"/>
            <w:vAlign w:val="center"/>
          </w:tcPr>
          <w:p>
            <w:pPr>
              <w:spacing w:after="0" w:line="240" w:lineRule="auto"/>
              <w:jc w:val="left"/>
            </w:pPr>
            <w:r/>
            <w:r>
              <w:rPr>
                <w:b w:val="0"/>
                <w:i w:val="0"/>
                <w:sz w:val="18"/>
              </w:rPr>
              <w:t>Employés</w:t>
            </w:r>
          </w:p>
        </w:tc>
        <w:tc>
          <w:tcPr>
            <w:tcW w:type="dxa" w:w="1417"/>
            <w:vAlign w:val="center"/>
          </w:tcPr>
          <w:p>
            <w:pPr>
              <w:spacing w:after="0" w:line="240" w:lineRule="auto"/>
              <w:jc w:val="center"/>
            </w:pPr>
            <w:r/>
            <w:r>
              <w:rPr>
                <w:b w:val="0"/>
                <w:i w:val="0"/>
                <w:sz w:val="18"/>
              </w:rPr>
              <w:t>591</w:t>
            </w:r>
          </w:p>
        </w:tc>
        <w:tc>
          <w:tcPr>
            <w:tcW w:type="dxa" w:w="1417"/>
            <w:vAlign w:val="center"/>
          </w:tcPr>
          <w:p>
            <w:pPr>
              <w:spacing w:after="0" w:line="240" w:lineRule="auto"/>
              <w:jc w:val="center"/>
            </w:pPr>
            <w:r/>
            <w:r>
              <w:rPr>
                <w:b w:val="0"/>
                <w:i w:val="0"/>
                <w:sz w:val="18"/>
              </w:rPr>
              <w:t>14,9</w:t>
            </w:r>
          </w:p>
        </w:tc>
      </w:tr>
      <w:tr>
        <w:trPr>
          <w:cantSplit/>
        </w:trPr>
        <w:tc>
          <w:tcPr>
            <w:tcW w:type="dxa" w:w="5103"/>
            <w:vAlign w:val="center"/>
          </w:tcPr>
          <w:p>
            <w:pPr>
              <w:spacing w:after="0" w:line="240" w:lineRule="auto"/>
              <w:jc w:val="left"/>
            </w:pPr>
            <w:r/>
            <w:r>
              <w:rPr>
                <w:b w:val="0"/>
                <w:i w:val="0"/>
                <w:sz w:val="18"/>
              </w:rPr>
              <w:t>Ouvriers</w:t>
            </w:r>
          </w:p>
        </w:tc>
        <w:tc>
          <w:tcPr>
            <w:tcW w:type="dxa" w:w="1417"/>
            <w:vAlign w:val="center"/>
          </w:tcPr>
          <w:p>
            <w:pPr>
              <w:spacing w:after="0" w:line="240" w:lineRule="auto"/>
              <w:jc w:val="center"/>
            </w:pPr>
            <w:r/>
            <w:r>
              <w:rPr>
                <w:b w:val="0"/>
                <w:i w:val="0"/>
                <w:sz w:val="18"/>
              </w:rPr>
              <w:t>725</w:t>
            </w:r>
          </w:p>
        </w:tc>
        <w:tc>
          <w:tcPr>
            <w:tcW w:type="dxa" w:w="1417"/>
            <w:vAlign w:val="center"/>
          </w:tcPr>
          <w:p>
            <w:pPr>
              <w:spacing w:after="0" w:line="240" w:lineRule="auto"/>
              <w:jc w:val="center"/>
            </w:pPr>
            <w:r/>
            <w:r>
              <w:rPr>
                <w:b w:val="0"/>
                <w:i w:val="0"/>
                <w:sz w:val="18"/>
              </w:rPr>
              <w:t>18,3</w:t>
            </w:r>
          </w:p>
        </w:tc>
      </w:tr>
      <w:tr>
        <w:trPr>
          <w:cantSplit/>
        </w:trPr>
        <w:tc>
          <w:tcPr>
            <w:tcW w:type="dxa" w:w="5103"/>
            <w:vAlign w:val="center"/>
          </w:tcPr>
          <w:p>
            <w:pPr>
              <w:spacing w:after="0" w:line="240" w:lineRule="auto"/>
              <w:jc w:val="left"/>
            </w:pPr>
            <w:r/>
            <w:r>
              <w:rPr>
                <w:b w:val="0"/>
                <w:i w:val="0"/>
                <w:sz w:val="18"/>
              </w:rPr>
              <w:t>Retraités et autres inactifs</w:t>
            </w:r>
          </w:p>
        </w:tc>
        <w:tc>
          <w:tcPr>
            <w:tcW w:type="dxa" w:w="1417"/>
            <w:vAlign w:val="center"/>
          </w:tcPr>
          <w:p>
            <w:pPr>
              <w:spacing w:after="0" w:line="240" w:lineRule="auto"/>
              <w:jc w:val="center"/>
            </w:pPr>
            <w:r/>
            <w:r>
              <w:rPr>
                <w:b w:val="0"/>
                <w:i w:val="0"/>
                <w:sz w:val="18"/>
              </w:rPr>
              <w:t>814</w:t>
            </w:r>
          </w:p>
        </w:tc>
        <w:tc>
          <w:tcPr>
            <w:tcW w:type="dxa" w:w="1417"/>
            <w:vAlign w:val="center"/>
          </w:tcPr>
          <w:p>
            <w:pPr>
              <w:spacing w:after="0" w:line="240" w:lineRule="auto"/>
              <w:jc w:val="center"/>
            </w:pPr>
            <w:r/>
            <w:r>
              <w:rPr>
                <w:b w:val="0"/>
                <w:i w:val="0"/>
                <w:sz w:val="18"/>
              </w:rPr>
              <w:t>20,5</w:t>
            </w:r>
          </w:p>
        </w:tc>
      </w:tr>
      <w:tr>
        <w:trPr>
          <w:cantSplit/>
        </w:trPr>
        <w:tc>
          <w:tcPr>
            <w:tcW w:type="dxa" w:w="7938"/>
            <w:gridSpan w:val="3"/>
            <w:shd w:val="clear" w:color="auto" w:fill="F4F6F9"/>
            <w:vAlign w:val="center"/>
          </w:tcPr>
          <w:p>
            <w:pPr>
              <w:spacing w:after="0" w:line="240" w:lineRule="auto"/>
              <w:jc w:val="left"/>
            </w:pPr>
            <w:r/>
            <w:r>
              <w:rPr>
                <w:b/>
                <w:i w:val="0"/>
                <w:sz w:val="18"/>
              </w:rPr>
              <w:t>Taille de l’unité urbaine</w:t>
            </w:r>
          </w:p>
        </w:tc>
      </w:tr>
      <w:tr>
        <w:trPr>
          <w:cantSplit/>
        </w:trPr>
        <w:tc>
          <w:tcPr>
            <w:tcW w:type="dxa" w:w="5103"/>
            <w:vAlign w:val="center"/>
          </w:tcPr>
          <w:p>
            <w:pPr>
              <w:spacing w:after="0" w:line="240" w:lineRule="auto"/>
              <w:jc w:val="left"/>
            </w:pPr>
            <w:r/>
            <w:r>
              <w:rPr>
                <w:b w:val="0"/>
                <w:i w:val="0"/>
                <w:sz w:val="18"/>
              </w:rPr>
              <w:t>Commune rurale</w:t>
            </w:r>
          </w:p>
        </w:tc>
        <w:tc>
          <w:tcPr>
            <w:tcW w:type="dxa" w:w="1417"/>
            <w:vAlign w:val="center"/>
          </w:tcPr>
          <w:p>
            <w:pPr>
              <w:spacing w:after="0" w:line="240" w:lineRule="auto"/>
              <w:jc w:val="center"/>
            </w:pPr>
            <w:r/>
            <w:r>
              <w:rPr>
                <w:b w:val="0"/>
                <w:i w:val="0"/>
                <w:sz w:val="18"/>
              </w:rPr>
              <w:t>1 236</w:t>
            </w:r>
          </w:p>
        </w:tc>
        <w:tc>
          <w:tcPr>
            <w:tcW w:type="dxa" w:w="1417"/>
            <w:vAlign w:val="center"/>
          </w:tcPr>
          <w:p>
            <w:pPr>
              <w:spacing w:after="0" w:line="240" w:lineRule="auto"/>
              <w:jc w:val="center"/>
            </w:pPr>
            <w:r/>
            <w:r>
              <w:rPr>
                <w:b w:val="0"/>
                <w:i w:val="0"/>
                <w:sz w:val="18"/>
              </w:rPr>
              <w:t>31,2</w:t>
            </w:r>
          </w:p>
        </w:tc>
      </w:tr>
      <w:tr>
        <w:trPr>
          <w:cantSplit/>
        </w:trPr>
        <w:tc>
          <w:tcPr>
            <w:tcW w:type="dxa" w:w="5103"/>
            <w:vAlign w:val="center"/>
          </w:tcPr>
          <w:p>
            <w:pPr>
              <w:spacing w:after="0" w:line="240" w:lineRule="auto"/>
              <w:jc w:val="left"/>
            </w:pPr>
            <w:r/>
            <w:r>
              <w:rPr>
                <w:b w:val="0"/>
                <w:i w:val="0"/>
                <w:sz w:val="18"/>
              </w:rPr>
              <w:t>Moins de 20 000 hab.</w:t>
            </w:r>
          </w:p>
        </w:tc>
        <w:tc>
          <w:tcPr>
            <w:tcW w:type="dxa" w:w="1417"/>
            <w:vAlign w:val="center"/>
          </w:tcPr>
          <w:p>
            <w:pPr>
              <w:spacing w:after="0" w:line="240" w:lineRule="auto"/>
              <w:jc w:val="center"/>
            </w:pPr>
            <w:r/>
            <w:r>
              <w:rPr>
                <w:b w:val="0"/>
                <w:i w:val="0"/>
                <w:sz w:val="18"/>
              </w:rPr>
              <w:t>699</w:t>
            </w:r>
          </w:p>
        </w:tc>
        <w:tc>
          <w:tcPr>
            <w:tcW w:type="dxa" w:w="1417"/>
            <w:vAlign w:val="center"/>
          </w:tcPr>
          <w:p>
            <w:pPr>
              <w:spacing w:after="0" w:line="240" w:lineRule="auto"/>
              <w:jc w:val="center"/>
            </w:pPr>
            <w:r/>
            <w:r>
              <w:rPr>
                <w:b w:val="0"/>
                <w:i w:val="0"/>
                <w:sz w:val="18"/>
              </w:rPr>
              <w:t>17,6</w:t>
            </w:r>
          </w:p>
        </w:tc>
      </w:tr>
      <w:tr>
        <w:trPr>
          <w:cantSplit/>
        </w:trPr>
        <w:tc>
          <w:tcPr>
            <w:tcW w:type="dxa" w:w="5103"/>
            <w:vAlign w:val="center"/>
          </w:tcPr>
          <w:p>
            <w:pPr>
              <w:spacing w:after="0" w:line="240" w:lineRule="auto"/>
              <w:jc w:val="left"/>
            </w:pPr>
            <w:r/>
            <w:r>
              <w:rPr>
                <w:b w:val="0"/>
                <w:i w:val="0"/>
                <w:sz w:val="18"/>
              </w:rPr>
              <w:t>20 000 à 199 999 hab.</w:t>
            </w:r>
          </w:p>
        </w:tc>
        <w:tc>
          <w:tcPr>
            <w:tcW w:type="dxa" w:w="1417"/>
            <w:vAlign w:val="center"/>
          </w:tcPr>
          <w:p>
            <w:pPr>
              <w:spacing w:after="0" w:line="240" w:lineRule="auto"/>
              <w:jc w:val="center"/>
            </w:pPr>
            <w:r/>
            <w:r>
              <w:rPr>
                <w:b w:val="0"/>
                <w:i w:val="0"/>
                <w:sz w:val="18"/>
              </w:rPr>
              <w:t>755</w:t>
            </w:r>
          </w:p>
        </w:tc>
        <w:tc>
          <w:tcPr>
            <w:tcW w:type="dxa" w:w="1417"/>
            <w:vAlign w:val="center"/>
          </w:tcPr>
          <w:p>
            <w:pPr>
              <w:spacing w:after="0" w:line="240" w:lineRule="auto"/>
              <w:jc w:val="center"/>
            </w:pPr>
            <w:r/>
            <w:r>
              <w:rPr>
                <w:b w:val="0"/>
                <w:i w:val="0"/>
                <w:sz w:val="18"/>
              </w:rPr>
              <w:t>19,1</w:t>
            </w:r>
          </w:p>
        </w:tc>
      </w:tr>
      <w:tr>
        <w:trPr>
          <w:cantSplit/>
        </w:trPr>
        <w:tc>
          <w:tcPr>
            <w:tcW w:type="dxa" w:w="5103"/>
            <w:vAlign w:val="center"/>
          </w:tcPr>
          <w:p>
            <w:pPr>
              <w:spacing w:after="0" w:line="240" w:lineRule="auto"/>
              <w:jc w:val="left"/>
            </w:pPr>
            <w:r/>
            <w:r>
              <w:rPr>
                <w:b w:val="0"/>
                <w:i w:val="0"/>
                <w:sz w:val="18"/>
              </w:rPr>
              <w:t>200 000 hab. et plus (hors Paris)</w:t>
            </w:r>
          </w:p>
        </w:tc>
        <w:tc>
          <w:tcPr>
            <w:tcW w:type="dxa" w:w="1417"/>
            <w:vAlign w:val="center"/>
          </w:tcPr>
          <w:p>
            <w:pPr>
              <w:spacing w:after="0" w:line="240" w:lineRule="auto"/>
              <w:jc w:val="center"/>
            </w:pPr>
            <w:r/>
            <w:r>
              <w:rPr>
                <w:b w:val="0"/>
                <w:i w:val="0"/>
                <w:sz w:val="18"/>
              </w:rPr>
              <w:t>920</w:t>
            </w:r>
          </w:p>
        </w:tc>
        <w:tc>
          <w:tcPr>
            <w:tcW w:type="dxa" w:w="1417"/>
            <w:vAlign w:val="center"/>
          </w:tcPr>
          <w:p>
            <w:pPr>
              <w:spacing w:after="0" w:line="240" w:lineRule="auto"/>
              <w:jc w:val="center"/>
            </w:pPr>
            <w:r/>
            <w:r>
              <w:rPr>
                <w:b w:val="0"/>
                <w:i w:val="0"/>
                <w:sz w:val="18"/>
              </w:rPr>
              <w:t>23,2</w:t>
            </w:r>
          </w:p>
        </w:tc>
      </w:tr>
      <w:tr>
        <w:trPr>
          <w:cantSplit/>
        </w:trPr>
        <w:tc>
          <w:tcPr>
            <w:tcW w:type="dxa" w:w="5103"/>
            <w:vAlign w:val="center"/>
          </w:tcPr>
          <w:p>
            <w:pPr>
              <w:spacing w:after="0" w:line="240" w:lineRule="auto"/>
              <w:jc w:val="left"/>
            </w:pPr>
            <w:r/>
            <w:r>
              <w:rPr>
                <w:b w:val="0"/>
                <w:i w:val="0"/>
                <w:sz w:val="18"/>
              </w:rPr>
              <w:t>Agglomération parisienne</w:t>
            </w:r>
          </w:p>
        </w:tc>
        <w:tc>
          <w:tcPr>
            <w:tcW w:type="dxa" w:w="1417"/>
            <w:vAlign w:val="center"/>
          </w:tcPr>
          <w:p>
            <w:pPr>
              <w:spacing w:after="0" w:line="240" w:lineRule="auto"/>
              <w:jc w:val="center"/>
            </w:pPr>
            <w:r/>
            <w:r>
              <w:rPr>
                <w:b w:val="0"/>
                <w:i w:val="0"/>
                <w:sz w:val="18"/>
              </w:rPr>
              <w:t>352</w:t>
            </w:r>
          </w:p>
        </w:tc>
        <w:tc>
          <w:tcPr>
            <w:tcW w:type="dxa" w:w="1417"/>
            <w:vAlign w:val="center"/>
          </w:tcPr>
          <w:p>
            <w:pPr>
              <w:spacing w:after="0" w:line="240" w:lineRule="auto"/>
              <w:jc w:val="center"/>
            </w:pPr>
            <w:r/>
            <w:r>
              <w:rPr>
                <w:b w:val="0"/>
                <w:i w:val="0"/>
                <w:sz w:val="18"/>
              </w:rPr>
              <w:t>8,9</w:t>
            </w:r>
          </w:p>
        </w:tc>
      </w:tr>
      <w:tr>
        <w:trPr>
          <w:cantSplit/>
        </w:trPr>
        <w:tc>
          <w:tcPr>
            <w:tcW w:type="dxa" w:w="7938"/>
            <w:gridSpan w:val="3"/>
            <w:shd w:val="clear" w:color="auto" w:fill="F4F6F9"/>
            <w:vAlign w:val="center"/>
          </w:tcPr>
          <w:p>
            <w:pPr>
              <w:spacing w:after="0" w:line="240" w:lineRule="auto"/>
              <w:jc w:val="left"/>
            </w:pPr>
            <w:r/>
            <w:r>
              <w:rPr>
                <w:b/>
                <w:i w:val="0"/>
                <w:sz w:val="18"/>
              </w:rPr>
              <w:t>Type de logement</w:t>
            </w:r>
          </w:p>
        </w:tc>
      </w:tr>
      <w:tr>
        <w:trPr>
          <w:cantSplit/>
        </w:trPr>
        <w:tc>
          <w:tcPr>
            <w:tcW w:type="dxa" w:w="5103"/>
            <w:vAlign w:val="center"/>
          </w:tcPr>
          <w:p>
            <w:pPr>
              <w:spacing w:after="0" w:line="240" w:lineRule="auto"/>
              <w:jc w:val="left"/>
            </w:pPr>
            <w:r/>
            <w:r>
              <w:rPr>
                <w:b w:val="0"/>
                <w:i w:val="0"/>
                <w:sz w:val="18"/>
              </w:rPr>
              <w:t>Appartement</w:t>
            </w:r>
          </w:p>
        </w:tc>
        <w:tc>
          <w:tcPr>
            <w:tcW w:type="dxa" w:w="1417"/>
            <w:vAlign w:val="center"/>
          </w:tcPr>
          <w:p>
            <w:pPr>
              <w:spacing w:after="0" w:line="240" w:lineRule="auto"/>
              <w:jc w:val="center"/>
            </w:pPr>
            <w:r/>
            <w:r>
              <w:rPr>
                <w:b w:val="0"/>
                <w:i w:val="0"/>
                <w:sz w:val="18"/>
              </w:rPr>
              <w:t>989</w:t>
            </w:r>
          </w:p>
        </w:tc>
        <w:tc>
          <w:tcPr>
            <w:tcW w:type="dxa" w:w="1417"/>
            <w:vAlign w:val="center"/>
          </w:tcPr>
          <w:p>
            <w:pPr>
              <w:spacing w:after="0" w:line="240" w:lineRule="auto"/>
              <w:jc w:val="center"/>
            </w:pPr>
            <w:r/>
            <w:r>
              <w:rPr>
                <w:b w:val="0"/>
                <w:i w:val="0"/>
                <w:sz w:val="18"/>
              </w:rPr>
              <w:t>25,0</w:t>
            </w:r>
          </w:p>
        </w:tc>
      </w:tr>
      <w:tr>
        <w:trPr>
          <w:cantSplit/>
        </w:trPr>
        <w:tc>
          <w:tcPr>
            <w:tcW w:type="dxa" w:w="5103"/>
            <w:vAlign w:val="center"/>
          </w:tcPr>
          <w:p>
            <w:pPr>
              <w:spacing w:after="0" w:line="240" w:lineRule="auto"/>
              <w:jc w:val="left"/>
            </w:pPr>
            <w:r/>
            <w:r>
              <w:rPr>
                <w:b w:val="0"/>
                <w:i w:val="0"/>
                <w:sz w:val="18"/>
              </w:rPr>
              <w:t>Maison</w:t>
            </w:r>
          </w:p>
        </w:tc>
        <w:tc>
          <w:tcPr>
            <w:tcW w:type="dxa" w:w="1417"/>
            <w:vAlign w:val="center"/>
          </w:tcPr>
          <w:p>
            <w:pPr>
              <w:spacing w:after="0" w:line="240" w:lineRule="auto"/>
              <w:jc w:val="center"/>
            </w:pPr>
            <w:r/>
            <w:r>
              <w:rPr>
                <w:b w:val="0"/>
                <w:i w:val="0"/>
                <w:sz w:val="18"/>
              </w:rPr>
              <w:t>2 973</w:t>
            </w:r>
          </w:p>
        </w:tc>
        <w:tc>
          <w:tcPr>
            <w:tcW w:type="dxa" w:w="1417"/>
            <w:vAlign w:val="center"/>
          </w:tcPr>
          <w:p>
            <w:pPr>
              <w:spacing w:after="0" w:line="240" w:lineRule="auto"/>
              <w:jc w:val="center"/>
            </w:pPr>
            <w:r/>
            <w:r>
              <w:rPr>
                <w:b w:val="0"/>
                <w:i w:val="0"/>
                <w:sz w:val="18"/>
              </w:rPr>
              <w:t>75,0</w:t>
            </w:r>
          </w:p>
        </w:tc>
      </w:tr>
    </w:tbl>
    <w:p>
      <w:pPr>
        <w:spacing w:after="200"/>
        <w:jc w:val="left"/>
      </w:pPr>
      <w:r>
        <w:rPr>
          <w:i/>
          <w:sz w:val="18"/>
        </w:rPr>
        <w:t>Source : INSEE, enquête SRCV 2015, base SRCV1_menage. Champ : échantillon de travail (3 962 ménages). Commande Stata : tab1 revenu_tr statut plusieurs_credits autre_immo enfants csp uu maison.</w:t>
      </w:r>
    </w:p>
    <w:p>
      <w:pPr>
        <w:jc w:val="both"/>
      </w:pPr>
      <w:r>
        <w:t>Les tranches de revenu de 2 000 à 2 999 euros et de 3 000 à 3 999 euros sont les plus fréquentes (22,6 % et 22,3 % des ménages, figure 5). 18,5 % des ménages ont moins de 2 000 euros par mois et 25 % disposent de 4 000 euros ou plus. Les ménages qui n’ont pas déclaré leur revenu représentent 11,6 % de l’échantillon : chaque tranche regroupe donc plus de 10 % des ménages.</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866375"/>
                  <wp:docPr id="5" name="Picture 5"/>
                  <wp:cNvGraphicFramePr>
                    <a:graphicFrameLocks noChangeAspect="1"/>
                  </wp:cNvGraphicFramePr>
                  <a:graphic>
                    <a:graphicData uri="http://schemas.openxmlformats.org/drawingml/2006/picture">
                      <pic:pic>
                        <pic:nvPicPr>
                          <pic:cNvPr id="0" name="fig05_bar_revenu.png"/>
                          <pic:cNvPicPr/>
                        </pic:nvPicPr>
                        <pic:blipFill>
                          <a:blip r:embed="rId14"/>
                          <a:stretch>
                            <a:fillRect/>
                          </a:stretch>
                        </pic:blipFill>
                        <pic:spPr>
                          <a:xfrm>
                            <a:off x="0" y="0"/>
                            <a:ext cx="2844000" cy="1866375"/>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1866375"/>
                  <wp:docPr id="6" name="Picture 6"/>
                  <wp:cNvGraphicFramePr>
                    <a:graphicFrameLocks noChangeAspect="1"/>
                  </wp:cNvGraphicFramePr>
                  <a:graphic>
                    <a:graphicData uri="http://schemas.openxmlformats.org/drawingml/2006/picture">
                      <pic:pic>
                        <pic:nvPicPr>
                          <pic:cNvPr id="0" name="fig06_bar_statut.png"/>
                          <pic:cNvPicPr/>
                        </pic:nvPicPr>
                        <pic:blipFill>
                          <a:blip r:embed="rId15"/>
                          <a:stretch>
                            <a:fillRect/>
                          </a:stretch>
                        </pic:blipFill>
                        <pic:spPr>
                          <a:xfrm>
                            <a:off x="0" y="0"/>
                            <a:ext cx="2844000" cy="1866375"/>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5 – Revenu mensuel du ménage</w:t>
            </w:r>
          </w:p>
        </w:tc>
        <w:tc>
          <w:tcPr>
            <w:tcW w:type="dxa" w:w="4536"/>
            <w:vAlign w:val="center"/>
          </w:tcPr>
          <w:p>
            <w:pPr>
              <w:spacing w:after="0" w:line="240" w:lineRule="auto"/>
              <w:jc w:val="center"/>
            </w:pPr>
            <w:r/>
            <w:r>
              <w:rPr>
                <w:b/>
                <w:i w:val="0"/>
                <w:sz w:val="19"/>
              </w:rPr>
              <w:t>Figure 6 – Statut d’occupation du logement</w:t>
            </w:r>
          </w:p>
        </w:tc>
      </w:tr>
    </w:tbl>
    <w:p>
      <w:pPr>
        <w:spacing w:after="200"/>
        <w:jc w:val="left"/>
      </w:pPr>
      <w:r>
        <w:rPr>
          <w:i/>
          <w:sz w:val="18"/>
        </w:rPr>
        <w:t>Source : INSEE, enquête SRCV 2015, base SRCV1_menage. Champ : échantillon de travail (3 962 ménages ayant au moins un crédit en cours). Calculs des auteurs sous Stata.</w:t>
      </w:r>
    </w:p>
    <w:p>
      <w:pPr>
        <w:jc w:val="both"/>
      </w:pPr>
      <w:r>
        <w:t xml:space="preserve">Plus de la moitié des ménages (56,8 %) sont </w:t>
      </w:r>
      <w:r>
        <w:rPr>
          <w:b/>
        </w:rPr>
        <w:t>propriétaires accédants</w:t>
      </w:r>
      <w:r>
        <w:t>, c’est-à-dire qu’ils remboursent un crédit pour leur résidence principale (figure 6). 18,5 % sont propriétaires sans crédit sur leur résidence principale et 24,7 % sont locataires ou logés gratuitement ; ces deux derniers groupes remboursent donc d’autres types de crédits. Par ailleurs, 71,0 % des ménages ne remboursent qu’un seul crédit et 29,0 % en remboursent deux ou plus, et 12,9 % des ménages remboursent un crédit pour un bien immobilier autre que leur résidence principale (ces deux variables binaires ne font pas l’objet d’un graphique).</w:t>
      </w:r>
    </w:p>
    <w:p>
      <w:pPr>
        <w:jc w:val="both"/>
      </w:pPr>
      <w:r>
        <w:t>Concernant la composition du ménage, 43,9 % des ménages n’ont pas d’enfant, 21,6 % en ont un, 23,8 % deux et 10,7 % trois ou plus (figure 7). Les professions intermédiaires sont la CSP la plus représentée (23,1 %), devant les retraités et autres inactifs (20,5 %), les ouvriers (18,3 %), les cadres (17,3 %) et les employés (14,9 %) ; les agriculteurs, artisans, commerçants et chefs d’entreprise représentent 5,8 % des ménages (figure 8). La part importante des retraités montre que l’endettement ne s’arrête pas avec la fin de la vie active.</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866375"/>
                  <wp:docPr id="7" name="Picture 7"/>
                  <wp:cNvGraphicFramePr>
                    <a:graphicFrameLocks noChangeAspect="1"/>
                  </wp:cNvGraphicFramePr>
                  <a:graphic>
                    <a:graphicData uri="http://schemas.openxmlformats.org/drawingml/2006/picture">
                      <pic:pic>
                        <pic:nvPicPr>
                          <pic:cNvPr id="0" name="fig07_bar_enfants.png"/>
                          <pic:cNvPicPr/>
                        </pic:nvPicPr>
                        <pic:blipFill>
                          <a:blip r:embed="rId16"/>
                          <a:stretch>
                            <a:fillRect/>
                          </a:stretch>
                        </pic:blipFill>
                        <pic:spPr>
                          <a:xfrm>
                            <a:off x="0" y="0"/>
                            <a:ext cx="2844000" cy="1866375"/>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2088562"/>
                  <wp:docPr id="8" name="Picture 8"/>
                  <wp:cNvGraphicFramePr>
                    <a:graphicFrameLocks noChangeAspect="1"/>
                  </wp:cNvGraphicFramePr>
                  <a:graphic>
                    <a:graphicData uri="http://schemas.openxmlformats.org/drawingml/2006/picture">
                      <pic:pic>
                        <pic:nvPicPr>
                          <pic:cNvPr id="0" name="fig08_bar_csp.png"/>
                          <pic:cNvPicPr/>
                        </pic:nvPicPr>
                        <pic:blipFill>
                          <a:blip r:embed="rId17"/>
                          <a:stretch>
                            <a:fillRect/>
                          </a:stretch>
                        </pic:blipFill>
                        <pic:spPr>
                          <a:xfrm>
                            <a:off x="0" y="0"/>
                            <a:ext cx="2844000" cy="2088562"/>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7 – Nombre d’enfants dans le ménage</w:t>
            </w:r>
          </w:p>
        </w:tc>
        <w:tc>
          <w:tcPr>
            <w:tcW w:type="dxa" w:w="4536"/>
            <w:vAlign w:val="center"/>
          </w:tcPr>
          <w:p>
            <w:pPr>
              <w:spacing w:after="0" w:line="240" w:lineRule="auto"/>
              <w:jc w:val="center"/>
            </w:pPr>
            <w:r/>
            <w:r>
              <w:rPr>
                <w:b/>
                <w:i w:val="0"/>
                <w:sz w:val="19"/>
              </w:rPr>
              <w:t>Figure 8 – CSP de la personne de référence</w:t>
            </w:r>
          </w:p>
        </w:tc>
      </w:tr>
    </w:tbl>
    <w:p>
      <w:pPr>
        <w:spacing w:after="200"/>
        <w:jc w:val="left"/>
      </w:pPr>
      <w:r>
        <w:rPr>
          <w:i/>
          <w:sz w:val="18"/>
        </w:rPr>
        <w:t>Source : INSEE, enquête SRCV 2015, base SRCV1_menage. Champ : échantillon de travail (3 962 ménages ayant au moins un crédit en cours). Calculs des auteurs sous Stata.</w:t>
      </w:r>
    </w:p>
    <w:p>
      <w:pPr>
        <w:jc w:val="both"/>
      </w:pPr>
      <w:r>
        <w:t>Près d’un tiers des ménages (31,2 %) vit dans une commune rurale et 23,2 % dans une grande unité urbaine de province (200 000 habitants ou plus), tandis que 8,9 % vivent dans l’agglomération parisienne (figure 9). Les petites et moyennes unités urbaines regroupent respectivement 17,6 % et 19,1 % des ménages. Enfin, trois ménages sur quatre (75,0 %) vivent dans une maison et un sur quatre en appartement. Cette forte proportion de maisons s’explique par la part élevée de propriétaires dans notre échantillon de ménages endettés.</w:t>
      </w:r>
    </w:p>
    <w:p>
      <w:pPr>
        <w:keepNext/>
        <w:spacing w:after="0"/>
        <w:jc w:val="center"/>
      </w:pPr>
      <w:r>
        <w:drawing>
          <wp:inline xmlns:a="http://schemas.openxmlformats.org/drawingml/2006/main" xmlns:pic="http://schemas.openxmlformats.org/drawingml/2006/picture">
            <wp:extent cx="3600000" cy="2334375"/>
            <wp:docPr id="9" name="Picture 9"/>
            <wp:cNvGraphicFramePr>
              <a:graphicFrameLocks noChangeAspect="1"/>
            </wp:cNvGraphicFramePr>
            <a:graphic>
              <a:graphicData uri="http://schemas.openxmlformats.org/drawingml/2006/picture">
                <pic:pic>
                  <pic:nvPicPr>
                    <pic:cNvPr id="0" name="fig09_bar_uu.png"/>
                    <pic:cNvPicPr/>
                  </pic:nvPicPr>
                  <pic:blipFill>
                    <a:blip r:embed="rId18"/>
                    <a:stretch>
                      <a:fillRect/>
                    </a:stretch>
                  </pic:blipFill>
                  <pic:spPr>
                    <a:xfrm>
                      <a:off x="0" y="0"/>
                      <a:ext cx="3600000" cy="2334375"/>
                    </a:xfrm>
                    <a:prstGeom prst="rect"/>
                  </pic:spPr>
                </pic:pic>
              </a:graphicData>
            </a:graphic>
          </wp:inline>
        </w:drawing>
      </w:r>
    </w:p>
    <w:p>
      <w:pPr>
        <w:spacing w:after="40"/>
        <w:jc w:val="center"/>
      </w:pPr>
      <w:r>
        <w:rPr>
          <w:b/>
          <w:sz w:val="19"/>
        </w:rPr>
        <w:t>Figure 9 – Taille de l’unité urbaine de résidence</w:t>
      </w:r>
    </w:p>
    <w:p>
      <w:pPr>
        <w:spacing w:after="200"/>
        <w:jc w:val="left"/>
      </w:pPr>
      <w:r>
        <w:rPr>
          <w:i/>
          <w:sz w:val="18"/>
        </w:rPr>
        <w:t>Source : INSEE, enquête SRCV 2015, base SRCV1_menage. Champ : échantillon de travail (3 962 ménages ayant au moins un crédit en cours). Calculs des auteurs sous Stata.</w:t>
      </w:r>
    </w:p>
    <w:p>
      <w:pPr>
        <w:pStyle w:val="Heading2"/>
      </w:pPr>
      <w:r>
        <w:t>4. Statistiques descriptives bivariées</w:t>
      </w:r>
    </w:p>
    <w:p>
      <w:pPr>
        <w:jc w:val="both"/>
      </w:pPr>
      <w:r>
        <w:t>Nous étudions maintenant le lien entre la variable expliquée retenue, ln(CREDITS), et chacune des variables explicatives. Pour les variables qualitatives, comme le suggèrent les consignes, les graphiques en barres représentent les mensualités en euros, plus lisibles que leur logarithme.</w:t>
      </w:r>
    </w:p>
    <w:p>
      <w:pPr>
        <w:pStyle w:val="Heading3"/>
      </w:pPr>
      <w:r>
        <w:t>4.1. Variables explicatives continues</w:t>
      </w:r>
    </w:p>
    <w:p>
      <w:pPr>
        <w:keepNext/>
        <w:spacing w:after="60"/>
        <w:jc w:val="left"/>
      </w:pPr>
      <w:r>
        <w:rPr>
          <w:b/>
          <w:sz w:val="21"/>
        </w:rPr>
        <w:t>Tableau 10 – Corrélations avec le logarithme des mensualités</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3175"/>
        <w:gridCol w:w="1530"/>
        <w:gridCol w:w="1360"/>
        <w:gridCol w:w="1530"/>
        <w:gridCol w:w="1474"/>
      </w:tblGrid>
      <w:tr>
        <w:trPr>
          <w:cantSplit/>
          <w:tblHeader/>
        </w:trPr>
        <w:tc>
          <w:tcPr>
            <w:tcW w:type="dxa" w:w="3175"/>
            <w:shd w:val="clear" w:color="auto" w:fill="E8ECF2"/>
            <w:vAlign w:val="center"/>
          </w:tcPr>
          <w:p>
            <w:pPr>
              <w:keepNext/>
              <w:spacing w:after="0" w:line="240" w:lineRule="auto"/>
              <w:jc w:val="left"/>
            </w:pPr>
            <w:r/>
            <w:r>
              <w:rPr>
                <w:b/>
                <w:i w:val="0"/>
                <w:sz w:val="18"/>
              </w:rPr>
              <w:t>Variable</w:t>
            </w:r>
          </w:p>
        </w:tc>
        <w:tc>
          <w:tcPr>
            <w:tcW w:type="dxa" w:w="1530"/>
            <w:shd w:val="clear" w:color="auto" w:fill="E8ECF2"/>
            <w:vAlign w:val="center"/>
          </w:tcPr>
          <w:p>
            <w:pPr>
              <w:keepNext/>
              <w:spacing w:after="0" w:line="240" w:lineRule="auto"/>
              <w:jc w:val="center"/>
            </w:pPr>
            <w:r/>
            <w:r>
              <w:rPr>
                <w:b/>
                <w:i w:val="0"/>
                <w:sz w:val="18"/>
              </w:rPr>
              <w:t>Coefficient de corrélation</w:t>
            </w:r>
          </w:p>
        </w:tc>
        <w:tc>
          <w:tcPr>
            <w:tcW w:type="dxa" w:w="1360"/>
            <w:shd w:val="clear" w:color="auto" w:fill="E8ECF2"/>
            <w:vAlign w:val="center"/>
          </w:tcPr>
          <w:p>
            <w:pPr>
              <w:keepNext/>
              <w:spacing w:after="0" w:line="240" w:lineRule="auto"/>
              <w:jc w:val="center"/>
            </w:pPr>
            <w:r/>
            <w:r>
              <w:rPr>
                <w:b/>
                <w:i w:val="0"/>
                <w:sz w:val="18"/>
              </w:rPr>
              <w:t>Statistique t</w:t>
            </w:r>
          </w:p>
        </w:tc>
        <w:tc>
          <w:tcPr>
            <w:tcW w:type="dxa" w:w="1530"/>
            <w:shd w:val="clear" w:color="auto" w:fill="E8ECF2"/>
            <w:vAlign w:val="center"/>
          </w:tcPr>
          <w:p>
            <w:pPr>
              <w:keepNext/>
              <w:spacing w:after="0" w:line="240" w:lineRule="auto"/>
              <w:jc w:val="center"/>
            </w:pPr>
            <w:r/>
            <w:r>
              <w:rPr>
                <w:b/>
                <w:i w:val="0"/>
                <w:sz w:val="18"/>
              </w:rPr>
              <w:t>Probabilité critique</w:t>
            </w:r>
          </w:p>
        </w:tc>
        <w:tc>
          <w:tcPr>
            <w:tcW w:type="dxa" w:w="1474"/>
            <w:shd w:val="clear" w:color="auto" w:fill="E8ECF2"/>
            <w:vAlign w:val="center"/>
          </w:tcPr>
          <w:p>
            <w:pPr>
              <w:keepNext/>
              <w:spacing w:after="0" w:line="240" w:lineRule="auto"/>
              <w:jc w:val="center"/>
            </w:pPr>
            <w:r/>
            <w:r>
              <w:rPr>
                <w:b/>
                <w:i w:val="0"/>
                <w:sz w:val="18"/>
              </w:rPr>
              <w:t>Observations</w:t>
            </w:r>
          </w:p>
        </w:tc>
      </w:tr>
      <w:tr>
        <w:trPr>
          <w:cantSplit/>
        </w:trPr>
        <w:tc>
          <w:tcPr>
            <w:tcW w:type="dxa" w:w="3175"/>
            <w:vAlign w:val="center"/>
          </w:tcPr>
          <w:p>
            <w:pPr>
              <w:keepNext/>
              <w:spacing w:after="0" w:line="240" w:lineRule="auto"/>
              <w:jc w:val="left"/>
            </w:pPr>
            <w:r/>
            <w:r>
              <w:rPr>
                <w:b w:val="0"/>
                <w:i w:val="0"/>
                <w:sz w:val="18"/>
              </w:rPr>
              <w:t>Âge de la personne de référence</w:t>
            </w:r>
          </w:p>
        </w:tc>
        <w:tc>
          <w:tcPr>
            <w:tcW w:type="dxa" w:w="1530"/>
            <w:vAlign w:val="center"/>
          </w:tcPr>
          <w:p>
            <w:pPr>
              <w:keepNext/>
              <w:spacing w:after="0" w:line="240" w:lineRule="auto"/>
              <w:jc w:val="center"/>
            </w:pPr>
            <w:r/>
            <w:r>
              <w:rPr>
                <w:b w:val="0"/>
                <w:i w:val="0"/>
                <w:sz w:val="18"/>
              </w:rPr>
              <w:t>–0,222</w:t>
            </w:r>
          </w:p>
        </w:tc>
        <w:tc>
          <w:tcPr>
            <w:tcW w:type="dxa" w:w="1360"/>
            <w:vAlign w:val="center"/>
          </w:tcPr>
          <w:p>
            <w:pPr>
              <w:keepNext/>
              <w:spacing w:after="0" w:line="240" w:lineRule="auto"/>
              <w:jc w:val="center"/>
            </w:pPr>
            <w:r/>
            <w:r>
              <w:rPr>
                <w:b w:val="0"/>
                <w:i w:val="0"/>
                <w:sz w:val="18"/>
              </w:rPr>
              <w:t>–14,31</w:t>
            </w:r>
          </w:p>
        </w:tc>
        <w:tc>
          <w:tcPr>
            <w:tcW w:type="dxa" w:w="1530"/>
            <w:vAlign w:val="center"/>
          </w:tcPr>
          <w:p>
            <w:pPr>
              <w:keepNext/>
              <w:spacing w:after="0" w:line="240" w:lineRule="auto"/>
              <w:jc w:val="center"/>
            </w:pPr>
            <w:r/>
            <w:r>
              <w:rPr>
                <w:b w:val="0"/>
                <w:i w:val="0"/>
                <w:sz w:val="18"/>
              </w:rPr>
              <w:t>&lt; 0,001</w:t>
            </w:r>
          </w:p>
        </w:tc>
        <w:tc>
          <w:tcPr>
            <w:tcW w:type="dxa" w:w="1474"/>
            <w:vAlign w:val="center"/>
          </w:tcPr>
          <w:p>
            <w:pPr>
              <w:keepNext/>
              <w:spacing w:after="0" w:line="240" w:lineRule="auto"/>
              <w:jc w:val="center"/>
            </w:pPr>
            <w:r/>
            <w:r>
              <w:rPr>
                <w:b w:val="0"/>
                <w:i w:val="0"/>
                <w:sz w:val="18"/>
              </w:rPr>
              <w:t>3 962</w:t>
            </w:r>
          </w:p>
        </w:tc>
      </w:tr>
      <w:tr>
        <w:trPr>
          <w:cantSplit/>
        </w:trPr>
        <w:tc>
          <w:tcPr>
            <w:tcW w:type="dxa" w:w="3175"/>
            <w:vAlign w:val="center"/>
          </w:tcPr>
          <w:p>
            <w:pPr>
              <w:spacing w:after="0" w:line="240" w:lineRule="auto"/>
              <w:jc w:val="left"/>
            </w:pPr>
            <w:r/>
            <w:r>
              <w:rPr>
                <w:b w:val="0"/>
                <w:i w:val="0"/>
                <w:sz w:val="18"/>
              </w:rPr>
              <w:t>Logarithme du revenu mensuel du ménage</w:t>
            </w:r>
          </w:p>
        </w:tc>
        <w:tc>
          <w:tcPr>
            <w:tcW w:type="dxa" w:w="1530"/>
            <w:vAlign w:val="center"/>
          </w:tcPr>
          <w:p>
            <w:pPr>
              <w:spacing w:after="0" w:line="240" w:lineRule="auto"/>
              <w:jc w:val="center"/>
            </w:pPr>
            <w:r/>
            <w:r>
              <w:rPr>
                <w:b w:val="0"/>
                <w:i w:val="0"/>
                <w:sz w:val="18"/>
              </w:rPr>
              <w:t>0,551</w:t>
            </w:r>
          </w:p>
        </w:tc>
        <w:tc>
          <w:tcPr>
            <w:tcW w:type="dxa" w:w="1360"/>
            <w:vAlign w:val="center"/>
          </w:tcPr>
          <w:p>
            <w:pPr>
              <w:spacing w:after="0" w:line="240" w:lineRule="auto"/>
              <w:jc w:val="center"/>
            </w:pPr>
            <w:r/>
            <w:r>
              <w:rPr>
                <w:b w:val="0"/>
                <w:i w:val="0"/>
                <w:sz w:val="18"/>
              </w:rPr>
              <w:t>39,06</w:t>
            </w:r>
          </w:p>
        </w:tc>
        <w:tc>
          <w:tcPr>
            <w:tcW w:type="dxa" w:w="1530"/>
            <w:vAlign w:val="center"/>
          </w:tcPr>
          <w:p>
            <w:pPr>
              <w:spacing w:after="0" w:line="240" w:lineRule="auto"/>
              <w:jc w:val="center"/>
            </w:pPr>
            <w:r/>
            <w:r>
              <w:rPr>
                <w:b w:val="0"/>
                <w:i w:val="0"/>
                <w:sz w:val="18"/>
              </w:rPr>
              <w:t>&lt; 0,001</w:t>
            </w:r>
          </w:p>
        </w:tc>
        <w:tc>
          <w:tcPr>
            <w:tcW w:type="dxa" w:w="1474"/>
            <w:vAlign w:val="center"/>
          </w:tcPr>
          <w:p>
            <w:pPr>
              <w:spacing w:after="0" w:line="240" w:lineRule="auto"/>
              <w:jc w:val="center"/>
            </w:pPr>
            <w:r/>
            <w:r>
              <w:rPr>
                <w:b w:val="0"/>
                <w:i w:val="0"/>
                <w:sz w:val="18"/>
              </w:rPr>
              <w:t>3 502</w:t>
            </w:r>
          </w:p>
        </w:tc>
      </w:tr>
    </w:tbl>
    <w:p>
      <w:pPr>
        <w:spacing w:after="200"/>
        <w:jc w:val="left"/>
      </w:pPr>
      <w:r>
        <w:rPr>
          <w:i/>
          <w:sz w:val="18"/>
        </w:rPr>
        <w:t>Source : INSEE, enquête SRCV 2015, base SRCV1_menage. Champ : échantillon de travail ; pour le revenu, ménages ayant déclaré leur revenu. Commandes Stata : pwcorr lncredits agepr, sig obs ; pwcorr lncredits lnrevenu, sig obs. La statistique t est calculée à la main à partir du coefficient de corrélation.</w:t>
      </w:r>
    </w:p>
    <w:p>
      <w:pPr>
        <w:jc w:val="both"/>
      </w:pPr>
      <w:r>
        <w:rPr>
          <w:b/>
        </w:rPr>
        <w:t>L’âge.</w:t>
      </w:r>
      <w:r>
        <w:t xml:space="preserve"> Le coefficient de corrélation linéaire entre l’âge et le logarithme des mensualités vaut –0,222. Pour tester sa significativité, on teste H0 : ρ = 0 contre H1 : ρ ≠ 0. La statistique t = r√(n – 2) / √(1 – r²) = –0,222 × √3 960 / √(1 – 0,222²) ≈ –14,31 suit sous H0 une loi de Student à 3 960 degrés de liberté. En valeur absolue, elle est bien supérieure à 1,96, la valeur critique au seuil de 5 % lue dans la table, et la probabilité critique donnée par Stata est inférieure à 0,001 : </w:t>
      </w:r>
      <w:r>
        <w:rPr>
          <w:b/>
        </w:rPr>
        <w:t>la corrélation est significativement négative</w:t>
      </w:r>
      <w:r>
        <w:t>. En moyenne, plus la personne de référence est âgée, plus les mensualités du ménage sont faibles.</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955250"/>
                  <wp:docPr id="10" name="Picture 10"/>
                  <wp:cNvGraphicFramePr>
                    <a:graphicFrameLocks noChangeAspect="1"/>
                  </wp:cNvGraphicFramePr>
                  <a:graphic>
                    <a:graphicData uri="http://schemas.openxmlformats.org/drawingml/2006/picture">
                      <pic:pic>
                        <pic:nvPicPr>
                          <pic:cNvPr id="0" name="fig10_age_lncredits.png"/>
                          <pic:cNvPicPr/>
                        </pic:nvPicPr>
                        <pic:blipFill>
                          <a:blip r:embed="rId19"/>
                          <a:stretch>
                            <a:fillRect/>
                          </a:stretch>
                        </pic:blipFill>
                        <pic:spPr>
                          <a:xfrm>
                            <a:off x="0" y="0"/>
                            <a:ext cx="2844000" cy="1955250"/>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1955250"/>
                  <wp:docPr id="11" name="Picture 11"/>
                  <wp:cNvGraphicFramePr>
                    <a:graphicFrameLocks noChangeAspect="1"/>
                  </wp:cNvGraphicFramePr>
                  <a:graphic>
                    <a:graphicData uri="http://schemas.openxmlformats.org/drawingml/2006/picture">
                      <pic:pic>
                        <pic:nvPicPr>
                          <pic:cNvPr id="0" name="fig11_revenu_lncredits.png"/>
                          <pic:cNvPicPr/>
                        </pic:nvPicPr>
                        <pic:blipFill>
                          <a:blip r:embed="rId20"/>
                          <a:stretch>
                            <a:fillRect/>
                          </a:stretch>
                        </pic:blipFill>
                        <pic:spPr>
                          <a:xfrm>
                            <a:off x="0" y="0"/>
                            <a:ext cx="2844000" cy="1955250"/>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10 – Logarithme moyen des mensualités selon l’âge</w:t>
            </w:r>
          </w:p>
        </w:tc>
        <w:tc>
          <w:tcPr>
            <w:tcW w:type="dxa" w:w="4536"/>
            <w:vAlign w:val="center"/>
          </w:tcPr>
          <w:p>
            <w:pPr>
              <w:spacing w:after="0" w:line="240" w:lineRule="auto"/>
              <w:jc w:val="center"/>
            </w:pPr>
            <w:r/>
            <w:r>
              <w:rPr>
                <w:b/>
                <w:i w:val="0"/>
                <w:sz w:val="19"/>
              </w:rPr>
              <w:t>Figure 11 – Mensualités et revenu (en logarithmes)</w:t>
            </w:r>
          </w:p>
        </w:tc>
      </w:tr>
    </w:tbl>
    <w:p>
      <w:pPr>
        <w:spacing w:after="200"/>
        <w:jc w:val="left"/>
      </w:pPr>
      <w:r>
        <w:rPr>
          <w:i/>
          <w:sz w:val="18"/>
        </w:rPr>
        <w:t>Source : INSEE, enquête SRCV 2015, base SRCV1_menage. Champ : échantillon de travail ; figure 11 : ménages ayant déclaré leur revenu (3 502). Les droites d’ajustement sont estimées sur les données individuelles.</w:t>
      </w:r>
    </w:p>
    <w:p>
      <w:pPr>
        <w:jc w:val="both"/>
      </w:pPr>
      <w:r>
        <w:t xml:space="preserve">Le graphique montre cependant que la relation </w:t>
      </w:r>
      <w:r>
        <w:rPr>
          <w:b/>
        </w:rPr>
        <w:t>n’est pas linéaire</w:t>
      </w:r>
      <w:r>
        <w:t xml:space="preserve"> (figure 10). Le logarithme moyen des mensualités augmente fortement entre 20 et 35 ans, reste élevé jusqu’à 50 ans environ, puis diminue, plus nettement après 70 ans. La droite d’ajustement linéaire (en pointillés) représente mal ce profil : elle surestime les mensualités des plus jeunes et des plus âgés. L’ajustement quadratique décrit beaucoup mieux cette </w:t>
      </w:r>
      <w:r>
        <w:rPr>
          <w:b/>
        </w:rPr>
        <w:t>forme en cloche, conforme à la théorie du cycle de vie</w:t>
      </w:r>
      <w:r>
        <w:t>. Au-delà de 80 ans, les moyennes sont plus dispersées car elles reposent sur très peu de ménages (25 au total). Nous introduirons donc l’âge sous forme quadratique (âge et âge au carré) dans le modèle, en attendant un coefficient positif pour l’âge et négatif pour l’âge au carré.</w:t>
      </w:r>
    </w:p>
    <w:p>
      <w:pPr>
        <w:jc w:val="both"/>
      </w:pPr>
      <w:r>
        <w:rPr>
          <w:b/>
        </w:rPr>
        <w:t>Le revenu.</w:t>
      </w:r>
      <w:r>
        <w:t xml:space="preserve"> Nous calculons la corrélation entre ln(CREDITS) et le logarithme du revenu sur les 3 502 ménages qui ont déclaré leur revenu. Elle vaut 0,551 (t ≈ 39,06) et est très significative : c’est la corrélation la plus forte parmi nos variables. Le nuage de points (figure 11) montre une relation croissante et à peu près linéaire entre les deux logarithmes, ce qui suggère qu’une spécification log-log, dans laquelle le coefficient du revenu s’interprète comme une élasticité, serait adaptée. Le nuage reste cependant très dispersé : à revenu donné, les mensualités varient beaucoup, notamment selon que le ménage rembourse ou non un prêt immobilier.</w:t>
      </w:r>
    </w:p>
    <w:p>
      <w:pPr>
        <w:jc w:val="both"/>
      </w:pPr>
      <w:r>
        <w:t xml:space="preserve">Comme expliqué plus haut, nous introduirons le revenu en tranches pour conserver les 460 ménages qui ne l’ont pas déclaré. La figure 12 montre que </w:t>
      </w:r>
      <w:r>
        <w:rPr>
          <w:b/>
        </w:rPr>
        <w:t>la mensualité moyenne augmente régulièrement avec la tranche de revenu</w:t>
      </w:r>
      <w:r>
        <w:t xml:space="preserve"> : de 294 euros pour les ménages qui gagnent moins de 2 000 euros par mois à 1 277 euros pour ceux qui gagnent 5 000 euros ou plus. L’augmentation semble à peu près proportionnelle au revenu : entre la tranche de 2 000 à 2 999 euros et celle de 4 000 à 4 999 euros, le revenu fait un peu moins que doubler, et la mensualité moyenne passe de 497 à 909 euros. La mensualité moyenne des ménages qui n’ont pas déclaré leur revenu (787 euros) se situe entre celles de la troisième et de la quatrième tranche : ces ménages ne sont donc pas particulièrement modestes, et les supprimer aurait pu biaiser l’échantillon. Le découpage en tranches a aussi l’avantage de ne pas imposer de forme fonctionnelle a priori. Dans la seconde partie, nous pourrons vérifier la robustesse des résultats en estimant aussi le modèle avec ln(revenu), sur les seuls ménages qui ont déclaré leur revenu.</w:t>
      </w:r>
    </w:p>
    <w:p>
      <w:pPr>
        <w:pStyle w:val="Heading3"/>
      </w:pPr>
      <w:r>
        <w:t>4.2. Variables explicatives qualitatives</w:t>
      </w:r>
    </w:p>
    <w:p>
      <w:pPr>
        <w:keepNext/>
        <w:jc w:val="both"/>
      </w:pPr>
      <w:r>
        <w:t>Le tableau 11 donne la mensualité moyenne et la mensualité médiane pour chaque modalité des variables qualitatives, et les figures 12 à 19 représentent les mensualités moyennes.</w:t>
      </w:r>
    </w:p>
    <w:p>
      <w:pPr>
        <w:keepNext/>
        <w:spacing w:after="60"/>
        <w:jc w:val="left"/>
      </w:pPr>
      <w:r>
        <w:rPr>
          <w:b/>
          <w:sz w:val="21"/>
        </w:rPr>
        <w:t>Tableau 11 – Mensualités moyennes et médianes selon les variables qualitatives (euros)</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4649"/>
        <w:gridCol w:w="1247"/>
        <w:gridCol w:w="1587"/>
        <w:gridCol w:w="1587"/>
      </w:tblGrid>
      <w:tr>
        <w:trPr>
          <w:cantSplit/>
          <w:tblHeader/>
        </w:trPr>
        <w:tc>
          <w:tcPr>
            <w:tcW w:type="dxa" w:w="4649"/>
            <w:shd w:val="clear" w:color="auto" w:fill="E8ECF2"/>
            <w:vAlign w:val="center"/>
          </w:tcPr>
          <w:p>
            <w:pPr>
              <w:spacing w:after="0" w:line="240" w:lineRule="auto"/>
              <w:jc w:val="left"/>
            </w:pPr>
            <w:r/>
            <w:r>
              <w:rPr>
                <w:b/>
                <w:i w:val="0"/>
                <w:sz w:val="18"/>
              </w:rPr>
              <w:t>Modalité</w:t>
            </w:r>
          </w:p>
        </w:tc>
        <w:tc>
          <w:tcPr>
            <w:tcW w:type="dxa" w:w="1247"/>
            <w:shd w:val="clear" w:color="auto" w:fill="E8ECF2"/>
            <w:vAlign w:val="center"/>
          </w:tcPr>
          <w:p>
            <w:pPr>
              <w:spacing w:after="0" w:line="240" w:lineRule="auto"/>
              <w:jc w:val="center"/>
            </w:pPr>
            <w:r/>
            <w:r>
              <w:rPr>
                <w:b/>
                <w:i w:val="0"/>
                <w:sz w:val="18"/>
              </w:rPr>
              <w:t>Effectif</w:t>
            </w:r>
          </w:p>
        </w:tc>
        <w:tc>
          <w:tcPr>
            <w:tcW w:type="dxa" w:w="1587"/>
            <w:shd w:val="clear" w:color="auto" w:fill="E8ECF2"/>
            <w:vAlign w:val="center"/>
          </w:tcPr>
          <w:p>
            <w:pPr>
              <w:spacing w:after="0" w:line="240" w:lineRule="auto"/>
              <w:jc w:val="center"/>
            </w:pPr>
            <w:r/>
            <w:r>
              <w:rPr>
                <w:b/>
                <w:i w:val="0"/>
                <w:sz w:val="18"/>
              </w:rPr>
              <w:t>Mensualité moyenne</w:t>
            </w:r>
          </w:p>
        </w:tc>
        <w:tc>
          <w:tcPr>
            <w:tcW w:type="dxa" w:w="1587"/>
            <w:shd w:val="clear" w:color="auto" w:fill="E8ECF2"/>
            <w:vAlign w:val="center"/>
          </w:tcPr>
          <w:p>
            <w:pPr>
              <w:spacing w:after="0" w:line="240" w:lineRule="auto"/>
              <w:jc w:val="center"/>
            </w:pPr>
            <w:r/>
            <w:r>
              <w:rPr>
                <w:b/>
                <w:i w:val="0"/>
                <w:sz w:val="18"/>
              </w:rPr>
              <w:t>Mensualité médiane</w:t>
            </w:r>
          </w:p>
        </w:tc>
      </w:tr>
      <w:tr>
        <w:trPr>
          <w:cantSplit/>
        </w:trPr>
        <w:tc>
          <w:tcPr>
            <w:tcW w:type="dxa" w:w="9072"/>
            <w:gridSpan w:val="4"/>
            <w:shd w:val="clear" w:color="auto" w:fill="F4F6F9"/>
            <w:vAlign w:val="center"/>
          </w:tcPr>
          <w:p>
            <w:pPr>
              <w:spacing w:after="0" w:line="240" w:lineRule="auto"/>
              <w:jc w:val="left"/>
            </w:pPr>
            <w:r/>
            <w:r>
              <w:rPr>
                <w:b/>
                <w:i w:val="0"/>
                <w:sz w:val="18"/>
              </w:rPr>
              <w:t>Revenu mensuel du ménage</w:t>
            </w:r>
          </w:p>
        </w:tc>
      </w:tr>
      <w:tr>
        <w:trPr>
          <w:cantSplit/>
        </w:trPr>
        <w:tc>
          <w:tcPr>
            <w:tcW w:type="dxa" w:w="4649"/>
            <w:vAlign w:val="center"/>
          </w:tcPr>
          <w:p>
            <w:pPr>
              <w:spacing w:after="0" w:line="240" w:lineRule="auto"/>
              <w:jc w:val="left"/>
            </w:pPr>
            <w:r/>
            <w:r>
              <w:rPr>
                <w:b w:val="0"/>
                <w:i w:val="0"/>
                <w:sz w:val="18"/>
              </w:rPr>
              <w:t>Moins de 2 000 €</w:t>
            </w:r>
          </w:p>
        </w:tc>
        <w:tc>
          <w:tcPr>
            <w:tcW w:type="dxa" w:w="1247"/>
            <w:vAlign w:val="center"/>
          </w:tcPr>
          <w:p>
            <w:pPr>
              <w:spacing w:after="0" w:line="240" w:lineRule="auto"/>
              <w:jc w:val="center"/>
            </w:pPr>
            <w:r/>
            <w:r>
              <w:rPr>
                <w:b w:val="0"/>
                <w:i w:val="0"/>
                <w:sz w:val="18"/>
              </w:rPr>
              <w:t>731</w:t>
            </w:r>
          </w:p>
        </w:tc>
        <w:tc>
          <w:tcPr>
            <w:tcW w:type="dxa" w:w="1587"/>
            <w:vAlign w:val="center"/>
          </w:tcPr>
          <w:p>
            <w:pPr>
              <w:spacing w:after="0" w:line="240" w:lineRule="auto"/>
              <w:jc w:val="center"/>
            </w:pPr>
            <w:r/>
            <w:r>
              <w:rPr>
                <w:b w:val="0"/>
                <w:i w:val="0"/>
                <w:sz w:val="18"/>
              </w:rPr>
              <w:t>294</w:t>
            </w:r>
          </w:p>
        </w:tc>
        <w:tc>
          <w:tcPr>
            <w:tcW w:type="dxa" w:w="1587"/>
            <w:vAlign w:val="center"/>
          </w:tcPr>
          <w:p>
            <w:pPr>
              <w:spacing w:after="0" w:line="240" w:lineRule="auto"/>
              <w:jc w:val="center"/>
            </w:pPr>
            <w:r/>
            <w:r>
              <w:rPr>
                <w:b w:val="0"/>
                <w:i w:val="0"/>
                <w:sz w:val="18"/>
              </w:rPr>
              <w:t>236</w:t>
            </w:r>
          </w:p>
        </w:tc>
      </w:tr>
      <w:tr>
        <w:trPr>
          <w:cantSplit/>
        </w:trPr>
        <w:tc>
          <w:tcPr>
            <w:tcW w:type="dxa" w:w="4649"/>
            <w:vAlign w:val="center"/>
          </w:tcPr>
          <w:p>
            <w:pPr>
              <w:spacing w:after="0" w:line="240" w:lineRule="auto"/>
              <w:jc w:val="left"/>
            </w:pPr>
            <w:r/>
            <w:r>
              <w:rPr>
                <w:b w:val="0"/>
                <w:i w:val="0"/>
                <w:sz w:val="18"/>
              </w:rPr>
              <w:t>2 000 à 2 999 €</w:t>
            </w:r>
          </w:p>
        </w:tc>
        <w:tc>
          <w:tcPr>
            <w:tcW w:type="dxa" w:w="1247"/>
            <w:vAlign w:val="center"/>
          </w:tcPr>
          <w:p>
            <w:pPr>
              <w:spacing w:after="0" w:line="240" w:lineRule="auto"/>
              <w:jc w:val="center"/>
            </w:pPr>
            <w:r/>
            <w:r>
              <w:rPr>
                <w:b w:val="0"/>
                <w:i w:val="0"/>
                <w:sz w:val="18"/>
              </w:rPr>
              <w:t>895</w:t>
            </w:r>
          </w:p>
        </w:tc>
        <w:tc>
          <w:tcPr>
            <w:tcW w:type="dxa" w:w="1587"/>
            <w:vAlign w:val="center"/>
          </w:tcPr>
          <w:p>
            <w:pPr>
              <w:spacing w:after="0" w:line="240" w:lineRule="auto"/>
              <w:jc w:val="center"/>
            </w:pPr>
            <w:r/>
            <w:r>
              <w:rPr>
                <w:b w:val="0"/>
                <w:i w:val="0"/>
                <w:sz w:val="18"/>
              </w:rPr>
              <w:t>497</w:t>
            </w:r>
          </w:p>
        </w:tc>
        <w:tc>
          <w:tcPr>
            <w:tcW w:type="dxa" w:w="1587"/>
            <w:vAlign w:val="center"/>
          </w:tcPr>
          <w:p>
            <w:pPr>
              <w:spacing w:after="0" w:line="240" w:lineRule="auto"/>
              <w:jc w:val="center"/>
            </w:pPr>
            <w:r/>
            <w:r>
              <w:rPr>
                <w:b w:val="0"/>
                <w:i w:val="0"/>
                <w:sz w:val="18"/>
              </w:rPr>
              <w:t>415</w:t>
            </w:r>
          </w:p>
        </w:tc>
      </w:tr>
      <w:tr>
        <w:trPr>
          <w:cantSplit/>
        </w:trPr>
        <w:tc>
          <w:tcPr>
            <w:tcW w:type="dxa" w:w="4649"/>
            <w:vAlign w:val="center"/>
          </w:tcPr>
          <w:p>
            <w:pPr>
              <w:spacing w:after="0" w:line="240" w:lineRule="auto"/>
              <w:jc w:val="left"/>
            </w:pPr>
            <w:r/>
            <w:r>
              <w:rPr>
                <w:b w:val="0"/>
                <w:i w:val="0"/>
                <w:sz w:val="18"/>
              </w:rPr>
              <w:t>3 000 à 3 999 €</w:t>
            </w:r>
          </w:p>
        </w:tc>
        <w:tc>
          <w:tcPr>
            <w:tcW w:type="dxa" w:w="1247"/>
            <w:vAlign w:val="center"/>
          </w:tcPr>
          <w:p>
            <w:pPr>
              <w:spacing w:after="0" w:line="240" w:lineRule="auto"/>
              <w:jc w:val="center"/>
            </w:pPr>
            <w:r/>
            <w:r>
              <w:rPr>
                <w:b w:val="0"/>
                <w:i w:val="0"/>
                <w:sz w:val="18"/>
              </w:rPr>
              <w:t>885</w:t>
            </w:r>
          </w:p>
        </w:tc>
        <w:tc>
          <w:tcPr>
            <w:tcW w:type="dxa" w:w="1587"/>
            <w:vAlign w:val="center"/>
          </w:tcPr>
          <w:p>
            <w:pPr>
              <w:spacing w:after="0" w:line="240" w:lineRule="auto"/>
              <w:jc w:val="center"/>
            </w:pPr>
            <w:r/>
            <w:r>
              <w:rPr>
                <w:b w:val="0"/>
                <w:i w:val="0"/>
                <w:sz w:val="18"/>
              </w:rPr>
              <w:t>724</w:t>
            </w:r>
          </w:p>
        </w:tc>
        <w:tc>
          <w:tcPr>
            <w:tcW w:type="dxa" w:w="1587"/>
            <w:vAlign w:val="center"/>
          </w:tcPr>
          <w:p>
            <w:pPr>
              <w:spacing w:after="0" w:line="240" w:lineRule="auto"/>
              <w:jc w:val="center"/>
            </w:pPr>
            <w:r/>
            <w:r>
              <w:rPr>
                <w:b w:val="0"/>
                <w:i w:val="0"/>
                <w:sz w:val="18"/>
              </w:rPr>
              <w:t>744</w:t>
            </w:r>
          </w:p>
        </w:tc>
      </w:tr>
      <w:tr>
        <w:trPr>
          <w:cantSplit/>
        </w:trPr>
        <w:tc>
          <w:tcPr>
            <w:tcW w:type="dxa" w:w="4649"/>
            <w:vAlign w:val="center"/>
          </w:tcPr>
          <w:p>
            <w:pPr>
              <w:spacing w:after="0" w:line="240" w:lineRule="auto"/>
              <w:jc w:val="left"/>
            </w:pPr>
            <w:r/>
            <w:r>
              <w:rPr>
                <w:b w:val="0"/>
                <w:i w:val="0"/>
                <w:sz w:val="18"/>
              </w:rPr>
              <w:t>4 000 à 4 999 €</w:t>
            </w:r>
          </w:p>
        </w:tc>
        <w:tc>
          <w:tcPr>
            <w:tcW w:type="dxa" w:w="1247"/>
            <w:vAlign w:val="center"/>
          </w:tcPr>
          <w:p>
            <w:pPr>
              <w:spacing w:after="0" w:line="240" w:lineRule="auto"/>
              <w:jc w:val="center"/>
            </w:pPr>
            <w:r/>
            <w:r>
              <w:rPr>
                <w:b w:val="0"/>
                <w:i w:val="0"/>
                <w:sz w:val="18"/>
              </w:rPr>
              <w:t>526</w:t>
            </w:r>
          </w:p>
        </w:tc>
        <w:tc>
          <w:tcPr>
            <w:tcW w:type="dxa" w:w="1587"/>
            <w:vAlign w:val="center"/>
          </w:tcPr>
          <w:p>
            <w:pPr>
              <w:spacing w:after="0" w:line="240" w:lineRule="auto"/>
              <w:jc w:val="center"/>
            </w:pPr>
            <w:r/>
            <w:r>
              <w:rPr>
                <w:b w:val="0"/>
                <w:i w:val="0"/>
                <w:sz w:val="18"/>
              </w:rPr>
              <w:t>909</w:t>
            </w:r>
          </w:p>
        </w:tc>
        <w:tc>
          <w:tcPr>
            <w:tcW w:type="dxa" w:w="1587"/>
            <w:vAlign w:val="center"/>
          </w:tcPr>
          <w:p>
            <w:pPr>
              <w:spacing w:after="0" w:line="240" w:lineRule="auto"/>
              <w:jc w:val="center"/>
            </w:pPr>
            <w:r/>
            <w:r>
              <w:rPr>
                <w:b w:val="0"/>
                <w:i w:val="0"/>
                <w:sz w:val="18"/>
              </w:rPr>
              <w:t>880</w:t>
            </w:r>
          </w:p>
        </w:tc>
      </w:tr>
      <w:tr>
        <w:trPr>
          <w:cantSplit/>
        </w:trPr>
        <w:tc>
          <w:tcPr>
            <w:tcW w:type="dxa" w:w="4649"/>
            <w:vAlign w:val="center"/>
          </w:tcPr>
          <w:p>
            <w:pPr>
              <w:spacing w:after="0" w:line="240" w:lineRule="auto"/>
              <w:jc w:val="left"/>
            </w:pPr>
            <w:r/>
            <w:r>
              <w:rPr>
                <w:b w:val="0"/>
                <w:i w:val="0"/>
                <w:sz w:val="18"/>
              </w:rPr>
              <w:t>5 000 € et plus</w:t>
            </w:r>
          </w:p>
        </w:tc>
        <w:tc>
          <w:tcPr>
            <w:tcW w:type="dxa" w:w="1247"/>
            <w:vAlign w:val="center"/>
          </w:tcPr>
          <w:p>
            <w:pPr>
              <w:spacing w:after="0" w:line="240" w:lineRule="auto"/>
              <w:jc w:val="center"/>
            </w:pPr>
            <w:r/>
            <w:r>
              <w:rPr>
                <w:b w:val="0"/>
                <w:i w:val="0"/>
                <w:sz w:val="18"/>
              </w:rPr>
              <w:t>465</w:t>
            </w:r>
          </w:p>
        </w:tc>
        <w:tc>
          <w:tcPr>
            <w:tcW w:type="dxa" w:w="1587"/>
            <w:vAlign w:val="center"/>
          </w:tcPr>
          <w:p>
            <w:pPr>
              <w:spacing w:after="0" w:line="240" w:lineRule="auto"/>
              <w:jc w:val="center"/>
            </w:pPr>
            <w:r/>
            <w:r>
              <w:rPr>
                <w:b w:val="0"/>
                <w:i w:val="0"/>
                <w:sz w:val="18"/>
              </w:rPr>
              <w:t>1 277</w:t>
            </w:r>
          </w:p>
        </w:tc>
        <w:tc>
          <w:tcPr>
            <w:tcW w:type="dxa" w:w="1587"/>
            <w:vAlign w:val="center"/>
          </w:tcPr>
          <w:p>
            <w:pPr>
              <w:spacing w:after="0" w:line="240" w:lineRule="auto"/>
              <w:jc w:val="center"/>
            </w:pPr>
            <w:r/>
            <w:r>
              <w:rPr>
                <w:b w:val="0"/>
                <w:i w:val="0"/>
                <w:sz w:val="18"/>
              </w:rPr>
              <w:t>1 180</w:t>
            </w:r>
          </w:p>
        </w:tc>
      </w:tr>
      <w:tr>
        <w:trPr>
          <w:cantSplit/>
        </w:trPr>
        <w:tc>
          <w:tcPr>
            <w:tcW w:type="dxa" w:w="4649"/>
            <w:vAlign w:val="center"/>
          </w:tcPr>
          <w:p>
            <w:pPr>
              <w:spacing w:after="0" w:line="240" w:lineRule="auto"/>
              <w:jc w:val="left"/>
            </w:pPr>
            <w:r/>
            <w:r>
              <w:rPr>
                <w:b w:val="0"/>
                <w:i w:val="0"/>
                <w:sz w:val="18"/>
              </w:rPr>
              <w:t>Revenu non déclaré</w:t>
            </w:r>
          </w:p>
        </w:tc>
        <w:tc>
          <w:tcPr>
            <w:tcW w:type="dxa" w:w="1247"/>
            <w:vAlign w:val="center"/>
          </w:tcPr>
          <w:p>
            <w:pPr>
              <w:spacing w:after="0" w:line="240" w:lineRule="auto"/>
              <w:jc w:val="center"/>
            </w:pPr>
            <w:r/>
            <w:r>
              <w:rPr>
                <w:b w:val="0"/>
                <w:i w:val="0"/>
                <w:sz w:val="18"/>
              </w:rPr>
              <w:t>460</w:t>
            </w:r>
          </w:p>
        </w:tc>
        <w:tc>
          <w:tcPr>
            <w:tcW w:type="dxa" w:w="1587"/>
            <w:vAlign w:val="center"/>
          </w:tcPr>
          <w:p>
            <w:pPr>
              <w:spacing w:after="0" w:line="240" w:lineRule="auto"/>
              <w:jc w:val="center"/>
            </w:pPr>
            <w:r/>
            <w:r>
              <w:rPr>
                <w:b w:val="0"/>
                <w:i w:val="0"/>
                <w:sz w:val="18"/>
              </w:rPr>
              <w:t>787</w:t>
            </w:r>
          </w:p>
        </w:tc>
        <w:tc>
          <w:tcPr>
            <w:tcW w:type="dxa" w:w="1587"/>
            <w:vAlign w:val="center"/>
          </w:tcPr>
          <w:p>
            <w:pPr>
              <w:spacing w:after="0" w:line="240" w:lineRule="auto"/>
              <w:jc w:val="center"/>
            </w:pPr>
            <w:r/>
            <w:r>
              <w:rPr>
                <w:b w:val="0"/>
                <w:i w:val="0"/>
                <w:sz w:val="18"/>
              </w:rPr>
              <w:t>650</w:t>
            </w:r>
          </w:p>
        </w:tc>
      </w:tr>
      <w:tr>
        <w:trPr>
          <w:cantSplit/>
        </w:trPr>
        <w:tc>
          <w:tcPr>
            <w:tcW w:type="dxa" w:w="9072"/>
            <w:gridSpan w:val="4"/>
            <w:shd w:val="clear" w:color="auto" w:fill="F4F6F9"/>
            <w:vAlign w:val="center"/>
          </w:tcPr>
          <w:p>
            <w:pPr>
              <w:spacing w:after="0" w:line="240" w:lineRule="auto"/>
              <w:jc w:val="left"/>
            </w:pPr>
            <w:r/>
            <w:r>
              <w:rPr>
                <w:b/>
                <w:i w:val="0"/>
                <w:sz w:val="18"/>
              </w:rPr>
              <w:t>Statut d’occupation du logement</w:t>
            </w:r>
          </w:p>
        </w:tc>
      </w:tr>
      <w:tr>
        <w:trPr>
          <w:cantSplit/>
        </w:trPr>
        <w:tc>
          <w:tcPr>
            <w:tcW w:type="dxa" w:w="4649"/>
            <w:vAlign w:val="center"/>
          </w:tcPr>
          <w:p>
            <w:pPr>
              <w:spacing w:after="0" w:line="240" w:lineRule="auto"/>
              <w:jc w:val="left"/>
            </w:pPr>
            <w:r/>
            <w:r>
              <w:rPr>
                <w:b w:val="0"/>
                <w:i w:val="0"/>
                <w:sz w:val="18"/>
              </w:rPr>
              <w:t>Propriétaire accédant</w:t>
            </w:r>
          </w:p>
        </w:tc>
        <w:tc>
          <w:tcPr>
            <w:tcW w:type="dxa" w:w="1247"/>
            <w:vAlign w:val="center"/>
          </w:tcPr>
          <w:p>
            <w:pPr>
              <w:spacing w:after="0" w:line="240" w:lineRule="auto"/>
              <w:jc w:val="center"/>
            </w:pPr>
            <w:r/>
            <w:r>
              <w:rPr>
                <w:b w:val="0"/>
                <w:i w:val="0"/>
                <w:sz w:val="18"/>
              </w:rPr>
              <w:t>2 252</w:t>
            </w:r>
          </w:p>
        </w:tc>
        <w:tc>
          <w:tcPr>
            <w:tcW w:type="dxa" w:w="1587"/>
            <w:vAlign w:val="center"/>
          </w:tcPr>
          <w:p>
            <w:pPr>
              <w:spacing w:after="0" w:line="240" w:lineRule="auto"/>
              <w:jc w:val="center"/>
            </w:pPr>
            <w:r/>
            <w:r>
              <w:rPr>
                <w:b w:val="0"/>
                <w:i w:val="0"/>
                <w:sz w:val="18"/>
              </w:rPr>
              <w:t>900</w:t>
            </w:r>
          </w:p>
        </w:tc>
        <w:tc>
          <w:tcPr>
            <w:tcW w:type="dxa" w:w="1587"/>
            <w:vAlign w:val="center"/>
          </w:tcPr>
          <w:p>
            <w:pPr>
              <w:spacing w:after="0" w:line="240" w:lineRule="auto"/>
              <w:jc w:val="center"/>
            </w:pPr>
            <w:r/>
            <w:r>
              <w:rPr>
                <w:b w:val="0"/>
                <w:i w:val="0"/>
                <w:sz w:val="18"/>
              </w:rPr>
              <w:t>810</w:t>
            </w:r>
          </w:p>
        </w:tc>
      </w:tr>
      <w:tr>
        <w:trPr>
          <w:cantSplit/>
        </w:trPr>
        <w:tc>
          <w:tcPr>
            <w:tcW w:type="dxa" w:w="4649"/>
            <w:vAlign w:val="center"/>
          </w:tcPr>
          <w:p>
            <w:pPr>
              <w:spacing w:after="0" w:line="240" w:lineRule="auto"/>
              <w:jc w:val="left"/>
            </w:pPr>
            <w:r/>
            <w:r>
              <w:rPr>
                <w:b w:val="0"/>
                <w:i w:val="0"/>
                <w:sz w:val="18"/>
              </w:rPr>
              <w:t>Propriétaire non accédant</w:t>
            </w:r>
          </w:p>
        </w:tc>
        <w:tc>
          <w:tcPr>
            <w:tcW w:type="dxa" w:w="1247"/>
            <w:vAlign w:val="center"/>
          </w:tcPr>
          <w:p>
            <w:pPr>
              <w:spacing w:after="0" w:line="240" w:lineRule="auto"/>
              <w:jc w:val="center"/>
            </w:pPr>
            <w:r/>
            <w:r>
              <w:rPr>
                <w:b w:val="0"/>
                <w:i w:val="0"/>
                <w:sz w:val="18"/>
              </w:rPr>
              <w:t>732</w:t>
            </w:r>
          </w:p>
        </w:tc>
        <w:tc>
          <w:tcPr>
            <w:tcW w:type="dxa" w:w="1587"/>
            <w:vAlign w:val="center"/>
          </w:tcPr>
          <w:p>
            <w:pPr>
              <w:spacing w:after="0" w:line="240" w:lineRule="auto"/>
              <w:jc w:val="center"/>
            </w:pPr>
            <w:r/>
            <w:r>
              <w:rPr>
                <w:b w:val="0"/>
                <w:i w:val="0"/>
                <w:sz w:val="18"/>
              </w:rPr>
              <w:t>529</w:t>
            </w:r>
          </w:p>
        </w:tc>
        <w:tc>
          <w:tcPr>
            <w:tcW w:type="dxa" w:w="1587"/>
            <w:vAlign w:val="center"/>
          </w:tcPr>
          <w:p>
            <w:pPr>
              <w:spacing w:after="0" w:line="240" w:lineRule="auto"/>
              <w:jc w:val="center"/>
            </w:pPr>
            <w:r/>
            <w:r>
              <w:rPr>
                <w:b w:val="0"/>
                <w:i w:val="0"/>
                <w:sz w:val="18"/>
              </w:rPr>
              <w:t>350</w:t>
            </w:r>
          </w:p>
        </w:tc>
      </w:tr>
      <w:tr>
        <w:trPr>
          <w:cantSplit/>
        </w:trPr>
        <w:tc>
          <w:tcPr>
            <w:tcW w:type="dxa" w:w="4649"/>
            <w:vAlign w:val="center"/>
          </w:tcPr>
          <w:p>
            <w:pPr>
              <w:spacing w:after="0" w:line="240" w:lineRule="auto"/>
              <w:jc w:val="left"/>
            </w:pPr>
            <w:r/>
            <w:r>
              <w:rPr>
                <w:b w:val="0"/>
                <w:i w:val="0"/>
                <w:sz w:val="18"/>
              </w:rPr>
              <w:t>Locataire ou logé gratuitement</w:t>
            </w:r>
          </w:p>
        </w:tc>
        <w:tc>
          <w:tcPr>
            <w:tcW w:type="dxa" w:w="1247"/>
            <w:vAlign w:val="center"/>
          </w:tcPr>
          <w:p>
            <w:pPr>
              <w:spacing w:after="0" w:line="240" w:lineRule="auto"/>
              <w:jc w:val="center"/>
            </w:pPr>
            <w:r/>
            <w:r>
              <w:rPr>
                <w:b w:val="0"/>
                <w:i w:val="0"/>
                <w:sz w:val="18"/>
              </w:rPr>
              <w:t>978</w:t>
            </w:r>
          </w:p>
        </w:tc>
        <w:tc>
          <w:tcPr>
            <w:tcW w:type="dxa" w:w="1587"/>
            <w:vAlign w:val="center"/>
          </w:tcPr>
          <w:p>
            <w:pPr>
              <w:spacing w:after="0" w:line="240" w:lineRule="auto"/>
              <w:jc w:val="center"/>
            </w:pPr>
            <w:r/>
            <w:r>
              <w:rPr>
                <w:b w:val="0"/>
                <w:i w:val="0"/>
                <w:sz w:val="18"/>
              </w:rPr>
              <w:t>328</w:t>
            </w:r>
          </w:p>
        </w:tc>
        <w:tc>
          <w:tcPr>
            <w:tcW w:type="dxa" w:w="1587"/>
            <w:vAlign w:val="center"/>
          </w:tcPr>
          <w:p>
            <w:pPr>
              <w:spacing w:after="0" w:line="240" w:lineRule="auto"/>
              <w:jc w:val="center"/>
            </w:pPr>
            <w:r/>
            <w:r>
              <w:rPr>
                <w:b w:val="0"/>
                <w:i w:val="0"/>
                <w:sz w:val="18"/>
              </w:rPr>
              <w:t>228</w:t>
            </w:r>
          </w:p>
        </w:tc>
      </w:tr>
      <w:tr>
        <w:trPr>
          <w:cantSplit/>
        </w:trPr>
        <w:tc>
          <w:tcPr>
            <w:tcW w:type="dxa" w:w="9072"/>
            <w:gridSpan w:val="4"/>
            <w:shd w:val="clear" w:color="auto" w:fill="F4F6F9"/>
            <w:vAlign w:val="center"/>
          </w:tcPr>
          <w:p>
            <w:pPr>
              <w:spacing w:after="0" w:line="240" w:lineRule="auto"/>
              <w:jc w:val="left"/>
            </w:pPr>
            <w:r/>
            <w:r>
              <w:rPr>
                <w:b/>
                <w:i w:val="0"/>
                <w:sz w:val="18"/>
              </w:rPr>
              <w:t>Nombre de crédits en cours</w:t>
            </w:r>
          </w:p>
        </w:tc>
      </w:tr>
      <w:tr>
        <w:trPr>
          <w:cantSplit/>
        </w:trPr>
        <w:tc>
          <w:tcPr>
            <w:tcW w:type="dxa" w:w="4649"/>
            <w:vAlign w:val="center"/>
          </w:tcPr>
          <w:p>
            <w:pPr>
              <w:spacing w:after="0" w:line="240" w:lineRule="auto"/>
              <w:jc w:val="left"/>
            </w:pPr>
            <w:r/>
            <w:r>
              <w:rPr>
                <w:b w:val="0"/>
                <w:i w:val="0"/>
                <w:sz w:val="18"/>
              </w:rPr>
              <w:t>Un seul crédit</w:t>
            </w:r>
          </w:p>
        </w:tc>
        <w:tc>
          <w:tcPr>
            <w:tcW w:type="dxa" w:w="1247"/>
            <w:vAlign w:val="center"/>
          </w:tcPr>
          <w:p>
            <w:pPr>
              <w:spacing w:after="0" w:line="240" w:lineRule="auto"/>
              <w:jc w:val="center"/>
            </w:pPr>
            <w:r/>
            <w:r>
              <w:rPr>
                <w:b w:val="0"/>
                <w:i w:val="0"/>
                <w:sz w:val="18"/>
              </w:rPr>
              <w:t>2 814</w:t>
            </w:r>
          </w:p>
        </w:tc>
        <w:tc>
          <w:tcPr>
            <w:tcW w:type="dxa" w:w="1587"/>
            <w:vAlign w:val="center"/>
          </w:tcPr>
          <w:p>
            <w:pPr>
              <w:spacing w:after="0" w:line="240" w:lineRule="auto"/>
              <w:jc w:val="center"/>
            </w:pPr>
            <w:r/>
            <w:r>
              <w:rPr>
                <w:b w:val="0"/>
                <w:i w:val="0"/>
                <w:sz w:val="18"/>
              </w:rPr>
              <w:t>552</w:t>
            </w:r>
          </w:p>
        </w:tc>
        <w:tc>
          <w:tcPr>
            <w:tcW w:type="dxa" w:w="1587"/>
            <w:vAlign w:val="center"/>
          </w:tcPr>
          <w:p>
            <w:pPr>
              <w:spacing w:after="0" w:line="240" w:lineRule="auto"/>
              <w:jc w:val="center"/>
            </w:pPr>
            <w:r/>
            <w:r>
              <w:rPr>
                <w:b w:val="0"/>
                <w:i w:val="0"/>
                <w:sz w:val="18"/>
              </w:rPr>
              <w:t>418</w:t>
            </w:r>
          </w:p>
        </w:tc>
      </w:tr>
      <w:tr>
        <w:trPr>
          <w:cantSplit/>
        </w:trPr>
        <w:tc>
          <w:tcPr>
            <w:tcW w:type="dxa" w:w="4649"/>
            <w:vAlign w:val="center"/>
          </w:tcPr>
          <w:p>
            <w:pPr>
              <w:spacing w:after="0" w:line="240" w:lineRule="auto"/>
              <w:jc w:val="left"/>
            </w:pPr>
            <w:r/>
            <w:r>
              <w:rPr>
                <w:b w:val="0"/>
                <w:i w:val="0"/>
                <w:sz w:val="18"/>
              </w:rPr>
              <w:t>Deux crédits ou plus</w:t>
            </w:r>
          </w:p>
        </w:tc>
        <w:tc>
          <w:tcPr>
            <w:tcW w:type="dxa" w:w="1247"/>
            <w:vAlign w:val="center"/>
          </w:tcPr>
          <w:p>
            <w:pPr>
              <w:spacing w:after="0" w:line="240" w:lineRule="auto"/>
              <w:jc w:val="center"/>
            </w:pPr>
            <w:r/>
            <w:r>
              <w:rPr>
                <w:b w:val="0"/>
                <w:i w:val="0"/>
                <w:sz w:val="18"/>
              </w:rPr>
              <w:t>1 148</w:t>
            </w:r>
          </w:p>
        </w:tc>
        <w:tc>
          <w:tcPr>
            <w:tcW w:type="dxa" w:w="1587"/>
            <w:vAlign w:val="center"/>
          </w:tcPr>
          <w:p>
            <w:pPr>
              <w:spacing w:after="0" w:line="240" w:lineRule="auto"/>
              <w:jc w:val="center"/>
            </w:pPr>
            <w:r/>
            <w:r>
              <w:rPr>
                <w:b w:val="0"/>
                <w:i w:val="0"/>
                <w:sz w:val="18"/>
              </w:rPr>
              <w:t>1 028</w:t>
            </w:r>
          </w:p>
        </w:tc>
        <w:tc>
          <w:tcPr>
            <w:tcW w:type="dxa" w:w="1587"/>
            <w:vAlign w:val="center"/>
          </w:tcPr>
          <w:p>
            <w:pPr>
              <w:spacing w:after="0" w:line="240" w:lineRule="auto"/>
              <w:jc w:val="center"/>
            </w:pPr>
            <w:r/>
            <w:r>
              <w:rPr>
                <w:b w:val="0"/>
                <w:i w:val="0"/>
                <w:sz w:val="18"/>
              </w:rPr>
              <w:t>925</w:t>
            </w:r>
          </w:p>
        </w:tc>
      </w:tr>
      <w:tr>
        <w:trPr>
          <w:cantSplit/>
        </w:trPr>
        <w:tc>
          <w:tcPr>
            <w:tcW w:type="dxa" w:w="9072"/>
            <w:gridSpan w:val="4"/>
            <w:shd w:val="clear" w:color="auto" w:fill="F4F6F9"/>
            <w:vAlign w:val="center"/>
          </w:tcPr>
          <w:p>
            <w:pPr>
              <w:spacing w:after="0" w:line="240" w:lineRule="auto"/>
              <w:jc w:val="left"/>
            </w:pPr>
            <w:r/>
            <w:r>
              <w:rPr>
                <w:b/>
                <w:i w:val="0"/>
                <w:sz w:val="18"/>
              </w:rPr>
              <w:t>Crédit pour un autre bien immobilier</w:t>
            </w:r>
          </w:p>
        </w:tc>
      </w:tr>
      <w:tr>
        <w:trPr>
          <w:cantSplit/>
        </w:trPr>
        <w:tc>
          <w:tcPr>
            <w:tcW w:type="dxa" w:w="4649"/>
            <w:vAlign w:val="center"/>
          </w:tcPr>
          <w:p>
            <w:pPr>
              <w:spacing w:after="0" w:line="240" w:lineRule="auto"/>
              <w:jc w:val="left"/>
            </w:pPr>
            <w:r/>
            <w:r>
              <w:rPr>
                <w:b w:val="0"/>
                <w:i w:val="0"/>
                <w:sz w:val="18"/>
              </w:rPr>
              <w:t>Non</w:t>
            </w:r>
          </w:p>
        </w:tc>
        <w:tc>
          <w:tcPr>
            <w:tcW w:type="dxa" w:w="1247"/>
            <w:vAlign w:val="center"/>
          </w:tcPr>
          <w:p>
            <w:pPr>
              <w:spacing w:after="0" w:line="240" w:lineRule="auto"/>
              <w:jc w:val="center"/>
            </w:pPr>
            <w:r/>
            <w:r>
              <w:rPr>
                <w:b w:val="0"/>
                <w:i w:val="0"/>
                <w:sz w:val="18"/>
              </w:rPr>
              <w:t>3 449</w:t>
            </w:r>
          </w:p>
        </w:tc>
        <w:tc>
          <w:tcPr>
            <w:tcW w:type="dxa" w:w="1587"/>
            <w:vAlign w:val="center"/>
          </w:tcPr>
          <w:p>
            <w:pPr>
              <w:spacing w:after="0" w:line="240" w:lineRule="auto"/>
              <w:jc w:val="center"/>
            </w:pPr>
            <w:r/>
            <w:r>
              <w:rPr>
                <w:b w:val="0"/>
                <w:i w:val="0"/>
                <w:sz w:val="18"/>
              </w:rPr>
              <w:t>624</w:t>
            </w:r>
          </w:p>
        </w:tc>
        <w:tc>
          <w:tcPr>
            <w:tcW w:type="dxa" w:w="1587"/>
            <w:vAlign w:val="center"/>
          </w:tcPr>
          <w:p>
            <w:pPr>
              <w:spacing w:after="0" w:line="240" w:lineRule="auto"/>
              <w:jc w:val="center"/>
            </w:pPr>
            <w:r/>
            <w:r>
              <w:rPr>
                <w:b w:val="0"/>
                <w:i w:val="0"/>
                <w:sz w:val="18"/>
              </w:rPr>
              <w:t>510</w:t>
            </w:r>
          </w:p>
        </w:tc>
      </w:tr>
      <w:tr>
        <w:trPr>
          <w:cantSplit/>
        </w:trPr>
        <w:tc>
          <w:tcPr>
            <w:tcW w:type="dxa" w:w="4649"/>
            <w:vAlign w:val="center"/>
          </w:tcPr>
          <w:p>
            <w:pPr>
              <w:spacing w:after="0" w:line="240" w:lineRule="auto"/>
              <w:jc w:val="left"/>
            </w:pPr>
            <w:r/>
            <w:r>
              <w:rPr>
                <w:b w:val="0"/>
                <w:i w:val="0"/>
                <w:sz w:val="18"/>
              </w:rPr>
              <w:t>Oui</w:t>
            </w:r>
          </w:p>
        </w:tc>
        <w:tc>
          <w:tcPr>
            <w:tcW w:type="dxa" w:w="1247"/>
            <w:vAlign w:val="center"/>
          </w:tcPr>
          <w:p>
            <w:pPr>
              <w:spacing w:after="0" w:line="240" w:lineRule="auto"/>
              <w:jc w:val="center"/>
            </w:pPr>
            <w:r/>
            <w:r>
              <w:rPr>
                <w:b w:val="0"/>
                <w:i w:val="0"/>
                <w:sz w:val="18"/>
              </w:rPr>
              <w:t>513</w:t>
            </w:r>
          </w:p>
        </w:tc>
        <w:tc>
          <w:tcPr>
            <w:tcW w:type="dxa" w:w="1587"/>
            <w:vAlign w:val="center"/>
          </w:tcPr>
          <w:p>
            <w:pPr>
              <w:spacing w:after="0" w:line="240" w:lineRule="auto"/>
              <w:jc w:val="center"/>
            </w:pPr>
            <w:r/>
            <w:r>
              <w:rPr>
                <w:b w:val="0"/>
                <w:i w:val="0"/>
                <w:sz w:val="18"/>
              </w:rPr>
              <w:t>1 135</w:t>
            </w:r>
          </w:p>
        </w:tc>
        <w:tc>
          <w:tcPr>
            <w:tcW w:type="dxa" w:w="1587"/>
            <w:vAlign w:val="center"/>
          </w:tcPr>
          <w:p>
            <w:pPr>
              <w:spacing w:after="0" w:line="240" w:lineRule="auto"/>
              <w:jc w:val="center"/>
            </w:pPr>
            <w:r/>
            <w:r>
              <w:rPr>
                <w:b w:val="0"/>
                <w:i w:val="0"/>
                <w:sz w:val="18"/>
              </w:rPr>
              <w:t>922</w:t>
            </w:r>
          </w:p>
        </w:tc>
      </w:tr>
      <w:tr>
        <w:trPr>
          <w:cantSplit/>
        </w:trPr>
        <w:tc>
          <w:tcPr>
            <w:tcW w:type="dxa" w:w="9072"/>
            <w:gridSpan w:val="4"/>
            <w:shd w:val="clear" w:color="auto" w:fill="F4F6F9"/>
            <w:vAlign w:val="center"/>
          </w:tcPr>
          <w:p>
            <w:pPr>
              <w:spacing w:after="0" w:line="240" w:lineRule="auto"/>
              <w:jc w:val="left"/>
            </w:pPr>
            <w:r/>
            <w:r>
              <w:rPr>
                <w:b/>
                <w:i w:val="0"/>
                <w:sz w:val="18"/>
              </w:rPr>
              <w:t>Nombre d’enfants</w:t>
            </w:r>
          </w:p>
        </w:tc>
      </w:tr>
      <w:tr>
        <w:trPr>
          <w:cantSplit/>
        </w:trPr>
        <w:tc>
          <w:tcPr>
            <w:tcW w:type="dxa" w:w="4649"/>
            <w:vAlign w:val="center"/>
          </w:tcPr>
          <w:p>
            <w:pPr>
              <w:spacing w:after="0" w:line="240" w:lineRule="auto"/>
              <w:jc w:val="left"/>
            </w:pPr>
            <w:r/>
            <w:r>
              <w:rPr>
                <w:b w:val="0"/>
                <w:i w:val="0"/>
                <w:sz w:val="18"/>
              </w:rPr>
              <w:t>Aucun enfant</w:t>
            </w:r>
          </w:p>
        </w:tc>
        <w:tc>
          <w:tcPr>
            <w:tcW w:type="dxa" w:w="1247"/>
            <w:vAlign w:val="center"/>
          </w:tcPr>
          <w:p>
            <w:pPr>
              <w:spacing w:after="0" w:line="240" w:lineRule="auto"/>
              <w:jc w:val="center"/>
            </w:pPr>
            <w:r/>
            <w:r>
              <w:rPr>
                <w:b w:val="0"/>
                <w:i w:val="0"/>
                <w:sz w:val="18"/>
              </w:rPr>
              <w:t>1 739</w:t>
            </w:r>
          </w:p>
        </w:tc>
        <w:tc>
          <w:tcPr>
            <w:tcW w:type="dxa" w:w="1587"/>
            <w:vAlign w:val="center"/>
          </w:tcPr>
          <w:p>
            <w:pPr>
              <w:spacing w:after="0" w:line="240" w:lineRule="auto"/>
              <w:jc w:val="center"/>
            </w:pPr>
            <w:r/>
            <w:r>
              <w:rPr>
                <w:b w:val="0"/>
                <w:i w:val="0"/>
                <w:sz w:val="18"/>
              </w:rPr>
              <w:t>528</w:t>
            </w:r>
          </w:p>
        </w:tc>
        <w:tc>
          <w:tcPr>
            <w:tcW w:type="dxa" w:w="1587"/>
            <w:vAlign w:val="center"/>
          </w:tcPr>
          <w:p>
            <w:pPr>
              <w:spacing w:after="0" w:line="240" w:lineRule="auto"/>
              <w:jc w:val="center"/>
            </w:pPr>
            <w:r/>
            <w:r>
              <w:rPr>
                <w:b w:val="0"/>
                <w:i w:val="0"/>
                <w:sz w:val="18"/>
              </w:rPr>
              <w:t>400</w:t>
            </w:r>
          </w:p>
        </w:tc>
      </w:tr>
      <w:tr>
        <w:trPr>
          <w:cantSplit/>
        </w:trPr>
        <w:tc>
          <w:tcPr>
            <w:tcW w:type="dxa" w:w="4649"/>
            <w:vAlign w:val="center"/>
          </w:tcPr>
          <w:p>
            <w:pPr>
              <w:spacing w:after="0" w:line="240" w:lineRule="auto"/>
              <w:jc w:val="left"/>
            </w:pPr>
            <w:r/>
            <w:r>
              <w:rPr>
                <w:b w:val="0"/>
                <w:i w:val="0"/>
                <w:sz w:val="18"/>
              </w:rPr>
              <w:t>1 enfant</w:t>
            </w:r>
          </w:p>
        </w:tc>
        <w:tc>
          <w:tcPr>
            <w:tcW w:type="dxa" w:w="1247"/>
            <w:vAlign w:val="center"/>
          </w:tcPr>
          <w:p>
            <w:pPr>
              <w:spacing w:after="0" w:line="240" w:lineRule="auto"/>
              <w:jc w:val="center"/>
            </w:pPr>
            <w:r/>
            <w:r>
              <w:rPr>
                <w:b w:val="0"/>
                <w:i w:val="0"/>
                <w:sz w:val="18"/>
              </w:rPr>
              <w:t>856</w:t>
            </w:r>
          </w:p>
        </w:tc>
        <w:tc>
          <w:tcPr>
            <w:tcW w:type="dxa" w:w="1587"/>
            <w:vAlign w:val="center"/>
          </w:tcPr>
          <w:p>
            <w:pPr>
              <w:spacing w:after="0" w:line="240" w:lineRule="auto"/>
              <w:jc w:val="center"/>
            </w:pPr>
            <w:r/>
            <w:r>
              <w:rPr>
                <w:b w:val="0"/>
                <w:i w:val="0"/>
                <w:sz w:val="18"/>
              </w:rPr>
              <w:t>700</w:t>
            </w:r>
          </w:p>
        </w:tc>
        <w:tc>
          <w:tcPr>
            <w:tcW w:type="dxa" w:w="1587"/>
            <w:vAlign w:val="center"/>
          </w:tcPr>
          <w:p>
            <w:pPr>
              <w:spacing w:after="0" w:line="240" w:lineRule="auto"/>
              <w:jc w:val="center"/>
            </w:pPr>
            <w:r/>
            <w:r>
              <w:rPr>
                <w:b w:val="0"/>
                <w:i w:val="0"/>
                <w:sz w:val="18"/>
              </w:rPr>
              <w:t>580</w:t>
            </w:r>
          </w:p>
        </w:tc>
      </w:tr>
      <w:tr>
        <w:trPr>
          <w:cantSplit/>
        </w:trPr>
        <w:tc>
          <w:tcPr>
            <w:tcW w:type="dxa" w:w="4649"/>
            <w:vAlign w:val="center"/>
          </w:tcPr>
          <w:p>
            <w:pPr>
              <w:spacing w:after="0" w:line="240" w:lineRule="auto"/>
              <w:jc w:val="left"/>
            </w:pPr>
            <w:r/>
            <w:r>
              <w:rPr>
                <w:b w:val="0"/>
                <w:i w:val="0"/>
                <w:sz w:val="18"/>
              </w:rPr>
              <w:t>2 enfants</w:t>
            </w:r>
          </w:p>
        </w:tc>
        <w:tc>
          <w:tcPr>
            <w:tcW w:type="dxa" w:w="1247"/>
            <w:vAlign w:val="center"/>
          </w:tcPr>
          <w:p>
            <w:pPr>
              <w:spacing w:after="0" w:line="240" w:lineRule="auto"/>
              <w:jc w:val="center"/>
            </w:pPr>
            <w:r/>
            <w:r>
              <w:rPr>
                <w:b w:val="0"/>
                <w:i w:val="0"/>
                <w:sz w:val="18"/>
              </w:rPr>
              <w:t>944</w:t>
            </w:r>
          </w:p>
        </w:tc>
        <w:tc>
          <w:tcPr>
            <w:tcW w:type="dxa" w:w="1587"/>
            <w:vAlign w:val="center"/>
          </w:tcPr>
          <w:p>
            <w:pPr>
              <w:spacing w:after="0" w:line="240" w:lineRule="auto"/>
              <w:jc w:val="center"/>
            </w:pPr>
            <w:r/>
            <w:r>
              <w:rPr>
                <w:b w:val="0"/>
                <w:i w:val="0"/>
                <w:sz w:val="18"/>
              </w:rPr>
              <w:t>872</w:t>
            </w:r>
          </w:p>
        </w:tc>
        <w:tc>
          <w:tcPr>
            <w:tcW w:type="dxa" w:w="1587"/>
            <w:vAlign w:val="center"/>
          </w:tcPr>
          <w:p>
            <w:pPr>
              <w:spacing w:after="0" w:line="240" w:lineRule="auto"/>
              <w:jc w:val="center"/>
            </w:pPr>
            <w:r/>
            <w:r>
              <w:rPr>
                <w:b w:val="0"/>
                <w:i w:val="0"/>
                <w:sz w:val="18"/>
              </w:rPr>
              <w:t>810</w:t>
            </w:r>
          </w:p>
        </w:tc>
      </w:tr>
      <w:tr>
        <w:trPr>
          <w:cantSplit/>
        </w:trPr>
        <w:tc>
          <w:tcPr>
            <w:tcW w:type="dxa" w:w="4649"/>
            <w:vAlign w:val="center"/>
          </w:tcPr>
          <w:p>
            <w:pPr>
              <w:spacing w:after="0" w:line="240" w:lineRule="auto"/>
              <w:jc w:val="left"/>
            </w:pPr>
            <w:r/>
            <w:r>
              <w:rPr>
                <w:b w:val="0"/>
                <w:i w:val="0"/>
                <w:sz w:val="18"/>
              </w:rPr>
              <w:t>3 enfants ou plus</w:t>
            </w:r>
          </w:p>
        </w:tc>
        <w:tc>
          <w:tcPr>
            <w:tcW w:type="dxa" w:w="1247"/>
            <w:vAlign w:val="center"/>
          </w:tcPr>
          <w:p>
            <w:pPr>
              <w:spacing w:after="0" w:line="240" w:lineRule="auto"/>
              <w:jc w:val="center"/>
            </w:pPr>
            <w:r/>
            <w:r>
              <w:rPr>
                <w:b w:val="0"/>
                <w:i w:val="0"/>
                <w:sz w:val="18"/>
              </w:rPr>
              <w:t>423</w:t>
            </w:r>
          </w:p>
        </w:tc>
        <w:tc>
          <w:tcPr>
            <w:tcW w:type="dxa" w:w="1587"/>
            <w:vAlign w:val="center"/>
          </w:tcPr>
          <w:p>
            <w:pPr>
              <w:spacing w:after="0" w:line="240" w:lineRule="auto"/>
              <w:jc w:val="center"/>
            </w:pPr>
            <w:r/>
            <w:r>
              <w:rPr>
                <w:b w:val="0"/>
                <w:i w:val="0"/>
                <w:sz w:val="18"/>
              </w:rPr>
              <w:t>930</w:t>
            </w:r>
          </w:p>
        </w:tc>
        <w:tc>
          <w:tcPr>
            <w:tcW w:type="dxa" w:w="1587"/>
            <w:vAlign w:val="center"/>
          </w:tcPr>
          <w:p>
            <w:pPr>
              <w:spacing w:after="0" w:line="240" w:lineRule="auto"/>
              <w:jc w:val="center"/>
            </w:pPr>
            <w:r/>
            <w:r>
              <w:rPr>
                <w:b w:val="0"/>
                <w:i w:val="0"/>
                <w:sz w:val="18"/>
              </w:rPr>
              <w:t>833</w:t>
            </w:r>
          </w:p>
        </w:tc>
      </w:tr>
      <w:tr>
        <w:trPr>
          <w:cantSplit/>
        </w:trPr>
        <w:tc>
          <w:tcPr>
            <w:tcW w:type="dxa" w:w="9072"/>
            <w:gridSpan w:val="4"/>
            <w:shd w:val="clear" w:color="auto" w:fill="F4F6F9"/>
            <w:vAlign w:val="center"/>
          </w:tcPr>
          <w:p>
            <w:pPr>
              <w:spacing w:after="0" w:line="240" w:lineRule="auto"/>
              <w:jc w:val="left"/>
            </w:pPr>
            <w:r/>
            <w:r>
              <w:rPr>
                <w:b/>
                <w:i w:val="0"/>
                <w:sz w:val="18"/>
              </w:rPr>
              <w:t>CSP de la personne de référence</w:t>
            </w:r>
          </w:p>
        </w:tc>
      </w:tr>
      <w:tr>
        <w:trPr>
          <w:cantSplit/>
        </w:trPr>
        <w:tc>
          <w:tcPr>
            <w:tcW w:type="dxa" w:w="4649"/>
            <w:vAlign w:val="center"/>
          </w:tcPr>
          <w:p>
            <w:pPr>
              <w:spacing w:after="0" w:line="240" w:lineRule="auto"/>
              <w:jc w:val="left"/>
            </w:pPr>
            <w:r/>
            <w:r>
              <w:rPr>
                <w:b w:val="0"/>
                <w:i w:val="0"/>
                <w:sz w:val="18"/>
              </w:rPr>
              <w:t>Agriculteurs, artisans, commerçants, chefs d’ent.</w:t>
            </w:r>
          </w:p>
        </w:tc>
        <w:tc>
          <w:tcPr>
            <w:tcW w:type="dxa" w:w="1247"/>
            <w:vAlign w:val="center"/>
          </w:tcPr>
          <w:p>
            <w:pPr>
              <w:spacing w:after="0" w:line="240" w:lineRule="auto"/>
              <w:jc w:val="center"/>
            </w:pPr>
            <w:r/>
            <w:r>
              <w:rPr>
                <w:b w:val="0"/>
                <w:i w:val="0"/>
                <w:sz w:val="18"/>
              </w:rPr>
              <w:t>231</w:t>
            </w:r>
          </w:p>
        </w:tc>
        <w:tc>
          <w:tcPr>
            <w:tcW w:type="dxa" w:w="1587"/>
            <w:vAlign w:val="center"/>
          </w:tcPr>
          <w:p>
            <w:pPr>
              <w:spacing w:after="0" w:line="240" w:lineRule="auto"/>
              <w:jc w:val="center"/>
            </w:pPr>
            <w:r/>
            <w:r>
              <w:rPr>
                <w:b w:val="0"/>
                <w:i w:val="0"/>
                <w:sz w:val="18"/>
              </w:rPr>
              <w:t>955</w:t>
            </w:r>
          </w:p>
        </w:tc>
        <w:tc>
          <w:tcPr>
            <w:tcW w:type="dxa" w:w="1587"/>
            <w:vAlign w:val="center"/>
          </w:tcPr>
          <w:p>
            <w:pPr>
              <w:spacing w:after="0" w:line="240" w:lineRule="auto"/>
              <w:jc w:val="center"/>
            </w:pPr>
            <w:r/>
            <w:r>
              <w:rPr>
                <w:b w:val="0"/>
                <w:i w:val="0"/>
                <w:sz w:val="18"/>
              </w:rPr>
              <w:t>730</w:t>
            </w:r>
          </w:p>
        </w:tc>
      </w:tr>
      <w:tr>
        <w:trPr>
          <w:cantSplit/>
        </w:trPr>
        <w:tc>
          <w:tcPr>
            <w:tcW w:type="dxa" w:w="4649"/>
            <w:vAlign w:val="center"/>
          </w:tcPr>
          <w:p>
            <w:pPr>
              <w:spacing w:after="0" w:line="240" w:lineRule="auto"/>
              <w:jc w:val="left"/>
            </w:pPr>
            <w:r/>
            <w:r>
              <w:rPr>
                <w:b w:val="0"/>
                <w:i w:val="0"/>
                <w:sz w:val="18"/>
              </w:rPr>
              <w:t>Cadres, prof. intellectuelles sup.</w:t>
            </w:r>
          </w:p>
        </w:tc>
        <w:tc>
          <w:tcPr>
            <w:tcW w:type="dxa" w:w="1247"/>
            <w:vAlign w:val="center"/>
          </w:tcPr>
          <w:p>
            <w:pPr>
              <w:spacing w:after="0" w:line="240" w:lineRule="auto"/>
              <w:jc w:val="center"/>
            </w:pPr>
            <w:r/>
            <w:r>
              <w:rPr>
                <w:b w:val="0"/>
                <w:i w:val="0"/>
                <w:sz w:val="18"/>
              </w:rPr>
              <w:t>686</w:t>
            </w:r>
          </w:p>
        </w:tc>
        <w:tc>
          <w:tcPr>
            <w:tcW w:type="dxa" w:w="1587"/>
            <w:vAlign w:val="center"/>
          </w:tcPr>
          <w:p>
            <w:pPr>
              <w:spacing w:after="0" w:line="240" w:lineRule="auto"/>
              <w:jc w:val="center"/>
            </w:pPr>
            <w:r/>
            <w:r>
              <w:rPr>
                <w:b w:val="0"/>
                <w:i w:val="0"/>
                <w:sz w:val="18"/>
              </w:rPr>
              <w:t>1 075</w:t>
            </w:r>
          </w:p>
        </w:tc>
        <w:tc>
          <w:tcPr>
            <w:tcW w:type="dxa" w:w="1587"/>
            <w:vAlign w:val="center"/>
          </w:tcPr>
          <w:p>
            <w:pPr>
              <w:spacing w:after="0" w:line="240" w:lineRule="auto"/>
              <w:jc w:val="center"/>
            </w:pPr>
            <w:r/>
            <w:r>
              <w:rPr>
                <w:b w:val="0"/>
                <w:i w:val="0"/>
                <w:sz w:val="18"/>
              </w:rPr>
              <w:t>980</w:t>
            </w:r>
          </w:p>
        </w:tc>
      </w:tr>
      <w:tr>
        <w:trPr>
          <w:cantSplit/>
        </w:trPr>
        <w:tc>
          <w:tcPr>
            <w:tcW w:type="dxa" w:w="4649"/>
            <w:vAlign w:val="center"/>
          </w:tcPr>
          <w:p>
            <w:pPr>
              <w:spacing w:after="0" w:line="240" w:lineRule="auto"/>
              <w:jc w:val="left"/>
            </w:pPr>
            <w:r/>
            <w:r>
              <w:rPr>
                <w:b w:val="0"/>
                <w:i w:val="0"/>
                <w:sz w:val="18"/>
              </w:rPr>
              <w:t>Professions intermédiaires</w:t>
            </w:r>
          </w:p>
        </w:tc>
        <w:tc>
          <w:tcPr>
            <w:tcW w:type="dxa" w:w="1247"/>
            <w:vAlign w:val="center"/>
          </w:tcPr>
          <w:p>
            <w:pPr>
              <w:spacing w:after="0" w:line="240" w:lineRule="auto"/>
              <w:jc w:val="center"/>
            </w:pPr>
            <w:r/>
            <w:r>
              <w:rPr>
                <w:b w:val="0"/>
                <w:i w:val="0"/>
                <w:sz w:val="18"/>
              </w:rPr>
              <w:t>915</w:t>
            </w:r>
          </w:p>
        </w:tc>
        <w:tc>
          <w:tcPr>
            <w:tcW w:type="dxa" w:w="1587"/>
            <w:vAlign w:val="center"/>
          </w:tcPr>
          <w:p>
            <w:pPr>
              <w:spacing w:after="0" w:line="240" w:lineRule="auto"/>
              <w:jc w:val="center"/>
            </w:pPr>
            <w:r/>
            <w:r>
              <w:rPr>
                <w:b w:val="0"/>
                <w:i w:val="0"/>
                <w:sz w:val="18"/>
              </w:rPr>
              <w:t>781</w:t>
            </w:r>
          </w:p>
        </w:tc>
        <w:tc>
          <w:tcPr>
            <w:tcW w:type="dxa" w:w="1587"/>
            <w:vAlign w:val="center"/>
          </w:tcPr>
          <w:p>
            <w:pPr>
              <w:spacing w:after="0" w:line="240" w:lineRule="auto"/>
              <w:jc w:val="center"/>
            </w:pPr>
            <w:r/>
            <w:r>
              <w:rPr>
                <w:b w:val="0"/>
                <w:i w:val="0"/>
                <w:sz w:val="18"/>
              </w:rPr>
              <w:t>750</w:t>
            </w:r>
          </w:p>
        </w:tc>
      </w:tr>
      <w:tr>
        <w:trPr>
          <w:cantSplit/>
        </w:trPr>
        <w:tc>
          <w:tcPr>
            <w:tcW w:type="dxa" w:w="4649"/>
            <w:vAlign w:val="center"/>
          </w:tcPr>
          <w:p>
            <w:pPr>
              <w:spacing w:after="0" w:line="240" w:lineRule="auto"/>
              <w:jc w:val="left"/>
            </w:pPr>
            <w:r/>
            <w:r>
              <w:rPr>
                <w:b w:val="0"/>
                <w:i w:val="0"/>
                <w:sz w:val="18"/>
              </w:rPr>
              <w:t>Employés</w:t>
            </w:r>
          </w:p>
        </w:tc>
        <w:tc>
          <w:tcPr>
            <w:tcW w:type="dxa" w:w="1247"/>
            <w:vAlign w:val="center"/>
          </w:tcPr>
          <w:p>
            <w:pPr>
              <w:spacing w:after="0" w:line="240" w:lineRule="auto"/>
              <w:jc w:val="center"/>
            </w:pPr>
            <w:r/>
            <w:r>
              <w:rPr>
                <w:b w:val="0"/>
                <w:i w:val="0"/>
                <w:sz w:val="18"/>
              </w:rPr>
              <w:t>591</w:t>
            </w:r>
          </w:p>
        </w:tc>
        <w:tc>
          <w:tcPr>
            <w:tcW w:type="dxa" w:w="1587"/>
            <w:vAlign w:val="center"/>
          </w:tcPr>
          <w:p>
            <w:pPr>
              <w:spacing w:after="0" w:line="240" w:lineRule="auto"/>
              <w:jc w:val="center"/>
            </w:pPr>
            <w:r/>
            <w:r>
              <w:rPr>
                <w:b w:val="0"/>
                <w:i w:val="0"/>
                <w:sz w:val="18"/>
              </w:rPr>
              <w:t>547</w:t>
            </w:r>
          </w:p>
        </w:tc>
        <w:tc>
          <w:tcPr>
            <w:tcW w:type="dxa" w:w="1587"/>
            <w:vAlign w:val="center"/>
          </w:tcPr>
          <w:p>
            <w:pPr>
              <w:spacing w:after="0" w:line="240" w:lineRule="auto"/>
              <w:jc w:val="center"/>
            </w:pPr>
            <w:r/>
            <w:r>
              <w:rPr>
                <w:b w:val="0"/>
                <w:i w:val="0"/>
                <w:sz w:val="18"/>
              </w:rPr>
              <w:t>465</w:t>
            </w:r>
          </w:p>
        </w:tc>
      </w:tr>
      <w:tr>
        <w:trPr>
          <w:cantSplit/>
        </w:trPr>
        <w:tc>
          <w:tcPr>
            <w:tcW w:type="dxa" w:w="4649"/>
            <w:vAlign w:val="center"/>
          </w:tcPr>
          <w:p>
            <w:pPr>
              <w:spacing w:after="0" w:line="240" w:lineRule="auto"/>
              <w:jc w:val="left"/>
            </w:pPr>
            <w:r/>
            <w:r>
              <w:rPr>
                <w:b w:val="0"/>
                <w:i w:val="0"/>
                <w:sz w:val="18"/>
              </w:rPr>
              <w:t>Ouvriers</w:t>
            </w:r>
          </w:p>
        </w:tc>
        <w:tc>
          <w:tcPr>
            <w:tcW w:type="dxa" w:w="1247"/>
            <w:vAlign w:val="center"/>
          </w:tcPr>
          <w:p>
            <w:pPr>
              <w:spacing w:after="0" w:line="240" w:lineRule="auto"/>
              <w:jc w:val="center"/>
            </w:pPr>
            <w:r/>
            <w:r>
              <w:rPr>
                <w:b w:val="0"/>
                <w:i w:val="0"/>
                <w:sz w:val="18"/>
              </w:rPr>
              <w:t>725</w:t>
            </w:r>
          </w:p>
        </w:tc>
        <w:tc>
          <w:tcPr>
            <w:tcW w:type="dxa" w:w="1587"/>
            <w:vAlign w:val="center"/>
          </w:tcPr>
          <w:p>
            <w:pPr>
              <w:spacing w:after="0" w:line="240" w:lineRule="auto"/>
              <w:jc w:val="center"/>
            </w:pPr>
            <w:r/>
            <w:r>
              <w:rPr>
                <w:b w:val="0"/>
                <w:i w:val="0"/>
                <w:sz w:val="18"/>
              </w:rPr>
              <w:t>560</w:t>
            </w:r>
          </w:p>
        </w:tc>
        <w:tc>
          <w:tcPr>
            <w:tcW w:type="dxa" w:w="1587"/>
            <w:vAlign w:val="center"/>
          </w:tcPr>
          <w:p>
            <w:pPr>
              <w:spacing w:after="0" w:line="240" w:lineRule="auto"/>
              <w:jc w:val="center"/>
            </w:pPr>
            <w:r/>
            <w:r>
              <w:rPr>
                <w:b w:val="0"/>
                <w:i w:val="0"/>
                <w:sz w:val="18"/>
              </w:rPr>
              <w:t>488</w:t>
            </w:r>
          </w:p>
        </w:tc>
      </w:tr>
      <w:tr>
        <w:trPr>
          <w:cantSplit/>
        </w:trPr>
        <w:tc>
          <w:tcPr>
            <w:tcW w:type="dxa" w:w="4649"/>
            <w:vAlign w:val="center"/>
          </w:tcPr>
          <w:p>
            <w:pPr>
              <w:spacing w:after="0" w:line="240" w:lineRule="auto"/>
              <w:jc w:val="left"/>
            </w:pPr>
            <w:r/>
            <w:r>
              <w:rPr>
                <w:b w:val="0"/>
                <w:i w:val="0"/>
                <w:sz w:val="18"/>
              </w:rPr>
              <w:t>Retraités et autres inactifs</w:t>
            </w:r>
          </w:p>
        </w:tc>
        <w:tc>
          <w:tcPr>
            <w:tcW w:type="dxa" w:w="1247"/>
            <w:vAlign w:val="center"/>
          </w:tcPr>
          <w:p>
            <w:pPr>
              <w:spacing w:after="0" w:line="240" w:lineRule="auto"/>
              <w:jc w:val="center"/>
            </w:pPr>
            <w:r/>
            <w:r>
              <w:rPr>
                <w:b w:val="0"/>
                <w:i w:val="0"/>
                <w:sz w:val="18"/>
              </w:rPr>
              <w:t>814</w:t>
            </w:r>
          </w:p>
        </w:tc>
        <w:tc>
          <w:tcPr>
            <w:tcW w:type="dxa" w:w="1587"/>
            <w:vAlign w:val="center"/>
          </w:tcPr>
          <w:p>
            <w:pPr>
              <w:spacing w:after="0" w:line="240" w:lineRule="auto"/>
              <w:jc w:val="center"/>
            </w:pPr>
            <w:r/>
            <w:r>
              <w:rPr>
                <w:b w:val="0"/>
                <w:i w:val="0"/>
                <w:sz w:val="18"/>
              </w:rPr>
              <w:t>408</w:t>
            </w:r>
          </w:p>
        </w:tc>
        <w:tc>
          <w:tcPr>
            <w:tcW w:type="dxa" w:w="1587"/>
            <w:vAlign w:val="center"/>
          </w:tcPr>
          <w:p>
            <w:pPr>
              <w:spacing w:after="0" w:line="240" w:lineRule="auto"/>
              <w:jc w:val="center"/>
            </w:pPr>
            <w:r/>
            <w:r>
              <w:rPr>
                <w:b w:val="0"/>
                <w:i w:val="0"/>
                <w:sz w:val="18"/>
              </w:rPr>
              <w:t>286</w:t>
            </w:r>
          </w:p>
        </w:tc>
      </w:tr>
      <w:tr>
        <w:trPr>
          <w:cantSplit/>
        </w:trPr>
        <w:tc>
          <w:tcPr>
            <w:tcW w:type="dxa" w:w="9072"/>
            <w:gridSpan w:val="4"/>
            <w:shd w:val="clear" w:color="auto" w:fill="F4F6F9"/>
            <w:vAlign w:val="center"/>
          </w:tcPr>
          <w:p>
            <w:pPr>
              <w:spacing w:after="0" w:line="240" w:lineRule="auto"/>
              <w:jc w:val="left"/>
            </w:pPr>
            <w:r/>
            <w:r>
              <w:rPr>
                <w:b/>
                <w:i w:val="0"/>
                <w:sz w:val="18"/>
              </w:rPr>
              <w:t>Taille de l’unité urbaine</w:t>
            </w:r>
          </w:p>
        </w:tc>
      </w:tr>
      <w:tr>
        <w:trPr>
          <w:cantSplit/>
        </w:trPr>
        <w:tc>
          <w:tcPr>
            <w:tcW w:type="dxa" w:w="4649"/>
            <w:vAlign w:val="center"/>
          </w:tcPr>
          <w:p>
            <w:pPr>
              <w:spacing w:after="0" w:line="240" w:lineRule="auto"/>
              <w:jc w:val="left"/>
            </w:pPr>
            <w:r/>
            <w:r>
              <w:rPr>
                <w:b w:val="0"/>
                <w:i w:val="0"/>
                <w:sz w:val="18"/>
              </w:rPr>
              <w:t>Commune rurale</w:t>
            </w:r>
          </w:p>
        </w:tc>
        <w:tc>
          <w:tcPr>
            <w:tcW w:type="dxa" w:w="1247"/>
            <w:vAlign w:val="center"/>
          </w:tcPr>
          <w:p>
            <w:pPr>
              <w:spacing w:after="0" w:line="240" w:lineRule="auto"/>
              <w:jc w:val="center"/>
            </w:pPr>
            <w:r/>
            <w:r>
              <w:rPr>
                <w:b w:val="0"/>
                <w:i w:val="0"/>
                <w:sz w:val="18"/>
              </w:rPr>
              <w:t>1 236</w:t>
            </w:r>
          </w:p>
        </w:tc>
        <w:tc>
          <w:tcPr>
            <w:tcW w:type="dxa" w:w="1587"/>
            <w:vAlign w:val="center"/>
          </w:tcPr>
          <w:p>
            <w:pPr>
              <w:spacing w:after="0" w:line="240" w:lineRule="auto"/>
              <w:jc w:val="center"/>
            </w:pPr>
            <w:r/>
            <w:r>
              <w:rPr>
                <w:b w:val="0"/>
                <w:i w:val="0"/>
                <w:sz w:val="18"/>
              </w:rPr>
              <w:t>695</w:t>
            </w:r>
          </w:p>
        </w:tc>
        <w:tc>
          <w:tcPr>
            <w:tcW w:type="dxa" w:w="1587"/>
            <w:vAlign w:val="center"/>
          </w:tcPr>
          <w:p>
            <w:pPr>
              <w:spacing w:after="0" w:line="240" w:lineRule="auto"/>
              <w:jc w:val="center"/>
            </w:pPr>
            <w:r/>
            <w:r>
              <w:rPr>
                <w:b w:val="0"/>
                <w:i w:val="0"/>
                <w:sz w:val="18"/>
              </w:rPr>
              <w:t>600</w:t>
            </w:r>
          </w:p>
        </w:tc>
      </w:tr>
      <w:tr>
        <w:trPr>
          <w:cantSplit/>
        </w:trPr>
        <w:tc>
          <w:tcPr>
            <w:tcW w:type="dxa" w:w="4649"/>
            <w:vAlign w:val="center"/>
          </w:tcPr>
          <w:p>
            <w:pPr>
              <w:spacing w:after="0" w:line="240" w:lineRule="auto"/>
              <w:jc w:val="left"/>
            </w:pPr>
            <w:r/>
            <w:r>
              <w:rPr>
                <w:b w:val="0"/>
                <w:i w:val="0"/>
                <w:sz w:val="18"/>
              </w:rPr>
              <w:t>Moins de 20 000 hab.</w:t>
            </w:r>
          </w:p>
        </w:tc>
        <w:tc>
          <w:tcPr>
            <w:tcW w:type="dxa" w:w="1247"/>
            <w:vAlign w:val="center"/>
          </w:tcPr>
          <w:p>
            <w:pPr>
              <w:spacing w:after="0" w:line="240" w:lineRule="auto"/>
              <w:jc w:val="center"/>
            </w:pPr>
            <w:r/>
            <w:r>
              <w:rPr>
                <w:b w:val="0"/>
                <w:i w:val="0"/>
                <w:sz w:val="18"/>
              </w:rPr>
              <w:t>699</w:t>
            </w:r>
          </w:p>
        </w:tc>
        <w:tc>
          <w:tcPr>
            <w:tcW w:type="dxa" w:w="1587"/>
            <w:vAlign w:val="center"/>
          </w:tcPr>
          <w:p>
            <w:pPr>
              <w:spacing w:after="0" w:line="240" w:lineRule="auto"/>
              <w:jc w:val="center"/>
            </w:pPr>
            <w:r/>
            <w:r>
              <w:rPr>
                <w:b w:val="0"/>
                <w:i w:val="0"/>
                <w:sz w:val="18"/>
              </w:rPr>
              <w:t>672</w:t>
            </w:r>
          </w:p>
        </w:tc>
        <w:tc>
          <w:tcPr>
            <w:tcW w:type="dxa" w:w="1587"/>
            <w:vAlign w:val="center"/>
          </w:tcPr>
          <w:p>
            <w:pPr>
              <w:spacing w:after="0" w:line="240" w:lineRule="auto"/>
              <w:jc w:val="center"/>
            </w:pPr>
            <w:r/>
            <w:r>
              <w:rPr>
                <w:b w:val="0"/>
                <w:i w:val="0"/>
                <w:sz w:val="18"/>
              </w:rPr>
              <w:t>535</w:t>
            </w:r>
          </w:p>
        </w:tc>
      </w:tr>
      <w:tr>
        <w:trPr>
          <w:cantSplit/>
        </w:trPr>
        <w:tc>
          <w:tcPr>
            <w:tcW w:type="dxa" w:w="4649"/>
            <w:vAlign w:val="center"/>
          </w:tcPr>
          <w:p>
            <w:pPr>
              <w:spacing w:after="0" w:line="240" w:lineRule="auto"/>
              <w:jc w:val="left"/>
            </w:pPr>
            <w:r/>
            <w:r>
              <w:rPr>
                <w:b w:val="0"/>
                <w:i w:val="0"/>
                <w:sz w:val="18"/>
              </w:rPr>
              <w:t>20 000 à 199 999 hab.</w:t>
            </w:r>
          </w:p>
        </w:tc>
        <w:tc>
          <w:tcPr>
            <w:tcW w:type="dxa" w:w="1247"/>
            <w:vAlign w:val="center"/>
          </w:tcPr>
          <w:p>
            <w:pPr>
              <w:spacing w:after="0" w:line="240" w:lineRule="auto"/>
              <w:jc w:val="center"/>
            </w:pPr>
            <w:r/>
            <w:r>
              <w:rPr>
                <w:b w:val="0"/>
                <w:i w:val="0"/>
                <w:sz w:val="18"/>
              </w:rPr>
              <w:t>755</w:t>
            </w:r>
          </w:p>
        </w:tc>
        <w:tc>
          <w:tcPr>
            <w:tcW w:type="dxa" w:w="1587"/>
            <w:vAlign w:val="center"/>
          </w:tcPr>
          <w:p>
            <w:pPr>
              <w:spacing w:after="0" w:line="240" w:lineRule="auto"/>
              <w:jc w:val="center"/>
            </w:pPr>
            <w:r/>
            <w:r>
              <w:rPr>
                <w:b w:val="0"/>
                <w:i w:val="0"/>
                <w:sz w:val="18"/>
              </w:rPr>
              <w:t>627</w:t>
            </w:r>
          </w:p>
        </w:tc>
        <w:tc>
          <w:tcPr>
            <w:tcW w:type="dxa" w:w="1587"/>
            <w:vAlign w:val="center"/>
          </w:tcPr>
          <w:p>
            <w:pPr>
              <w:spacing w:after="0" w:line="240" w:lineRule="auto"/>
              <w:jc w:val="center"/>
            </w:pPr>
            <w:r/>
            <w:r>
              <w:rPr>
                <w:b w:val="0"/>
                <w:i w:val="0"/>
                <w:sz w:val="18"/>
              </w:rPr>
              <w:t>480</w:t>
            </w:r>
          </w:p>
        </w:tc>
      </w:tr>
      <w:tr>
        <w:trPr>
          <w:cantSplit/>
        </w:trPr>
        <w:tc>
          <w:tcPr>
            <w:tcW w:type="dxa" w:w="4649"/>
            <w:vAlign w:val="center"/>
          </w:tcPr>
          <w:p>
            <w:pPr>
              <w:spacing w:after="0" w:line="240" w:lineRule="auto"/>
              <w:jc w:val="left"/>
            </w:pPr>
            <w:r/>
            <w:r>
              <w:rPr>
                <w:b w:val="0"/>
                <w:i w:val="0"/>
                <w:sz w:val="18"/>
              </w:rPr>
              <w:t>200 000 hab. et plus (hors Paris)</w:t>
            </w:r>
          </w:p>
        </w:tc>
        <w:tc>
          <w:tcPr>
            <w:tcW w:type="dxa" w:w="1247"/>
            <w:vAlign w:val="center"/>
          </w:tcPr>
          <w:p>
            <w:pPr>
              <w:spacing w:after="0" w:line="240" w:lineRule="auto"/>
              <w:jc w:val="center"/>
            </w:pPr>
            <w:r/>
            <w:r>
              <w:rPr>
                <w:b w:val="0"/>
                <w:i w:val="0"/>
                <w:sz w:val="18"/>
              </w:rPr>
              <w:t>920</w:t>
            </w:r>
          </w:p>
        </w:tc>
        <w:tc>
          <w:tcPr>
            <w:tcW w:type="dxa" w:w="1587"/>
            <w:vAlign w:val="center"/>
          </w:tcPr>
          <w:p>
            <w:pPr>
              <w:spacing w:after="0" w:line="240" w:lineRule="auto"/>
              <w:jc w:val="center"/>
            </w:pPr>
            <w:r/>
            <w:r>
              <w:rPr>
                <w:b w:val="0"/>
                <w:i w:val="0"/>
                <w:sz w:val="18"/>
              </w:rPr>
              <w:t>663</w:t>
            </w:r>
          </w:p>
        </w:tc>
        <w:tc>
          <w:tcPr>
            <w:tcW w:type="dxa" w:w="1587"/>
            <w:vAlign w:val="center"/>
          </w:tcPr>
          <w:p>
            <w:pPr>
              <w:spacing w:after="0" w:line="240" w:lineRule="auto"/>
              <w:jc w:val="center"/>
            </w:pPr>
            <w:r/>
            <w:r>
              <w:rPr>
                <w:b w:val="0"/>
                <w:i w:val="0"/>
                <w:sz w:val="18"/>
              </w:rPr>
              <w:t>510</w:t>
            </w:r>
          </w:p>
        </w:tc>
      </w:tr>
      <w:tr>
        <w:trPr>
          <w:cantSplit/>
        </w:trPr>
        <w:tc>
          <w:tcPr>
            <w:tcW w:type="dxa" w:w="4649"/>
            <w:vAlign w:val="center"/>
          </w:tcPr>
          <w:p>
            <w:pPr>
              <w:spacing w:after="0" w:line="240" w:lineRule="auto"/>
              <w:jc w:val="left"/>
            </w:pPr>
            <w:r/>
            <w:r>
              <w:rPr>
                <w:b w:val="0"/>
                <w:i w:val="0"/>
                <w:sz w:val="18"/>
              </w:rPr>
              <w:t>Agglomération parisienne</w:t>
            </w:r>
          </w:p>
        </w:tc>
        <w:tc>
          <w:tcPr>
            <w:tcW w:type="dxa" w:w="1247"/>
            <w:vAlign w:val="center"/>
          </w:tcPr>
          <w:p>
            <w:pPr>
              <w:spacing w:after="0" w:line="240" w:lineRule="auto"/>
              <w:jc w:val="center"/>
            </w:pPr>
            <w:r/>
            <w:r>
              <w:rPr>
                <w:b w:val="0"/>
                <w:i w:val="0"/>
                <w:sz w:val="18"/>
              </w:rPr>
              <w:t>352</w:t>
            </w:r>
          </w:p>
        </w:tc>
        <w:tc>
          <w:tcPr>
            <w:tcW w:type="dxa" w:w="1587"/>
            <w:vAlign w:val="center"/>
          </w:tcPr>
          <w:p>
            <w:pPr>
              <w:spacing w:after="0" w:line="240" w:lineRule="auto"/>
              <w:jc w:val="center"/>
            </w:pPr>
            <w:r/>
            <w:r>
              <w:rPr>
                <w:b w:val="0"/>
                <w:i w:val="0"/>
                <w:sz w:val="18"/>
              </w:rPr>
              <w:t>914</w:t>
            </w:r>
          </w:p>
        </w:tc>
        <w:tc>
          <w:tcPr>
            <w:tcW w:type="dxa" w:w="1587"/>
            <w:vAlign w:val="center"/>
          </w:tcPr>
          <w:p>
            <w:pPr>
              <w:spacing w:after="0" w:line="240" w:lineRule="auto"/>
              <w:jc w:val="center"/>
            </w:pPr>
            <w:r/>
            <w:r>
              <w:rPr>
                <w:b w:val="0"/>
                <w:i w:val="0"/>
                <w:sz w:val="18"/>
              </w:rPr>
              <w:t>774</w:t>
            </w:r>
          </w:p>
        </w:tc>
      </w:tr>
      <w:tr>
        <w:trPr>
          <w:cantSplit/>
        </w:trPr>
        <w:tc>
          <w:tcPr>
            <w:tcW w:type="dxa" w:w="9072"/>
            <w:gridSpan w:val="4"/>
            <w:shd w:val="clear" w:color="auto" w:fill="F4F6F9"/>
            <w:vAlign w:val="center"/>
          </w:tcPr>
          <w:p>
            <w:pPr>
              <w:spacing w:after="0" w:line="240" w:lineRule="auto"/>
              <w:jc w:val="left"/>
            </w:pPr>
            <w:r/>
            <w:r>
              <w:rPr>
                <w:b/>
                <w:i w:val="0"/>
                <w:sz w:val="18"/>
              </w:rPr>
              <w:t>Type de logement</w:t>
            </w:r>
          </w:p>
        </w:tc>
      </w:tr>
      <w:tr>
        <w:trPr>
          <w:cantSplit/>
        </w:trPr>
        <w:tc>
          <w:tcPr>
            <w:tcW w:type="dxa" w:w="4649"/>
            <w:vAlign w:val="center"/>
          </w:tcPr>
          <w:p>
            <w:pPr>
              <w:spacing w:after="0" w:line="240" w:lineRule="auto"/>
              <w:jc w:val="left"/>
            </w:pPr>
            <w:r/>
            <w:r>
              <w:rPr>
                <w:b w:val="0"/>
                <w:i w:val="0"/>
                <w:sz w:val="18"/>
              </w:rPr>
              <w:t>Appartement</w:t>
            </w:r>
          </w:p>
        </w:tc>
        <w:tc>
          <w:tcPr>
            <w:tcW w:type="dxa" w:w="1247"/>
            <w:vAlign w:val="center"/>
          </w:tcPr>
          <w:p>
            <w:pPr>
              <w:spacing w:after="0" w:line="240" w:lineRule="auto"/>
              <w:jc w:val="center"/>
            </w:pPr>
            <w:r/>
            <w:r>
              <w:rPr>
                <w:b w:val="0"/>
                <w:i w:val="0"/>
                <w:sz w:val="18"/>
              </w:rPr>
              <w:t>989</w:t>
            </w:r>
          </w:p>
        </w:tc>
        <w:tc>
          <w:tcPr>
            <w:tcW w:type="dxa" w:w="1587"/>
            <w:vAlign w:val="center"/>
          </w:tcPr>
          <w:p>
            <w:pPr>
              <w:spacing w:after="0" w:line="240" w:lineRule="auto"/>
              <w:jc w:val="center"/>
            </w:pPr>
            <w:r/>
            <w:r>
              <w:rPr>
                <w:b w:val="0"/>
                <w:i w:val="0"/>
                <w:sz w:val="18"/>
              </w:rPr>
              <w:t>525</w:t>
            </w:r>
          </w:p>
        </w:tc>
        <w:tc>
          <w:tcPr>
            <w:tcW w:type="dxa" w:w="1587"/>
            <w:vAlign w:val="center"/>
          </w:tcPr>
          <w:p>
            <w:pPr>
              <w:spacing w:after="0" w:line="240" w:lineRule="auto"/>
              <w:jc w:val="center"/>
            </w:pPr>
            <w:r/>
            <w:r>
              <w:rPr>
                <w:b w:val="0"/>
                <w:i w:val="0"/>
                <w:sz w:val="18"/>
              </w:rPr>
              <w:t>340</w:t>
            </w:r>
          </w:p>
        </w:tc>
      </w:tr>
      <w:tr>
        <w:trPr>
          <w:cantSplit/>
        </w:trPr>
        <w:tc>
          <w:tcPr>
            <w:tcW w:type="dxa" w:w="4649"/>
            <w:vAlign w:val="center"/>
          </w:tcPr>
          <w:p>
            <w:pPr>
              <w:spacing w:after="0" w:line="240" w:lineRule="auto"/>
              <w:jc w:val="left"/>
            </w:pPr>
            <w:r/>
            <w:r>
              <w:rPr>
                <w:b w:val="0"/>
                <w:i w:val="0"/>
                <w:sz w:val="18"/>
              </w:rPr>
              <w:t>Maison</w:t>
            </w:r>
          </w:p>
        </w:tc>
        <w:tc>
          <w:tcPr>
            <w:tcW w:type="dxa" w:w="1247"/>
            <w:vAlign w:val="center"/>
          </w:tcPr>
          <w:p>
            <w:pPr>
              <w:spacing w:after="0" w:line="240" w:lineRule="auto"/>
              <w:jc w:val="center"/>
            </w:pPr>
            <w:r/>
            <w:r>
              <w:rPr>
                <w:b w:val="0"/>
                <w:i w:val="0"/>
                <w:sz w:val="18"/>
              </w:rPr>
              <w:t>2 973</w:t>
            </w:r>
          </w:p>
        </w:tc>
        <w:tc>
          <w:tcPr>
            <w:tcW w:type="dxa" w:w="1587"/>
            <w:vAlign w:val="center"/>
          </w:tcPr>
          <w:p>
            <w:pPr>
              <w:spacing w:after="0" w:line="240" w:lineRule="auto"/>
              <w:jc w:val="center"/>
            </w:pPr>
            <w:r/>
            <w:r>
              <w:rPr>
                <w:b w:val="0"/>
                <w:i w:val="0"/>
                <w:sz w:val="18"/>
              </w:rPr>
              <w:t>745</w:t>
            </w:r>
          </w:p>
        </w:tc>
        <w:tc>
          <w:tcPr>
            <w:tcW w:type="dxa" w:w="1587"/>
            <w:vAlign w:val="center"/>
          </w:tcPr>
          <w:p>
            <w:pPr>
              <w:spacing w:after="0" w:line="240" w:lineRule="auto"/>
              <w:jc w:val="center"/>
            </w:pPr>
            <w:r/>
            <w:r>
              <w:rPr>
                <w:b w:val="0"/>
                <w:i w:val="0"/>
                <w:sz w:val="18"/>
              </w:rPr>
              <w:t>628</w:t>
            </w:r>
          </w:p>
        </w:tc>
      </w:tr>
      <w:tr>
        <w:trPr>
          <w:cantSplit/>
        </w:trPr>
        <w:tc>
          <w:tcPr>
            <w:tcW w:type="dxa" w:w="4649"/>
            <w:vAlign w:val="center"/>
          </w:tcPr>
          <w:p>
            <w:pPr>
              <w:spacing w:after="0" w:line="240" w:lineRule="auto"/>
              <w:jc w:val="left"/>
            </w:pPr>
            <w:r>
              <w:rPr>
                <w:b/>
              </w:rPr>
            </w:r>
            <w:r>
              <w:rPr>
                <w:b/>
                <w:i w:val="0"/>
                <w:sz w:val="18"/>
              </w:rPr>
              <w:t>Ensemble</w:t>
            </w:r>
          </w:p>
        </w:tc>
        <w:tc>
          <w:tcPr>
            <w:tcW w:type="dxa" w:w="1247"/>
            <w:vAlign w:val="center"/>
          </w:tcPr>
          <w:p>
            <w:pPr>
              <w:spacing w:after="0" w:line="240" w:lineRule="auto"/>
              <w:jc w:val="center"/>
            </w:pPr>
            <w:r>
              <w:rPr>
                <w:b/>
              </w:rPr>
            </w:r>
            <w:r>
              <w:rPr>
                <w:b/>
                <w:i w:val="0"/>
                <w:sz w:val="18"/>
              </w:rPr>
              <w:t>3 962</w:t>
            </w:r>
          </w:p>
        </w:tc>
        <w:tc>
          <w:tcPr>
            <w:tcW w:type="dxa" w:w="1587"/>
            <w:vAlign w:val="center"/>
          </w:tcPr>
          <w:p>
            <w:pPr>
              <w:spacing w:after="0" w:line="240" w:lineRule="auto"/>
              <w:jc w:val="center"/>
            </w:pPr>
            <w:r>
              <w:rPr>
                <w:b/>
              </w:rPr>
            </w:r>
            <w:r>
              <w:rPr>
                <w:b/>
                <w:i w:val="0"/>
                <w:sz w:val="18"/>
              </w:rPr>
              <w:t>690</w:t>
            </w:r>
          </w:p>
        </w:tc>
        <w:tc>
          <w:tcPr>
            <w:tcW w:type="dxa" w:w="1587"/>
            <w:vAlign w:val="center"/>
          </w:tcPr>
          <w:p>
            <w:pPr>
              <w:spacing w:after="0" w:line="240" w:lineRule="auto"/>
              <w:jc w:val="center"/>
            </w:pPr>
            <w:r>
              <w:rPr>
                <w:b/>
              </w:rPr>
            </w:r>
            <w:r>
              <w:rPr>
                <w:b/>
                <w:i w:val="0"/>
                <w:sz w:val="18"/>
              </w:rPr>
              <w:t>560</w:t>
            </w:r>
          </w:p>
        </w:tc>
      </w:tr>
    </w:tbl>
    <w:p>
      <w:pPr>
        <w:spacing w:after="200"/>
        <w:jc w:val="left"/>
      </w:pPr>
      <w:r>
        <w:rPr>
          <w:i/>
          <w:sz w:val="18"/>
        </w:rPr>
        <w:t>Source : INSEE, enquête SRCV 2015, base SRCV1_menage. Champ : échantillon de travail (3 962 ménages). Commande Stata : tabstat credits, by(variable) statistics(n mean p50).</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866375"/>
                  <wp:docPr id="12" name="Picture 12"/>
                  <wp:cNvGraphicFramePr>
                    <a:graphicFrameLocks noChangeAspect="1"/>
                  </wp:cNvGraphicFramePr>
                  <a:graphic>
                    <a:graphicData uri="http://schemas.openxmlformats.org/drawingml/2006/picture">
                      <pic:pic>
                        <pic:nvPicPr>
                          <pic:cNvPr id="0" name="fig12_moy_revenu.png"/>
                          <pic:cNvPicPr/>
                        </pic:nvPicPr>
                        <pic:blipFill>
                          <a:blip r:embed="rId21"/>
                          <a:stretch>
                            <a:fillRect/>
                          </a:stretch>
                        </pic:blipFill>
                        <pic:spPr>
                          <a:xfrm>
                            <a:off x="0" y="0"/>
                            <a:ext cx="2844000" cy="1866375"/>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1866375"/>
                  <wp:docPr id="13" name="Picture 13"/>
                  <wp:cNvGraphicFramePr>
                    <a:graphicFrameLocks noChangeAspect="1"/>
                  </wp:cNvGraphicFramePr>
                  <a:graphic>
                    <a:graphicData uri="http://schemas.openxmlformats.org/drawingml/2006/picture">
                      <pic:pic>
                        <pic:nvPicPr>
                          <pic:cNvPr id="0" name="fig13_moy_statut.png"/>
                          <pic:cNvPicPr/>
                        </pic:nvPicPr>
                        <pic:blipFill>
                          <a:blip r:embed="rId22"/>
                          <a:stretch>
                            <a:fillRect/>
                          </a:stretch>
                        </pic:blipFill>
                        <pic:spPr>
                          <a:xfrm>
                            <a:off x="0" y="0"/>
                            <a:ext cx="2844000" cy="1866375"/>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12 – Mensualité moyenne selon le revenu</w:t>
            </w:r>
          </w:p>
        </w:tc>
        <w:tc>
          <w:tcPr>
            <w:tcW w:type="dxa" w:w="4536"/>
            <w:vAlign w:val="center"/>
          </w:tcPr>
          <w:p>
            <w:pPr>
              <w:spacing w:after="0" w:line="240" w:lineRule="auto"/>
              <w:jc w:val="center"/>
            </w:pPr>
            <w:r/>
            <w:r>
              <w:rPr>
                <w:b/>
                <w:i w:val="0"/>
                <w:sz w:val="19"/>
              </w:rPr>
              <w:t>Figure 13 – Mensualité moyenne selon le statut d’occupation</w:t>
            </w:r>
          </w:p>
        </w:tc>
      </w:tr>
    </w:tbl>
    <w:p>
      <w:pPr>
        <w:spacing w:after="200"/>
        <w:jc w:val="left"/>
      </w:pPr>
      <w:r>
        <w:rPr>
          <w:i/>
          <w:sz w:val="18"/>
        </w:rPr>
        <w:t>Source : INSEE, enquête SRCV 2015, base SRCV1_menage. Champ : échantillon de travail (3 962 ménages ayant au moins un crédit en cours). Calculs des auteurs sous Stata.</w:t>
      </w:r>
    </w:p>
    <w:p>
      <w:pPr>
        <w:jc w:val="both"/>
      </w:pPr>
      <w:r>
        <w:t xml:space="preserve">L’écart le plus marqué concerne le </w:t>
      </w:r>
      <w:r>
        <w:rPr>
          <w:b/>
        </w:rPr>
        <w:t>statut d’occupation</w:t>
      </w:r>
      <w:r>
        <w:t xml:space="preserve"> (figure 13). Les propriétaires accédants remboursent en moyenne 900 euros par mois, contre 529 euros pour les propriétaires non accédants et 328 euros pour les locataires et logés gratuitement. Le crédit immobilier, d’un montant élevé, pèse donc lourdement sur les mensualités, comme attendu. Les propriétaires non accédants remboursent tout de même davantage que les locataires, peut-être parce qu’ils sont plus aisés ou qu’ils remboursent un crédit pour un autre bien immobilier.</w:t>
      </w:r>
    </w:p>
    <w:p>
      <w:pPr>
        <w:jc w:val="both"/>
      </w:pPr>
      <w:r>
        <w:t xml:space="preserve">Les ménages qui remboursent </w:t>
      </w:r>
      <w:r>
        <w:rPr>
          <w:b/>
        </w:rPr>
        <w:t>au moins deux crédits</w:t>
      </w:r>
      <w:r>
        <w:t xml:space="preserve"> ont une mensualité moyenne presque deux fois plus élevée que ceux qui n’en ont qu’un (1 028 euros contre 552 euros, figure 14). De même, avoir un </w:t>
      </w:r>
      <w:r>
        <w:rPr>
          <w:b/>
        </w:rPr>
        <w:t>crédit pour un autre bien immobilier</w:t>
      </w:r>
      <w:r>
        <w:t xml:space="preserve"> s’accompagne de mensualités beaucoup plus élevées : 1 135 euros en moyenne contre 624 euros (figure 15). Ces deux résultats vont dans le sens attendu.</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866375"/>
                  <wp:docPr id="14" name="Picture 14"/>
                  <wp:cNvGraphicFramePr>
                    <a:graphicFrameLocks noChangeAspect="1"/>
                  </wp:cNvGraphicFramePr>
                  <a:graphic>
                    <a:graphicData uri="http://schemas.openxmlformats.org/drawingml/2006/picture">
                      <pic:pic>
                        <pic:nvPicPr>
                          <pic:cNvPr id="0" name="fig14_moy_nbcredits.png"/>
                          <pic:cNvPicPr/>
                        </pic:nvPicPr>
                        <pic:blipFill>
                          <a:blip r:embed="rId23"/>
                          <a:stretch>
                            <a:fillRect/>
                          </a:stretch>
                        </pic:blipFill>
                        <pic:spPr>
                          <a:xfrm>
                            <a:off x="0" y="0"/>
                            <a:ext cx="2844000" cy="1866375"/>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1866375"/>
                  <wp:docPr id="15" name="Picture 15"/>
                  <wp:cNvGraphicFramePr>
                    <a:graphicFrameLocks noChangeAspect="1"/>
                  </wp:cNvGraphicFramePr>
                  <a:graphic>
                    <a:graphicData uri="http://schemas.openxmlformats.org/drawingml/2006/picture">
                      <pic:pic>
                        <pic:nvPicPr>
                          <pic:cNvPr id="0" name="fig15_moy_autreimmo.png"/>
                          <pic:cNvPicPr/>
                        </pic:nvPicPr>
                        <pic:blipFill>
                          <a:blip r:embed="rId24"/>
                          <a:stretch>
                            <a:fillRect/>
                          </a:stretch>
                        </pic:blipFill>
                        <pic:spPr>
                          <a:xfrm>
                            <a:off x="0" y="0"/>
                            <a:ext cx="2844000" cy="1866375"/>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14 – Mensualité moyenne selon le nombre de crédits</w:t>
            </w:r>
          </w:p>
        </w:tc>
        <w:tc>
          <w:tcPr>
            <w:tcW w:type="dxa" w:w="4536"/>
            <w:vAlign w:val="center"/>
          </w:tcPr>
          <w:p>
            <w:pPr>
              <w:spacing w:after="0" w:line="240" w:lineRule="auto"/>
              <w:jc w:val="center"/>
            </w:pPr>
            <w:r/>
            <w:r>
              <w:rPr>
                <w:b/>
                <w:i w:val="0"/>
                <w:sz w:val="19"/>
              </w:rPr>
              <w:t>Figure 15 – Mensualité moyenne selon l’existence d’un crédit pour un autre bien immobilier</w:t>
            </w:r>
          </w:p>
        </w:tc>
      </w:tr>
    </w:tbl>
    <w:p>
      <w:pPr>
        <w:spacing w:after="200"/>
        <w:jc w:val="left"/>
      </w:pPr>
      <w:r>
        <w:rPr>
          <w:i/>
          <w:sz w:val="18"/>
        </w:rPr>
        <w:t>Source : INSEE, enquête SRCV 2015, base SRCV1_menage. Champ : échantillon de travail (3 962 ménages ayant au moins un crédit en cours). Calculs des auteurs sous Stata.</w:t>
      </w:r>
    </w:p>
    <w:p>
      <w:pPr>
        <w:jc w:val="both"/>
      </w:pPr>
      <w:r>
        <w:t xml:space="preserve">La mensualité moyenne augmente avec le </w:t>
      </w:r>
      <w:r>
        <w:rPr>
          <w:b/>
        </w:rPr>
        <w:t>nombre d’enfants</w:t>
      </w:r>
      <w:r>
        <w:t xml:space="preserve"> : 528 euros pour les ménages sans enfant, 700 euros avec un enfant, 872 euros avec deux enfants et 930 euros avec trois enfants ou plus (figure 16). La hausse est faible entre deux et trois enfants, et la médiane est même presque identique (810 et 833 euros). Ce lien brut reflète probablement en partie l’âge et le statut d’occupation : les personnes de référence des ménages sans enfant sont plus âgées (54,7 ans en moyenne, contre 42,5 ans pour les ménages de deux enfants), et seuls 44 % de ces ménages sont accédants, contre 74 % des ménages de deux enfants. Seule l’analyse « toutes choses égales par ailleurs » de la partie 2 permettra de séparer ces effets.</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866375"/>
                  <wp:docPr id="16" name="Picture 16"/>
                  <wp:cNvGraphicFramePr>
                    <a:graphicFrameLocks noChangeAspect="1"/>
                  </wp:cNvGraphicFramePr>
                  <a:graphic>
                    <a:graphicData uri="http://schemas.openxmlformats.org/drawingml/2006/picture">
                      <pic:pic>
                        <pic:nvPicPr>
                          <pic:cNvPr id="0" name="fig16_moy_enfants.png"/>
                          <pic:cNvPicPr/>
                        </pic:nvPicPr>
                        <pic:blipFill>
                          <a:blip r:embed="rId25"/>
                          <a:stretch>
                            <a:fillRect/>
                          </a:stretch>
                        </pic:blipFill>
                        <pic:spPr>
                          <a:xfrm>
                            <a:off x="0" y="0"/>
                            <a:ext cx="2844000" cy="1866375"/>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2088562"/>
                  <wp:docPr id="17" name="Picture 17"/>
                  <wp:cNvGraphicFramePr>
                    <a:graphicFrameLocks noChangeAspect="1"/>
                  </wp:cNvGraphicFramePr>
                  <a:graphic>
                    <a:graphicData uri="http://schemas.openxmlformats.org/drawingml/2006/picture">
                      <pic:pic>
                        <pic:nvPicPr>
                          <pic:cNvPr id="0" name="fig17_moy_csp.png"/>
                          <pic:cNvPicPr/>
                        </pic:nvPicPr>
                        <pic:blipFill>
                          <a:blip r:embed="rId26"/>
                          <a:stretch>
                            <a:fillRect/>
                          </a:stretch>
                        </pic:blipFill>
                        <pic:spPr>
                          <a:xfrm>
                            <a:off x="0" y="0"/>
                            <a:ext cx="2844000" cy="2088562"/>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16 – Mensualité moyenne selon le nombre d’enfants</w:t>
            </w:r>
          </w:p>
        </w:tc>
        <w:tc>
          <w:tcPr>
            <w:tcW w:type="dxa" w:w="4536"/>
            <w:vAlign w:val="center"/>
          </w:tcPr>
          <w:p>
            <w:pPr>
              <w:spacing w:after="0" w:line="240" w:lineRule="auto"/>
              <w:jc w:val="center"/>
            </w:pPr>
            <w:r/>
            <w:r>
              <w:rPr>
                <w:b/>
                <w:i w:val="0"/>
                <w:sz w:val="19"/>
              </w:rPr>
              <w:t>Figure 17 – Mensualité moyenne selon la CSP</w:t>
            </w:r>
          </w:p>
        </w:tc>
      </w:tr>
    </w:tbl>
    <w:p>
      <w:pPr>
        <w:spacing w:after="200"/>
        <w:jc w:val="left"/>
      </w:pPr>
      <w:r>
        <w:rPr>
          <w:i/>
          <w:sz w:val="18"/>
        </w:rPr>
        <w:t>Source : INSEE, enquête SRCV 2015, base SRCV1_menage. Champ : échantillon de travail (3 962 ménages ayant au moins un crédit en cours). Calculs des auteurs sous Stata.</w:t>
      </w:r>
    </w:p>
    <w:p>
      <w:pPr>
        <w:jc w:val="both"/>
      </w:pPr>
      <w:r>
        <w:t xml:space="preserve">Les écarts entre </w:t>
      </w:r>
      <w:r>
        <w:rPr>
          <w:b/>
        </w:rPr>
        <w:t>CSP</w:t>
      </w:r>
      <w:r>
        <w:t xml:space="preserve"> sont importants (figure 17). Les cadres remboursent en moyenne 1 075 euros par mois et les indépendants 955 euros, contre 781 euros pour les professions intermédiaires, 560 euros pour les ouvriers, 547 euros pour les employés et 408 euros pour les retraités et autres inactifs. Cette hiérarchie suit celle des revenus, et le niveau plus faible des retraités est cohérent avec la théorie du cycle de vie. Les ouvriers et les employés ont des mensualités très proches : nous vérifierons dans la partie 2 si leurs coefficients diffèrent significativement.</w:t>
      </w:r>
    </w:p>
    <w:p>
      <w:pPr>
        <w:jc w:val="both"/>
      </w:pPr>
      <w:r>
        <w:t xml:space="preserve">Le lien avec la </w:t>
      </w:r>
      <w:r>
        <w:rPr>
          <w:b/>
        </w:rPr>
        <w:t>taille de l’unité urbaine</w:t>
      </w:r>
      <w:r>
        <w:t xml:space="preserve"> n’est pas monotone (figure 18). Les mensualités moyennes sont proches dans les communes rurales et dans les unités urbaines de province (entre 627 et 695 euros), et même un peu plus élevées dans les communes rurales, peut-être parce que les ménages y sont plus souvent propriétaires d’une maison et ont davantage besoin d’une voiture. En revanche, les ménages de l’agglomération parisienne remboursent nettement plus, 914 euros en moyenne, ce qui est cohérent avec le prix beaucoup plus élevé de l’immobilier. Une relation linéaire avec la taille de l’agglomération ne serait donc pas adaptée, et nous garderons cette variable sous forme de modalités.</w:t>
      </w:r>
    </w:p>
    <w:tbl>
      <w:tblPr>
        <w:tblW w:type="dxa" w:w="9072"/>
        <w:jc w:val="center"/>
        <w:tblLook w:firstColumn="1" w:firstRow="1" w:lastColumn="0" w:lastRow="0" w:noHBand="0" w:noVBand="1" w:val="04A0"/>
      </w:tblPr>
      <w:tblGrid>
        <w:gridCol w:w="4536"/>
        <w:gridCol w:w="4536"/>
      </w:tblGrid>
      <w:tr>
        <w:trPr>
          <w:cantSplit/>
        </w:trPr>
        <w:tc>
          <w:tcPr>
            <w:tcW w:type="dxa" w:w="4536"/>
          </w:tcPr>
          <w:p>
            <w:pPr>
              <w:keepNext/>
              <w:spacing w:after="0"/>
              <w:jc w:val="center"/>
            </w:pPr>
            <w:r>
              <w:drawing>
                <wp:inline xmlns:a="http://schemas.openxmlformats.org/drawingml/2006/main" xmlns:pic="http://schemas.openxmlformats.org/drawingml/2006/picture">
                  <wp:extent cx="2844000" cy="1844156"/>
                  <wp:docPr id="18" name="Picture 18"/>
                  <wp:cNvGraphicFramePr>
                    <a:graphicFrameLocks noChangeAspect="1"/>
                  </wp:cNvGraphicFramePr>
                  <a:graphic>
                    <a:graphicData uri="http://schemas.openxmlformats.org/drawingml/2006/picture">
                      <pic:pic>
                        <pic:nvPicPr>
                          <pic:cNvPr id="0" name="fig18_moy_uu.png"/>
                          <pic:cNvPicPr/>
                        </pic:nvPicPr>
                        <pic:blipFill>
                          <a:blip r:embed="rId27"/>
                          <a:stretch>
                            <a:fillRect/>
                          </a:stretch>
                        </pic:blipFill>
                        <pic:spPr>
                          <a:xfrm>
                            <a:off x="0" y="0"/>
                            <a:ext cx="2844000" cy="1844156"/>
                          </a:xfrm>
                          <a:prstGeom prst="rect"/>
                        </pic:spPr>
                      </pic:pic>
                    </a:graphicData>
                  </a:graphic>
                </wp:inline>
              </w:drawing>
            </w:r>
          </w:p>
        </w:tc>
        <w:tc>
          <w:tcPr>
            <w:tcW w:type="dxa" w:w="4536"/>
          </w:tcPr>
          <w:p>
            <w:pPr>
              <w:keepNext/>
              <w:spacing w:after="0"/>
              <w:jc w:val="center"/>
            </w:pPr>
            <w:r>
              <w:drawing>
                <wp:inline xmlns:a="http://schemas.openxmlformats.org/drawingml/2006/main" xmlns:pic="http://schemas.openxmlformats.org/drawingml/2006/picture">
                  <wp:extent cx="2844000" cy="1866375"/>
                  <wp:docPr id="19" name="Picture 19"/>
                  <wp:cNvGraphicFramePr>
                    <a:graphicFrameLocks noChangeAspect="1"/>
                  </wp:cNvGraphicFramePr>
                  <a:graphic>
                    <a:graphicData uri="http://schemas.openxmlformats.org/drawingml/2006/picture">
                      <pic:pic>
                        <pic:nvPicPr>
                          <pic:cNvPr id="0" name="fig19_moy_logement.png"/>
                          <pic:cNvPicPr/>
                        </pic:nvPicPr>
                        <pic:blipFill>
                          <a:blip r:embed="rId28"/>
                          <a:stretch>
                            <a:fillRect/>
                          </a:stretch>
                        </pic:blipFill>
                        <pic:spPr>
                          <a:xfrm>
                            <a:off x="0" y="0"/>
                            <a:ext cx="2844000" cy="1866375"/>
                          </a:xfrm>
                          <a:prstGeom prst="rect"/>
                        </pic:spPr>
                      </pic:pic>
                    </a:graphicData>
                  </a:graphic>
                </wp:inline>
              </w:drawing>
            </w:r>
          </w:p>
        </w:tc>
      </w:tr>
      <w:tr>
        <w:trPr>
          <w:cantSplit/>
        </w:trPr>
        <w:tc>
          <w:tcPr>
            <w:tcW w:type="dxa" w:w="4536"/>
            <w:vAlign w:val="center"/>
          </w:tcPr>
          <w:p>
            <w:pPr>
              <w:spacing w:after="0" w:line="240" w:lineRule="auto"/>
              <w:jc w:val="center"/>
            </w:pPr>
            <w:r/>
            <w:r>
              <w:rPr>
                <w:b/>
                <w:i w:val="0"/>
                <w:sz w:val="19"/>
              </w:rPr>
              <w:t>Figure 18 – Mensualité moyenne selon la taille de l’unité urbaine</w:t>
            </w:r>
          </w:p>
        </w:tc>
        <w:tc>
          <w:tcPr>
            <w:tcW w:type="dxa" w:w="4536"/>
            <w:vAlign w:val="center"/>
          </w:tcPr>
          <w:p>
            <w:pPr>
              <w:spacing w:after="0" w:line="240" w:lineRule="auto"/>
              <w:jc w:val="center"/>
            </w:pPr>
            <w:r/>
            <w:r>
              <w:rPr>
                <w:b/>
                <w:i w:val="0"/>
                <w:sz w:val="19"/>
              </w:rPr>
              <w:t>Figure 19 – Mensualité moyenne selon le type de logement</w:t>
            </w:r>
          </w:p>
        </w:tc>
      </w:tr>
    </w:tbl>
    <w:p>
      <w:pPr>
        <w:spacing w:after="200"/>
        <w:jc w:val="left"/>
      </w:pPr>
      <w:r>
        <w:rPr>
          <w:i/>
          <w:sz w:val="18"/>
        </w:rPr>
        <w:t>Source : INSEE, enquête SRCV 2015, base SRCV1_menage. Champ : échantillon de travail (3 962 ménages ayant au moins un crédit en cours). Calculs des auteurs sous Stata.</w:t>
      </w:r>
    </w:p>
    <w:p>
      <w:pPr>
        <w:jc w:val="both"/>
      </w:pPr>
      <w:r>
        <w:t xml:space="preserve">Enfin, les ménages qui vivent dans une </w:t>
      </w:r>
      <w:r>
        <w:rPr>
          <w:b/>
        </w:rPr>
        <w:t>maison</w:t>
      </w:r>
      <w:r>
        <w:t xml:space="preserve"> remboursent en moyenne 745 euros par mois, contre 525 euros pour ceux qui vivent en appartement (figure 19). Cet écart reflète en partie le statut d’occupation : 65 % des ménages vivant en maison sont propriétaires accédants, contre 33 % des ménages vivant en appartement.</w:t>
      </w:r>
    </w:p>
    <w:p>
      <w:pPr>
        <w:pStyle w:val="Heading2"/>
      </w:pPr>
      <w:r>
        <w:t>5. Synthèse et transition vers la partie 2</w:t>
      </w:r>
    </w:p>
    <w:p>
      <w:pPr>
        <w:keepNext/>
        <w:jc w:val="both"/>
      </w:pPr>
      <w:r>
        <w:t>Le tableau 12 résume les liens observés et la forme retenue pour chaque variable dans le modèle.</w:t>
      </w:r>
    </w:p>
    <w:p>
      <w:pPr>
        <w:keepNext/>
        <w:spacing w:after="60"/>
        <w:jc w:val="left"/>
      </w:pPr>
      <w:r>
        <w:rPr>
          <w:b/>
          <w:sz w:val="21"/>
        </w:rPr>
        <w:t>Tableau 12 – Synthèse des statistiques bivariées et formes fonctionnelles retenues</w:t>
      </w:r>
    </w:p>
    <w:tbl>
      <w:tblPr>
        <w:tblW w:type="dxa" w:w="9072"/>
        <w:jc w:val="center"/>
        <w:tblBorders>
          <w:top w:val="single" w:sz="6" w:color="1F3A68"/>
          <w:left w:val="nil"/>
          <w:bottom w:val="single" w:sz="6" w:color="1F3A68"/>
          <w:right w:val="nil"/>
          <w:insideH w:val="single" w:sz="2" w:color="7F8A99"/>
          <w:insideV w:val="nil"/>
        </w:tblBorders>
        <w:tblLayout w:type="fixed"/>
        <w:tblLook w:firstColumn="1" w:firstRow="1" w:lastColumn="0" w:lastRow="0" w:noHBand="0" w:noVBand="1" w:val="04A0"/>
      </w:tblPr>
      <w:tblGrid>
        <w:gridCol w:w="2494"/>
        <w:gridCol w:w="3628"/>
        <w:gridCol w:w="2948"/>
      </w:tblGrid>
      <w:tr>
        <w:trPr>
          <w:cantSplit/>
          <w:tblHeader/>
        </w:trPr>
        <w:tc>
          <w:tcPr>
            <w:tcW w:type="dxa" w:w="2494"/>
            <w:shd w:val="clear" w:color="auto" w:fill="E8ECF2"/>
            <w:vAlign w:val="center"/>
          </w:tcPr>
          <w:p>
            <w:pPr>
              <w:keepNext/>
              <w:spacing w:after="0" w:line="240" w:lineRule="auto"/>
              <w:jc w:val="left"/>
            </w:pPr>
            <w:r/>
            <w:r>
              <w:rPr>
                <w:b/>
                <w:i w:val="0"/>
                <w:sz w:val="18"/>
              </w:rPr>
              <w:t>Variable</w:t>
            </w:r>
          </w:p>
        </w:tc>
        <w:tc>
          <w:tcPr>
            <w:tcW w:type="dxa" w:w="3628"/>
            <w:shd w:val="clear" w:color="auto" w:fill="E8ECF2"/>
            <w:vAlign w:val="center"/>
          </w:tcPr>
          <w:p>
            <w:pPr>
              <w:keepNext/>
              <w:spacing w:after="0" w:line="240" w:lineRule="auto"/>
              <w:jc w:val="center"/>
            </w:pPr>
            <w:r/>
            <w:r>
              <w:rPr>
                <w:b/>
                <w:i w:val="0"/>
                <w:sz w:val="18"/>
              </w:rPr>
              <w:t>Lien observé avec les mensualités</w:t>
            </w:r>
          </w:p>
        </w:tc>
        <w:tc>
          <w:tcPr>
            <w:tcW w:type="dxa" w:w="2948"/>
            <w:shd w:val="clear" w:color="auto" w:fill="E8ECF2"/>
            <w:vAlign w:val="center"/>
          </w:tcPr>
          <w:p>
            <w:pPr>
              <w:keepNext/>
              <w:spacing w:after="0" w:line="240" w:lineRule="auto"/>
              <w:jc w:val="center"/>
            </w:pPr>
            <w:r/>
            <w:r>
              <w:rPr>
                <w:b/>
                <w:i w:val="0"/>
                <w:sz w:val="18"/>
              </w:rPr>
              <w:t>Forme retenue dans le modèle</w:t>
            </w:r>
          </w:p>
        </w:tc>
      </w:tr>
      <w:tr>
        <w:trPr>
          <w:cantSplit/>
        </w:trPr>
        <w:tc>
          <w:tcPr>
            <w:tcW w:type="dxa" w:w="2494"/>
            <w:vAlign w:val="center"/>
          </w:tcPr>
          <w:p>
            <w:pPr>
              <w:keepNext/>
              <w:spacing w:after="0" w:line="240" w:lineRule="auto"/>
              <w:jc w:val="left"/>
            </w:pPr>
            <w:r/>
            <w:r>
              <w:rPr>
                <w:b w:val="0"/>
                <w:i w:val="0"/>
                <w:sz w:val="18"/>
              </w:rPr>
              <w:t>Revenu mensuel du ménage</w:t>
            </w:r>
          </w:p>
        </w:tc>
        <w:tc>
          <w:tcPr>
            <w:tcW w:type="dxa" w:w="3628"/>
            <w:vAlign w:val="center"/>
          </w:tcPr>
          <w:p>
            <w:pPr>
              <w:keepNext/>
              <w:spacing w:after="0" w:line="240" w:lineRule="auto"/>
              <w:jc w:val="center"/>
            </w:pPr>
            <w:r/>
            <w:r>
              <w:rPr>
                <w:b w:val="0"/>
                <w:i w:val="0"/>
                <w:sz w:val="18"/>
              </w:rPr>
              <w:t>Croissant et régulier ; corrélation de 0,55 en logarithmes</w:t>
            </w:r>
          </w:p>
        </w:tc>
        <w:tc>
          <w:tcPr>
            <w:tcW w:type="dxa" w:w="2948"/>
            <w:vAlign w:val="center"/>
          </w:tcPr>
          <w:p>
            <w:pPr>
              <w:keepNext/>
              <w:spacing w:after="0" w:line="240" w:lineRule="auto"/>
              <w:jc w:val="center"/>
            </w:pPr>
            <w:r/>
            <w:r>
              <w:rPr>
                <w:b w:val="0"/>
                <w:i w:val="0"/>
                <w:sz w:val="18"/>
              </w:rPr>
              <w:t>Tranches (indicatrices), avec une tranche « non déclaré »</w:t>
            </w:r>
          </w:p>
        </w:tc>
      </w:tr>
      <w:tr>
        <w:trPr>
          <w:cantSplit/>
        </w:trPr>
        <w:tc>
          <w:tcPr>
            <w:tcW w:type="dxa" w:w="2494"/>
            <w:vAlign w:val="center"/>
          </w:tcPr>
          <w:p>
            <w:pPr>
              <w:keepNext/>
              <w:spacing w:after="0" w:line="240" w:lineRule="auto"/>
              <w:jc w:val="left"/>
            </w:pPr>
            <w:r/>
            <w:r>
              <w:rPr>
                <w:b w:val="0"/>
                <w:i w:val="0"/>
                <w:sz w:val="18"/>
              </w:rPr>
              <w:t>Âge de la personne de référence</w:t>
            </w:r>
          </w:p>
        </w:tc>
        <w:tc>
          <w:tcPr>
            <w:tcW w:type="dxa" w:w="3628"/>
            <w:vAlign w:val="center"/>
          </w:tcPr>
          <w:p>
            <w:pPr>
              <w:keepNext/>
              <w:spacing w:after="0" w:line="240" w:lineRule="auto"/>
              <w:jc w:val="center"/>
            </w:pPr>
            <w:r/>
            <w:r>
              <w:rPr>
                <w:b w:val="0"/>
                <w:i w:val="0"/>
                <w:sz w:val="18"/>
              </w:rPr>
              <w:t>En cloche : hausse jusqu’à 35-50 ans puis baisse</w:t>
            </w:r>
          </w:p>
        </w:tc>
        <w:tc>
          <w:tcPr>
            <w:tcW w:type="dxa" w:w="2948"/>
            <w:vAlign w:val="center"/>
          </w:tcPr>
          <w:p>
            <w:pPr>
              <w:keepNext/>
              <w:spacing w:after="0" w:line="240" w:lineRule="auto"/>
              <w:jc w:val="center"/>
            </w:pPr>
            <w:r/>
            <w:r>
              <w:rPr>
                <w:b w:val="0"/>
                <w:i w:val="0"/>
                <w:sz w:val="18"/>
              </w:rPr>
              <w:t>Âge et âge au carré</w:t>
            </w:r>
          </w:p>
        </w:tc>
      </w:tr>
      <w:tr>
        <w:trPr>
          <w:cantSplit/>
        </w:trPr>
        <w:tc>
          <w:tcPr>
            <w:tcW w:type="dxa" w:w="2494"/>
            <w:vAlign w:val="center"/>
          </w:tcPr>
          <w:p>
            <w:pPr>
              <w:keepNext/>
              <w:spacing w:after="0" w:line="240" w:lineRule="auto"/>
              <w:jc w:val="left"/>
            </w:pPr>
            <w:r/>
            <w:r>
              <w:rPr>
                <w:b w:val="0"/>
                <w:i w:val="0"/>
                <w:sz w:val="18"/>
              </w:rPr>
              <w:t>Statut d’occupation</w:t>
            </w:r>
          </w:p>
        </w:tc>
        <w:tc>
          <w:tcPr>
            <w:tcW w:type="dxa" w:w="3628"/>
            <w:vAlign w:val="center"/>
          </w:tcPr>
          <w:p>
            <w:pPr>
              <w:keepNext/>
              <w:spacing w:after="0" w:line="240" w:lineRule="auto"/>
              <w:jc w:val="center"/>
            </w:pPr>
            <w:r/>
            <w:r>
              <w:rPr>
                <w:b w:val="0"/>
                <w:i w:val="0"/>
                <w:sz w:val="18"/>
              </w:rPr>
              <w:t>Accédants (900 €) bien au-dessus des locataires (328 €)</w:t>
            </w:r>
          </w:p>
        </w:tc>
        <w:tc>
          <w:tcPr>
            <w:tcW w:type="dxa" w:w="2948"/>
            <w:vAlign w:val="center"/>
          </w:tcPr>
          <w:p>
            <w:pPr>
              <w:keepNext/>
              <w:spacing w:after="0" w:line="240" w:lineRule="auto"/>
              <w:jc w:val="center"/>
            </w:pPr>
            <w:r/>
            <w:r>
              <w:rPr>
                <w:b w:val="0"/>
                <w:i w:val="0"/>
                <w:sz w:val="18"/>
              </w:rPr>
              <w:t>Indicatrices (3 modalités)</w:t>
            </w:r>
          </w:p>
        </w:tc>
      </w:tr>
      <w:tr>
        <w:trPr>
          <w:cantSplit/>
        </w:trPr>
        <w:tc>
          <w:tcPr>
            <w:tcW w:type="dxa" w:w="2494"/>
            <w:vAlign w:val="center"/>
          </w:tcPr>
          <w:p>
            <w:pPr>
              <w:keepNext/>
              <w:spacing w:after="0" w:line="240" w:lineRule="auto"/>
              <w:jc w:val="left"/>
            </w:pPr>
            <w:r/>
            <w:r>
              <w:rPr>
                <w:b w:val="0"/>
                <w:i w:val="0"/>
                <w:sz w:val="18"/>
              </w:rPr>
              <w:t>Nombre de crédits</w:t>
            </w:r>
          </w:p>
        </w:tc>
        <w:tc>
          <w:tcPr>
            <w:tcW w:type="dxa" w:w="3628"/>
            <w:vAlign w:val="center"/>
          </w:tcPr>
          <w:p>
            <w:pPr>
              <w:keepNext/>
              <w:spacing w:after="0" w:line="240" w:lineRule="auto"/>
              <w:jc w:val="center"/>
            </w:pPr>
            <w:r/>
            <w:r>
              <w:rPr>
                <w:b w:val="0"/>
                <w:i w:val="0"/>
                <w:sz w:val="18"/>
              </w:rPr>
              <w:t>Mensualités presque doublées à partir de 2 crédits</w:t>
            </w:r>
          </w:p>
        </w:tc>
        <w:tc>
          <w:tcPr>
            <w:tcW w:type="dxa" w:w="2948"/>
            <w:vAlign w:val="center"/>
          </w:tcPr>
          <w:p>
            <w:pPr>
              <w:keepNext/>
              <w:spacing w:after="0" w:line="240" w:lineRule="auto"/>
              <w:jc w:val="center"/>
            </w:pPr>
            <w:r/>
            <w:r>
              <w:rPr>
                <w:b w:val="0"/>
                <w:i w:val="0"/>
                <w:sz w:val="18"/>
              </w:rPr>
              <w:t>Indicatrice</w:t>
            </w:r>
          </w:p>
        </w:tc>
      </w:tr>
      <w:tr>
        <w:trPr>
          <w:cantSplit/>
        </w:trPr>
        <w:tc>
          <w:tcPr>
            <w:tcW w:type="dxa" w:w="2494"/>
            <w:vAlign w:val="center"/>
          </w:tcPr>
          <w:p>
            <w:pPr>
              <w:keepNext/>
              <w:spacing w:after="0" w:line="240" w:lineRule="auto"/>
              <w:jc w:val="left"/>
            </w:pPr>
            <w:r/>
            <w:r>
              <w:rPr>
                <w:b w:val="0"/>
                <w:i w:val="0"/>
                <w:sz w:val="18"/>
              </w:rPr>
              <w:t>Crédit pour un autre bien immobilier</w:t>
            </w:r>
          </w:p>
        </w:tc>
        <w:tc>
          <w:tcPr>
            <w:tcW w:type="dxa" w:w="3628"/>
            <w:vAlign w:val="center"/>
          </w:tcPr>
          <w:p>
            <w:pPr>
              <w:keepNext/>
              <w:spacing w:after="0" w:line="240" w:lineRule="auto"/>
              <w:jc w:val="center"/>
            </w:pPr>
            <w:r/>
            <w:r>
              <w:rPr>
                <w:b w:val="0"/>
                <w:i w:val="0"/>
                <w:sz w:val="18"/>
              </w:rPr>
              <w:t>Mensualités nettement plus élevées</w:t>
            </w:r>
          </w:p>
        </w:tc>
        <w:tc>
          <w:tcPr>
            <w:tcW w:type="dxa" w:w="2948"/>
            <w:vAlign w:val="center"/>
          </w:tcPr>
          <w:p>
            <w:pPr>
              <w:keepNext/>
              <w:spacing w:after="0" w:line="240" w:lineRule="auto"/>
              <w:jc w:val="center"/>
            </w:pPr>
            <w:r/>
            <w:r>
              <w:rPr>
                <w:b w:val="0"/>
                <w:i w:val="0"/>
                <w:sz w:val="18"/>
              </w:rPr>
              <w:t>Indicatrice</w:t>
            </w:r>
          </w:p>
        </w:tc>
      </w:tr>
      <w:tr>
        <w:trPr>
          <w:cantSplit/>
        </w:trPr>
        <w:tc>
          <w:tcPr>
            <w:tcW w:type="dxa" w:w="2494"/>
            <w:vAlign w:val="center"/>
          </w:tcPr>
          <w:p>
            <w:pPr>
              <w:keepNext/>
              <w:spacing w:after="0" w:line="240" w:lineRule="auto"/>
              <w:jc w:val="left"/>
            </w:pPr>
            <w:r/>
            <w:r>
              <w:rPr>
                <w:b w:val="0"/>
                <w:i w:val="0"/>
                <w:sz w:val="18"/>
              </w:rPr>
              <w:t>Nombre d’enfants</w:t>
            </w:r>
          </w:p>
        </w:tc>
        <w:tc>
          <w:tcPr>
            <w:tcW w:type="dxa" w:w="3628"/>
            <w:vAlign w:val="center"/>
          </w:tcPr>
          <w:p>
            <w:pPr>
              <w:keepNext/>
              <w:spacing w:after="0" w:line="240" w:lineRule="auto"/>
              <w:jc w:val="center"/>
            </w:pPr>
            <w:r/>
            <w:r>
              <w:rPr>
                <w:b w:val="0"/>
                <w:i w:val="0"/>
                <w:sz w:val="18"/>
              </w:rPr>
              <w:t>Croissant, faible écart entre 2 et 3 enfants ou plus</w:t>
            </w:r>
          </w:p>
        </w:tc>
        <w:tc>
          <w:tcPr>
            <w:tcW w:type="dxa" w:w="2948"/>
            <w:vAlign w:val="center"/>
          </w:tcPr>
          <w:p>
            <w:pPr>
              <w:keepNext/>
              <w:spacing w:after="0" w:line="240" w:lineRule="auto"/>
              <w:jc w:val="center"/>
            </w:pPr>
            <w:r/>
            <w:r>
              <w:rPr>
                <w:b w:val="0"/>
                <w:i w:val="0"/>
                <w:sz w:val="18"/>
              </w:rPr>
              <w:t>Indicatrices (4 modalités)</w:t>
            </w:r>
          </w:p>
        </w:tc>
      </w:tr>
      <w:tr>
        <w:trPr>
          <w:cantSplit/>
        </w:trPr>
        <w:tc>
          <w:tcPr>
            <w:tcW w:type="dxa" w:w="2494"/>
            <w:vAlign w:val="center"/>
          </w:tcPr>
          <w:p>
            <w:pPr>
              <w:keepNext/>
              <w:spacing w:after="0" w:line="240" w:lineRule="auto"/>
              <w:jc w:val="left"/>
            </w:pPr>
            <w:r/>
            <w:r>
              <w:rPr>
                <w:b w:val="0"/>
                <w:i w:val="0"/>
                <w:sz w:val="18"/>
              </w:rPr>
              <w:t>CSP</w:t>
            </w:r>
          </w:p>
        </w:tc>
        <w:tc>
          <w:tcPr>
            <w:tcW w:type="dxa" w:w="3628"/>
            <w:vAlign w:val="center"/>
          </w:tcPr>
          <w:p>
            <w:pPr>
              <w:keepNext/>
              <w:spacing w:after="0" w:line="240" w:lineRule="auto"/>
              <w:jc w:val="center"/>
            </w:pPr>
            <w:r/>
            <w:r>
              <w:rPr>
                <w:b w:val="0"/>
                <w:i w:val="0"/>
                <w:sz w:val="18"/>
              </w:rPr>
              <w:t>Cadres et indépendants au-dessus, retraités en dessous</w:t>
            </w:r>
          </w:p>
        </w:tc>
        <w:tc>
          <w:tcPr>
            <w:tcW w:type="dxa" w:w="2948"/>
            <w:vAlign w:val="center"/>
          </w:tcPr>
          <w:p>
            <w:pPr>
              <w:keepNext/>
              <w:spacing w:after="0" w:line="240" w:lineRule="auto"/>
              <w:jc w:val="center"/>
            </w:pPr>
            <w:r/>
            <w:r>
              <w:rPr>
                <w:b w:val="0"/>
                <w:i w:val="0"/>
                <w:sz w:val="18"/>
              </w:rPr>
              <w:t>Indicatrices (6 modalités)</w:t>
            </w:r>
          </w:p>
        </w:tc>
      </w:tr>
      <w:tr>
        <w:trPr>
          <w:cantSplit/>
        </w:trPr>
        <w:tc>
          <w:tcPr>
            <w:tcW w:type="dxa" w:w="2494"/>
            <w:vAlign w:val="center"/>
          </w:tcPr>
          <w:p>
            <w:pPr>
              <w:keepNext/>
              <w:spacing w:after="0" w:line="240" w:lineRule="auto"/>
              <w:jc w:val="left"/>
            </w:pPr>
            <w:r/>
            <w:r>
              <w:rPr>
                <w:b w:val="0"/>
                <w:i w:val="0"/>
                <w:sz w:val="18"/>
              </w:rPr>
              <w:t>Taille de l’unité urbaine</w:t>
            </w:r>
          </w:p>
        </w:tc>
        <w:tc>
          <w:tcPr>
            <w:tcW w:type="dxa" w:w="3628"/>
            <w:vAlign w:val="center"/>
          </w:tcPr>
          <w:p>
            <w:pPr>
              <w:keepNext/>
              <w:spacing w:after="0" w:line="240" w:lineRule="auto"/>
              <w:jc w:val="center"/>
            </w:pPr>
            <w:r/>
            <w:r>
              <w:rPr>
                <w:b w:val="0"/>
                <w:i w:val="0"/>
                <w:sz w:val="18"/>
              </w:rPr>
              <w:t>Non monotone : seule l’agglomération parisienne se distingue</w:t>
            </w:r>
          </w:p>
        </w:tc>
        <w:tc>
          <w:tcPr>
            <w:tcW w:type="dxa" w:w="2948"/>
            <w:vAlign w:val="center"/>
          </w:tcPr>
          <w:p>
            <w:pPr>
              <w:keepNext/>
              <w:spacing w:after="0" w:line="240" w:lineRule="auto"/>
              <w:jc w:val="center"/>
            </w:pPr>
            <w:r/>
            <w:r>
              <w:rPr>
                <w:b w:val="0"/>
                <w:i w:val="0"/>
                <w:sz w:val="18"/>
              </w:rPr>
              <w:t>Indicatrices (5 modalités)</w:t>
            </w:r>
          </w:p>
        </w:tc>
      </w:tr>
      <w:tr>
        <w:trPr>
          <w:cantSplit/>
        </w:trPr>
        <w:tc>
          <w:tcPr>
            <w:tcW w:type="dxa" w:w="2494"/>
            <w:vAlign w:val="center"/>
          </w:tcPr>
          <w:p>
            <w:pPr>
              <w:spacing w:after="0" w:line="240" w:lineRule="auto"/>
              <w:jc w:val="left"/>
            </w:pPr>
            <w:r/>
            <w:r>
              <w:rPr>
                <w:b w:val="0"/>
                <w:i w:val="0"/>
                <w:sz w:val="18"/>
              </w:rPr>
              <w:t>Type de logement</w:t>
            </w:r>
          </w:p>
        </w:tc>
        <w:tc>
          <w:tcPr>
            <w:tcW w:type="dxa" w:w="3628"/>
            <w:vAlign w:val="center"/>
          </w:tcPr>
          <w:p>
            <w:pPr>
              <w:spacing w:after="0" w:line="240" w:lineRule="auto"/>
              <w:jc w:val="center"/>
            </w:pPr>
            <w:r/>
            <w:r>
              <w:rPr>
                <w:b w:val="0"/>
                <w:i w:val="0"/>
                <w:sz w:val="18"/>
              </w:rPr>
              <w:t>Mensualités plus élevées en maison</w:t>
            </w:r>
          </w:p>
        </w:tc>
        <w:tc>
          <w:tcPr>
            <w:tcW w:type="dxa" w:w="2948"/>
            <w:vAlign w:val="center"/>
          </w:tcPr>
          <w:p>
            <w:pPr>
              <w:spacing w:after="0" w:line="240" w:lineRule="auto"/>
              <w:jc w:val="center"/>
            </w:pPr>
            <w:r/>
            <w:r>
              <w:rPr>
                <w:b w:val="0"/>
                <w:i w:val="0"/>
                <w:sz w:val="18"/>
              </w:rPr>
              <w:t>Indicatrice</w:t>
            </w:r>
          </w:p>
        </w:tc>
      </w:tr>
    </w:tbl>
    <w:p>
      <w:pPr>
        <w:spacing w:after="200"/>
        <w:jc w:val="left"/>
      </w:pPr>
      <w:r>
        <w:rPr>
          <w:i/>
          <w:sz w:val="18"/>
        </w:rPr>
        <w:t>Source : tableaux 10 et 11, figures 10 à 19.</w:t>
      </w:r>
    </w:p>
    <w:p>
      <w:pPr>
        <w:jc w:val="both"/>
      </w:pPr>
      <w:r>
        <w:t xml:space="preserve">Les statistiques descriptives confirment la plupart de nos intuitions : les mensualités augmentent avec le revenu, suivent un profil en cloche avec l’âge, et sont plus élevées pour les accédants à la propriété, les ménages ayant plusieurs crédits, les cadres et les ménages franciliens. Il ne s’agit toutefois que de liens bruts. Or nos variables explicatives sont liées entre elles : les familles avec enfants sont plus jeunes et plus souvent accédantes, les cadres ont des revenus plus élevés, les maisons sont plus souvent achetées à crédit, etc. Une partie des écarts observés peut donc provenir de ces effets de structure. Le modèle de régression linéaire multiple, estimé par les moindres carrés ordinaires dans la seconde partie, permettra de mesurer l’effet de chaque variable </w:t>
      </w:r>
      <w:r>
        <w:rPr>
          <w:b/>
        </w:rPr>
        <w:t>toutes choses égales par ailleurs</w:t>
      </w:r>
      <w:r>
        <w:t>. Il s’écrira :</w:t>
      </w:r>
    </w:p>
    <w:p>
      <w:pPr>
        <w:jc w:val="center"/>
      </w:pPr>
      <w:r>
        <w:rPr>
          <w:i/>
        </w:rPr>
        <w:t>ln(CREDITS</w:t>
      </w:r>
      <w:r>
        <w:rPr>
          <w:i/>
          <w:vertAlign w:val="subscript"/>
        </w:rPr>
        <w:t>i</w:t>
      </w:r>
      <w:r>
        <w:rPr>
          <w:i/>
        </w:rPr>
        <w:t>) = β</w:t>
      </w:r>
      <w:r>
        <w:rPr>
          <w:i/>
          <w:vertAlign w:val="subscript"/>
        </w:rPr>
        <w:t>0</w:t>
      </w:r>
      <w:r>
        <w:rPr>
          <w:i/>
        </w:rPr>
        <w:t xml:space="preserve"> + Σ</w:t>
      </w:r>
      <w:r>
        <w:rPr>
          <w:i/>
          <w:vertAlign w:val="subscript"/>
        </w:rPr>
        <w:t>k</w:t>
      </w:r>
      <w:r>
        <w:rPr>
          <w:i/>
        </w:rPr>
        <w:t xml:space="preserve"> γ</w:t>
      </w:r>
      <w:r>
        <w:rPr>
          <w:i/>
          <w:vertAlign w:val="subscript"/>
        </w:rPr>
        <w:t>k</w:t>
      </w:r>
      <w:r>
        <w:rPr>
          <w:i/>
        </w:rPr>
        <w:t xml:space="preserve"> Revenu</w:t>
      </w:r>
      <w:r>
        <w:rPr>
          <w:i/>
          <w:vertAlign w:val="subscript"/>
        </w:rPr>
        <w:t>ki</w:t>
      </w:r>
      <w:r>
        <w:rPr>
          <w:i/>
        </w:rPr>
        <w:t xml:space="preserve"> + β</w:t>
      </w:r>
      <w:r>
        <w:rPr>
          <w:i/>
          <w:vertAlign w:val="subscript"/>
        </w:rPr>
        <w:t>1</w:t>
      </w:r>
      <w:r>
        <w:rPr>
          <w:i/>
        </w:rPr>
        <w:t xml:space="preserve"> Âge</w:t>
      </w:r>
      <w:r>
        <w:rPr>
          <w:i/>
          <w:vertAlign w:val="subscript"/>
        </w:rPr>
        <w:t>i</w:t>
      </w:r>
      <w:r>
        <w:rPr>
          <w:i/>
        </w:rPr>
        <w:t xml:space="preserve"> + β</w:t>
      </w:r>
      <w:r>
        <w:rPr>
          <w:i/>
          <w:vertAlign w:val="subscript"/>
        </w:rPr>
        <w:t>2</w:t>
      </w:r>
      <w:r>
        <w:rPr>
          <w:i/>
        </w:rPr>
        <w:t xml:space="preserve"> Âge</w:t>
      </w:r>
      <w:r>
        <w:rPr>
          <w:i/>
          <w:vertAlign w:val="subscript"/>
        </w:rPr>
        <w:t>i</w:t>
      </w:r>
      <w:r>
        <w:rPr>
          <w:i/>
          <w:vertAlign w:val="superscript"/>
        </w:rPr>
        <w:t>2</w:t>
      </w:r>
      <w:r>
        <w:rPr>
          <w:i/>
        </w:rPr>
        <w:t xml:space="preserve"> + X’</w:t>
      </w:r>
      <w:r>
        <w:rPr>
          <w:i/>
          <w:vertAlign w:val="subscript"/>
        </w:rPr>
        <w:t>i</w:t>
      </w:r>
      <w:r>
        <w:rPr>
          <w:i/>
        </w:rPr>
        <w:t>δ + u</w:t>
      </w:r>
      <w:r>
        <w:rPr>
          <w:i/>
          <w:vertAlign w:val="subscript"/>
        </w:rPr>
        <w:t>i</w:t>
      </w:r>
    </w:p>
    <w:p>
      <w:pPr>
        <w:jc w:val="both"/>
      </w:pPr>
      <w:r>
        <w:t>où Revenu</w:t>
      </w:r>
      <w:r>
        <w:rPr>
          <w:vertAlign w:val="subscript"/>
        </w:rPr>
        <w:t>ki</w:t>
      </w:r>
      <w:r>
        <w:t xml:space="preserve"> désigne les indicatrices de tranches de revenu (une tranche servant de référence), X</w:t>
      </w:r>
      <w:r>
        <w:rPr>
          <w:vertAlign w:val="subscript"/>
        </w:rPr>
        <w:t>i</w:t>
      </w:r>
      <w:r>
        <w:t xml:space="preserve"> le vecteur des variables de contrôle (statut d’occupation, nombre de crédits, crédit pour un autre bien immobilier, nombre d’enfants, CSP, taille de l’unité urbaine et type de logement, sous forme d’indicatrices) et u</w:t>
      </w:r>
      <w:r>
        <w:rPr>
          <w:vertAlign w:val="subscript"/>
        </w:rPr>
        <w:t>i</w:t>
      </w:r>
      <w:r>
        <w:t xml:space="preserve"> la perturbation. Nous estimerons d’abord le modèle avec les seules variables d’intérêt, puis nous ajouterons progressivement les variables de contrôle.</w:t>
      </w:r>
    </w:p>
    <w:p>
      <w:pPr>
        <w:pStyle w:val="Heading1"/>
      </w:pPr>
      <w:r>
        <w:t>Références</w:t>
      </w:r>
    </w:p>
    <w:p>
      <w:pPr>
        <w:spacing w:after="100"/>
        <w:ind w:left="340" w:hanging="340"/>
        <w:jc w:val="left"/>
      </w:pPr>
      <w:r>
        <w:t xml:space="preserve">Friedman M. (1957), </w:t>
      </w:r>
      <w:r>
        <w:rPr>
          <w:i/>
        </w:rPr>
        <w:t>A Theory of the Consumption Function</w:t>
      </w:r>
      <w:r>
        <w:t>, Princeton University Press.</w:t>
      </w:r>
    </w:p>
    <w:p>
      <w:pPr>
        <w:spacing w:after="100"/>
        <w:ind w:left="340" w:hanging="340"/>
        <w:jc w:val="left"/>
      </w:pPr>
      <w:r>
        <w:t>Haut Conseil de stabilité financière (2019), recommandation du 20 décembre 2019 relative à l’octroi de crédits immobiliers ; décision du 29 septembre 2021, applicable au 1er janvier 2022.</w:t>
      </w:r>
    </w:p>
    <w:p>
      <w:pPr>
        <w:spacing w:after="100"/>
        <w:ind w:left="340" w:hanging="340"/>
        <w:jc w:val="left"/>
      </w:pPr>
      <w:r>
        <w:t>INSEE, enquête Statistiques sur les ressources et les conditions de vie (SRCV) 2015 ; dictionnaire des codes de la base SRCV1_menage fourni pour le projet.</w:t>
      </w:r>
    </w:p>
    <w:p>
      <w:pPr>
        <w:spacing w:after="100"/>
        <w:ind w:left="340" w:hanging="340"/>
        <w:jc w:val="left"/>
      </w:pPr>
      <w:r>
        <w:t xml:space="preserve">Modigliani F. et Brumberg R. (1954), « Utility Analysis and the Consumption Function: An Interpretation of Cross-Section Data », in K. Kurihara (dir.), </w:t>
      </w:r>
      <w:r>
        <w:rPr>
          <w:i/>
        </w:rPr>
        <w:t>Post-Keynesian Economics</w:t>
      </w:r>
      <w:r>
        <w:t>, Rutgers University Press.</w:t>
      </w:r>
    </w:p>
    <w:p>
      <w:pPr>
        <w:spacing w:after="100"/>
        <w:ind w:left="340" w:hanging="340"/>
        <w:jc w:val="left"/>
      </w:pPr>
      <w:r>
        <w:t xml:space="preserve">Observatoire Crédit Logement/CSA (2015), </w:t>
      </w:r>
      <w:r>
        <w:rPr>
          <w:i/>
        </w:rPr>
        <w:t>Tableaux de bord mensuels</w:t>
      </w:r>
      <w:r>
        <w:t>.</w:t>
      </w:r>
    </w:p>
    <w:p>
      <w:pPr>
        <w:spacing w:after="100"/>
        <w:ind w:left="340" w:hanging="340"/>
        <w:jc w:val="left"/>
      </w:pPr>
      <w:r>
        <w:t xml:space="preserve">Observatoire des crédits aux ménages (2016), </w:t>
      </w:r>
      <w:r>
        <w:rPr>
          <w:i/>
        </w:rPr>
        <w:t>28e rapport annuel</w:t>
      </w:r>
      <w:r>
        <w:t>, Fédération bancaire française, janvier 2016.</w:t>
      </w:r>
    </w:p>
    <w:p>
      <w:pPr>
        <w:spacing w:after="100"/>
        <w:ind w:left="340" w:hanging="340"/>
        <w:jc w:val="left"/>
      </w:pPr>
      <w:r>
        <w:t xml:space="preserve">Stiglitz J. et Weiss A. (1981), « Credit Rationing in Markets with Imperfect Information », </w:t>
      </w:r>
      <w:r>
        <w:rPr>
          <w:i/>
        </w:rPr>
        <w:t>American Economic Review</w:t>
      </w:r>
      <w:r>
        <w:t>, vol. 71, n° 3, p. 393-410.</w:t>
      </w:r>
    </w:p>
    <w:p>
      <w:r>
        <w:br w:type="page"/>
      </w:r>
    </w:p>
    <w:p>
      <w:pPr>
        <w:pStyle w:val="Heading1"/>
      </w:pPr>
      <w:r>
        <w:t>Annexe – Programme Stata</w:t>
      </w:r>
    </w:p>
    <w:p>
      <w:pPr>
        <w:jc w:val="both"/>
      </w:pPr>
      <w:r>
        <w:t>Le programme ci-dessous reproduit, dans l’ordre, l’ensemble des tableaux et des figures de ce document. Il suffit de modifier le chemin du dossier de travail (commande cd) pour l’exécuter. Les figures sont enregistrées dans le sous-dossier « graphiques ».</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PROJET D'ECONOMETRIE - L3 S1 - Année 2026-2027</w:t>
      </w:r>
    </w:p>
    <w:p>
      <w:pPr>
        <w:spacing w:after="0" w:line="240" w:lineRule="auto"/>
      </w:pPr>
      <w:r>
        <w:rPr>
          <w:rFonts w:ascii="Courier New" w:hAnsi="Courier New" w:eastAsia="Courier New"/>
          <w:sz w:val="15"/>
        </w:rPr>
        <w:t>**  Sujet : Déterminants du montant des emprunts contractés</w:t>
      </w:r>
    </w:p>
    <w:p>
      <w:pPr>
        <w:spacing w:after="0" w:line="240" w:lineRule="auto"/>
      </w:pPr>
      <w:r>
        <w:rPr>
          <w:rFonts w:ascii="Courier New" w:hAnsi="Courier New" w:eastAsia="Courier New"/>
          <w:sz w:val="15"/>
        </w:rPr>
        <w:t>**  Base  : SRCV1_menage (enquête SRCV 2015, INSEE - Eurostat)</w:t>
      </w:r>
    </w:p>
    <w:p>
      <w:pPr>
        <w:spacing w:after="0" w:line="240" w:lineRule="auto"/>
      </w:pPr>
      <w:r>
        <w:rPr>
          <w:rFonts w:ascii="Courier New" w:hAnsi="Courier New" w:eastAsia="Courier New"/>
          <w:sz w:val="15"/>
        </w:rPr>
        <w:t>**  Charles GIACOMOTTO et Lucas STANUCH</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VERSION INTERMEDIAIRE : Introduction + Partie 1 (statistiques descriptives)</w:t>
      </w:r>
    </w:p>
    <w:p>
      <w:pPr>
        <w:spacing w:after="0" w:line="240" w:lineRule="auto"/>
      </w:pPr>
      <w:r>
        <w:rPr>
          <w:rFonts w:ascii="Courier New" w:hAnsi="Courier New" w:eastAsia="Courier New"/>
          <w:sz w:val="15"/>
        </w:rPr>
        <w:t>**  Les numéros de tableaux et de figures en commentaire renvoient au rapport.</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clear all</w:t>
      </w:r>
    </w:p>
    <w:p>
      <w:pPr>
        <w:spacing w:after="0" w:line="240" w:lineRule="auto"/>
      </w:pPr>
      <w:r>
        <w:rPr>
          <w:rFonts w:ascii="Courier New" w:hAnsi="Courier New" w:eastAsia="Courier New"/>
          <w:sz w:val="15"/>
        </w:rPr>
        <w:t>set more off</w:t>
      </w:r>
    </w:p>
    <w:p>
      <w:pPr>
        <w:spacing w:after="0" w:line="240" w:lineRule="auto"/>
      </w:pPr>
      <w:r>
        <w:rPr>
          <w:rFonts w:ascii="Courier New" w:hAnsi="Courier New" w:eastAsia="Courier New"/>
          <w:sz w:val="15"/>
        </w:rPr>
        <w:t>set scheme s1color</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Dossier de travail (A MODIFIER) : il doit contenir le fichier base1.dta</w:t>
      </w:r>
    </w:p>
    <w:p>
      <w:pPr>
        <w:spacing w:after="0" w:line="240" w:lineRule="auto"/>
      </w:pPr>
      <w:r>
        <w:rPr>
          <w:rFonts w:ascii="Courier New" w:hAnsi="Courier New" w:eastAsia="Courier New"/>
          <w:sz w:val="15"/>
        </w:rPr>
        <w:t>cd "C:\Users\charles\Documents\L3\Econometrie\Projet"</w:t>
      </w:r>
    </w:p>
    <w:p>
      <w:pPr>
        <w:spacing w:after="0" w:line="240" w:lineRule="auto"/>
      </w:pPr>
      <w:r>
        <w:rPr>
          <w:rFonts w:ascii="Courier New" w:hAnsi="Courier New" w:eastAsia="Courier New"/>
          <w:sz w:val="15"/>
        </w:rPr>
        <w:t>capture mkdir "graphiques"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use base1, clear</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PARTIE 1 - 1. DESCRIPTION DE LA BASE DE DONNEES</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describe</w:t>
      </w:r>
    </w:p>
    <w:p>
      <w:pPr>
        <w:spacing w:after="0" w:line="240" w:lineRule="auto"/>
      </w:pPr>
      <w:r>
        <w:rPr>
          <w:rFonts w:ascii="Courier New" w:hAnsi="Courier New" w:eastAsia="Courier New"/>
          <w:sz w:val="15"/>
        </w:rPr>
        <w:t>count</w:t>
      </w:r>
    </w:p>
    <w:p>
      <w:pPr>
        <w:spacing w:after="0" w:line="240" w:lineRule="auto"/>
      </w:pPr>
      <w:r>
        <w:rPr>
          <w:rFonts w:ascii="Courier New" w:hAnsi="Courier New" w:eastAsia="Courier New"/>
          <w:sz w:val="15"/>
        </w:rPr>
        <w:t>** -&gt; 4 198 ménages et 20 variables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Tous les ménages de la base remboursent au moins un crédit :</w:t>
      </w:r>
    </w:p>
    <w:p>
      <w:pPr>
        <w:spacing w:after="0" w:line="240" w:lineRule="auto"/>
      </w:pPr>
      <w:r>
        <w:rPr>
          <w:rFonts w:ascii="Courier New" w:hAnsi="Courier New" w:eastAsia="Courier New"/>
          <w:sz w:val="15"/>
        </w:rPr>
        <w:t>sum nb_credits credits</w:t>
      </w:r>
    </w:p>
    <w:p>
      <w:pPr>
        <w:spacing w:after="0" w:line="240" w:lineRule="auto"/>
      </w:pPr>
      <w:r>
        <w:rPr>
          <w:rFonts w:ascii="Courier New" w:hAnsi="Courier New" w:eastAsia="Courier New"/>
          <w:sz w:val="15"/>
        </w:rPr>
        <w:t>** -&gt; nb_credits vaut au minimum 1 et credits est toujours &gt; 0 : la base ne contient</w:t>
      </w:r>
    </w:p>
    <w:p>
      <w:pPr>
        <w:spacing w:after="0" w:line="240" w:lineRule="auto"/>
      </w:pPr>
      <w:r>
        <w:rPr>
          <w:rFonts w:ascii="Courier New" w:hAnsi="Courier New" w:eastAsia="Courier New"/>
          <w:sz w:val="15"/>
        </w:rPr>
        <w:t>**    que des ménages endettés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PARTIE 1 - 2. SELECTION DE L'ECHANTILLON DE TRAVAIL</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2.a Distributions sur la base brute (4 198 ménages)</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Variable expliquée : montant mensuel des crédits à rembourser (Tableau 2)</w:t>
      </w:r>
    </w:p>
    <w:p>
      <w:pPr>
        <w:spacing w:after="0" w:line="240" w:lineRule="auto"/>
      </w:pPr>
      <w:r>
        <w:rPr>
          <w:rFonts w:ascii="Courier New" w:hAnsi="Courier New" w:eastAsia="Courier New"/>
          <w:sz w:val="15"/>
        </w:rPr>
        <w:t>codebook credits</w:t>
      </w:r>
    </w:p>
    <w:p>
      <w:pPr>
        <w:spacing w:after="0" w:line="240" w:lineRule="auto"/>
      </w:pPr>
      <w:r>
        <w:rPr>
          <w:rFonts w:ascii="Courier New" w:hAnsi="Courier New" w:eastAsia="Courier New"/>
          <w:sz w:val="15"/>
        </w:rPr>
        <w:t>sum credits, d</w:t>
      </w:r>
    </w:p>
    <w:p>
      <w:pPr>
        <w:spacing w:after="0" w:line="240" w:lineRule="auto"/>
      </w:pPr>
      <w:r>
        <w:rPr>
          <w:rFonts w:ascii="Courier New" w:hAnsi="Courier New" w:eastAsia="Courier New"/>
          <w:sz w:val="15"/>
        </w:rPr>
        <w:t>** -&gt; aucune valeur manquante ; min = 1 euro et max = 15 672 euros : valeurs extrêmes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Variables explicatives continues (Tableau 2)</w:t>
      </w:r>
    </w:p>
    <w:p>
      <w:pPr>
        <w:spacing w:after="0" w:line="240" w:lineRule="auto"/>
      </w:pPr>
      <w:r>
        <w:rPr>
          <w:rFonts w:ascii="Courier New" w:hAnsi="Courier New" w:eastAsia="Courier New"/>
          <w:sz w:val="15"/>
        </w:rPr>
        <w:t>sum agepr, d</w:t>
      </w:r>
    </w:p>
    <w:p>
      <w:pPr>
        <w:spacing w:after="0" w:line="240" w:lineRule="auto"/>
      </w:pPr>
      <w:r>
        <w:rPr>
          <w:rFonts w:ascii="Courier New" w:hAnsi="Courier New" w:eastAsia="Courier New"/>
          <w:sz w:val="15"/>
        </w:rPr>
        <w:t>count if missing(agepr)</w:t>
      </w:r>
    </w:p>
    <w:p>
      <w:pPr>
        <w:spacing w:after="0" w:line="240" w:lineRule="auto"/>
      </w:pPr>
      <w:r>
        <w:rPr>
          <w:rFonts w:ascii="Courier New" w:hAnsi="Courier New" w:eastAsia="Courier New"/>
          <w:sz w:val="15"/>
        </w:rPr>
        <w:t>** -&gt; 3 valeurs manquantes ; une personne de référence a 17 ans</w:t>
      </w:r>
    </w:p>
    <w:p>
      <w:pPr>
        <w:spacing w:after="0" w:line="240" w:lineRule="auto"/>
      </w:pPr>
      <w:r>
        <w:rPr>
          <w:rFonts w:ascii="Courier New" w:hAnsi="Courier New" w:eastAsia="Courier New"/>
          <w:sz w:val="15"/>
        </w:rPr>
        <w:t>sum totreven, d</w:t>
      </w:r>
    </w:p>
    <w:p>
      <w:pPr>
        <w:spacing w:after="0" w:line="240" w:lineRule="auto"/>
      </w:pPr>
      <w:r>
        <w:rPr>
          <w:rFonts w:ascii="Courier New" w:hAnsi="Courier New" w:eastAsia="Courier New"/>
          <w:sz w:val="15"/>
        </w:rPr>
        <w:t>count if missing(totreven)</w:t>
      </w:r>
    </w:p>
    <w:p>
      <w:pPr>
        <w:spacing w:after="0" w:line="240" w:lineRule="auto"/>
      </w:pPr>
      <w:r>
        <w:rPr>
          <w:rFonts w:ascii="Courier New" w:hAnsi="Courier New" w:eastAsia="Courier New"/>
          <w:sz w:val="15"/>
        </w:rPr>
        <w:t>** -&gt; 501 valeurs manquantes, soit 11,9 % des ménages (&gt; 5 %)</w:t>
      </w:r>
    </w:p>
    <w:p>
      <w:pPr>
        <w:spacing w:after="0" w:line="240" w:lineRule="auto"/>
      </w:pPr>
      <w:r>
        <w:rPr>
          <w:rFonts w:ascii="Courier New" w:hAnsi="Courier New" w:eastAsia="Courier New"/>
          <w:sz w:val="15"/>
        </w:rPr>
        <w:t>list totreven credits if totreven&lt;500</w:t>
      </w:r>
    </w:p>
    <w:p>
      <w:pPr>
        <w:spacing w:after="0" w:line="240" w:lineRule="auto"/>
      </w:pPr>
      <w:r>
        <w:rPr>
          <w:rFonts w:ascii="Courier New" w:hAnsi="Courier New" w:eastAsia="Courier New"/>
          <w:sz w:val="15"/>
        </w:rPr>
        <w:t>** -&gt; 3 revenus inférieurs à 500 euros (1, 150 et 300 euros) : non crédibles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Variables qualitatives (Tableaux 3 et 4)</w:t>
      </w:r>
    </w:p>
    <w:p>
      <w:pPr>
        <w:spacing w:after="0" w:line="240" w:lineRule="auto"/>
      </w:pPr>
      <w:r>
        <w:rPr>
          <w:rFonts w:ascii="Courier New" w:hAnsi="Courier New" w:eastAsia="Courier New"/>
          <w:sz w:val="15"/>
        </w:rPr>
        <w:t>tab sto credit_immo, m</w:t>
      </w:r>
    </w:p>
    <w:p>
      <w:pPr>
        <w:spacing w:after="0" w:line="240" w:lineRule="auto"/>
      </w:pPr>
      <w:r>
        <w:rPr>
          <w:rFonts w:ascii="Courier New" w:hAnsi="Courier New" w:eastAsia="Courier New"/>
          <w:sz w:val="15"/>
        </w:rPr>
        <w:t>tab1 nb_credits motif_a nenfants cs24pr tuu10 typlog, m</w:t>
      </w:r>
    </w:p>
    <w:p>
      <w:pPr>
        <w:spacing w:after="0" w:line="240" w:lineRule="auto"/>
      </w:pPr>
      <w:r>
        <w:rPr>
          <w:rFonts w:ascii="Courier New" w:hAnsi="Courier New" w:eastAsia="Courier New"/>
          <w:sz w:val="15"/>
        </w:rPr>
        <w:t>** -&gt; valeurs manquantes : cs24pr (66, soit 1,6 %) et typlog (80, soit 1,9 %)</w:t>
      </w:r>
    </w:p>
    <w:p>
      <w:pPr>
        <w:spacing w:after="0" w:line="240" w:lineRule="auto"/>
      </w:pPr>
      <w:r>
        <w:rPr>
          <w:rFonts w:ascii="Courier New" w:hAnsi="Courier New" w:eastAsia="Courier New"/>
          <w:sz w:val="15"/>
        </w:rPr>
        <w:t>** -&gt; modalités à faible effectif : nb_credits &gt;= 3, nenfants &gt;= 4, typlog = 6 ou 7, etc.</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2.b Nettoyage de la base (Tableau 5)</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Etape 1 : valeurs atypiques de la variable expliquée</w:t>
      </w:r>
    </w:p>
    <w:p>
      <w:pPr>
        <w:spacing w:after="0" w:line="240" w:lineRule="auto"/>
      </w:pPr>
      <w:r>
        <w:rPr>
          <w:rFonts w:ascii="Courier New" w:hAnsi="Courier New" w:eastAsia="Courier New"/>
          <w:sz w:val="15"/>
        </w:rPr>
        <w:t>** On conserve les ménages situés entre le 1er et le 99e centile des mensualités</w:t>
      </w:r>
    </w:p>
    <w:p>
      <w:pPr>
        <w:spacing w:after="0" w:line="240" w:lineRule="auto"/>
      </w:pPr>
      <w:r>
        <w:rPr>
          <w:rFonts w:ascii="Courier New" w:hAnsi="Courier New" w:eastAsia="Courier New"/>
          <w:sz w:val="15"/>
        </w:rPr>
        <w:t>sum credits, d</w:t>
      </w:r>
    </w:p>
    <w:p>
      <w:pPr>
        <w:spacing w:after="0" w:line="240" w:lineRule="auto"/>
      </w:pPr>
      <w:r>
        <w:rPr>
          <w:rFonts w:ascii="Courier New" w:hAnsi="Courier New" w:eastAsia="Courier New"/>
          <w:sz w:val="15"/>
        </w:rPr>
        <w:t>keep if inrange(credits, r(p1), r(p99))</w:t>
      </w:r>
    </w:p>
    <w:p>
      <w:pPr>
        <w:spacing w:after="0" w:line="240" w:lineRule="auto"/>
      </w:pPr>
      <w:r>
        <w:rPr>
          <w:rFonts w:ascii="Courier New" w:hAnsi="Courier New" w:eastAsia="Courier New"/>
          <w:sz w:val="15"/>
        </w:rPr>
        <w:t>count</w:t>
      </w:r>
    </w:p>
    <w:p>
      <w:pPr>
        <w:spacing w:after="0" w:line="240" w:lineRule="auto"/>
      </w:pPr>
      <w:r>
        <w:rPr>
          <w:rFonts w:ascii="Courier New" w:hAnsi="Courier New" w:eastAsia="Courier New"/>
          <w:sz w:val="15"/>
        </w:rPr>
        <w:t>** -&gt; 81 observations supprimées, il reste 4 117 ménages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Etape 2 : âge de la personne de référence</w:t>
      </w:r>
    </w:p>
    <w:p>
      <w:pPr>
        <w:spacing w:after="0" w:line="240" w:lineRule="auto"/>
      </w:pPr>
      <w:r>
        <w:rPr>
          <w:rFonts w:ascii="Courier New" w:hAnsi="Courier New" w:eastAsia="Courier New"/>
          <w:sz w:val="15"/>
        </w:rPr>
        <w:t>drop if missing(agepr)</w:t>
      </w:r>
    </w:p>
    <w:p>
      <w:pPr>
        <w:spacing w:after="0" w:line="240" w:lineRule="auto"/>
      </w:pPr>
      <w:r>
        <w:rPr>
          <w:rFonts w:ascii="Courier New" w:hAnsi="Courier New" w:eastAsia="Courier New"/>
          <w:sz w:val="15"/>
        </w:rPr>
        <w:t>** -&gt; 2 observations supprimées</w:t>
      </w:r>
    </w:p>
    <w:p>
      <w:pPr>
        <w:spacing w:after="0" w:line="240" w:lineRule="auto"/>
      </w:pPr>
      <w:r>
        <w:rPr>
          <w:rFonts w:ascii="Courier New" w:hAnsi="Courier New" w:eastAsia="Courier New"/>
          <w:sz w:val="15"/>
        </w:rPr>
        <w:t>drop if agepr&lt;18</w:t>
      </w:r>
    </w:p>
    <w:p>
      <w:pPr>
        <w:spacing w:after="0" w:line="240" w:lineRule="auto"/>
      </w:pPr>
      <w:r>
        <w:rPr>
          <w:rFonts w:ascii="Courier New" w:hAnsi="Courier New" w:eastAsia="Courier New"/>
          <w:sz w:val="15"/>
        </w:rPr>
        <w:t>** -&gt; 1 observation supprimée (personne de référence âgée de 17 ans)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Etape 3 : revenu mensuel du ménage</w:t>
      </w:r>
    </w:p>
    <w:p>
      <w:pPr>
        <w:spacing w:after="0" w:line="240" w:lineRule="auto"/>
      </w:pPr>
      <w:r>
        <w:rPr>
          <w:rFonts w:ascii="Courier New" w:hAnsi="Courier New" w:eastAsia="Courier New"/>
          <w:sz w:val="15"/>
        </w:rPr>
        <w:t>drop if totreven&lt;500</w:t>
      </w:r>
    </w:p>
    <w:p>
      <w:pPr>
        <w:spacing w:after="0" w:line="240" w:lineRule="auto"/>
      </w:pPr>
      <w:r>
        <w:rPr>
          <w:rFonts w:ascii="Courier New" w:hAnsi="Courier New" w:eastAsia="Courier New"/>
          <w:sz w:val="15"/>
        </w:rPr>
        <w:t>** -&gt; 2 observations supprimées (revenus de 150 et 300 euros)</w:t>
      </w:r>
    </w:p>
    <w:p>
      <w:pPr>
        <w:spacing w:after="0" w:line="240" w:lineRule="auto"/>
      </w:pPr>
      <w:r>
        <w:rPr>
          <w:rFonts w:ascii="Courier New" w:hAnsi="Courier New" w:eastAsia="Courier New"/>
          <w:sz w:val="15"/>
        </w:rPr>
        <w:t>** (le ménage déclarant 1 euro de revenu a déjà été supprimé à l'étape 1)</w:t>
      </w:r>
    </w:p>
    <w:p>
      <w:pPr>
        <w:spacing w:after="0" w:line="240" w:lineRule="auto"/>
      </w:pPr>
      <w:r>
        <w:rPr>
          <w:rFonts w:ascii="Courier New" w:hAnsi="Courier New" w:eastAsia="Courier New"/>
          <w:sz w:val="15"/>
        </w:rPr>
        <w:t>gen double taux_effort = credits/totreven</w:t>
      </w:r>
    </w:p>
    <w:p>
      <w:pPr>
        <w:spacing w:after="0" w:line="240" w:lineRule="auto"/>
      </w:pPr>
      <w:r>
        <w:rPr>
          <w:rFonts w:ascii="Courier New" w:hAnsi="Courier New" w:eastAsia="Courier New"/>
          <w:sz w:val="15"/>
        </w:rPr>
        <w:t>list totreven credits if taux_effort&gt;1 &amp; !missing(taux_effort)</w:t>
      </w:r>
    </w:p>
    <w:p>
      <w:pPr>
        <w:spacing w:after="0" w:line="240" w:lineRule="auto"/>
      </w:pPr>
      <w:r>
        <w:rPr>
          <w:rFonts w:ascii="Courier New" w:hAnsi="Courier New" w:eastAsia="Courier New"/>
          <w:sz w:val="15"/>
        </w:rPr>
        <w:t>drop if taux_effort&gt;1 &amp; !missing(taux_effort)</w:t>
      </w:r>
    </w:p>
    <w:p>
      <w:pPr>
        <w:spacing w:after="0" w:line="240" w:lineRule="auto"/>
      </w:pPr>
      <w:r>
        <w:rPr>
          <w:rFonts w:ascii="Courier New" w:hAnsi="Courier New" w:eastAsia="Courier New"/>
          <w:sz w:val="15"/>
        </w:rPr>
        <w:t>** -&gt; 3 observations supprimées : mensualités supérieures au revenu mensuel déclaré</w:t>
      </w:r>
    </w:p>
    <w:p>
      <w:pPr>
        <w:spacing w:after="0" w:line="240" w:lineRule="auto"/>
      </w:pPr>
      <w:r>
        <w:rPr>
          <w:rFonts w:ascii="Courier New" w:hAnsi="Courier New" w:eastAsia="Courier New"/>
          <w:sz w:val="15"/>
        </w:rPr>
        <w:t>count if missing(totreven)</w:t>
      </w:r>
    </w:p>
    <w:p>
      <w:pPr>
        <w:spacing w:after="0" w:line="240" w:lineRule="auto"/>
      </w:pPr>
      <w:r>
        <w:rPr>
          <w:rFonts w:ascii="Courier New" w:hAnsi="Courier New" w:eastAsia="Courier New"/>
          <w:sz w:val="15"/>
        </w:rPr>
        <w:t>** -&gt; 485 revenus manquants (11,8 % &gt; 5 %) : on garde ces ménages et on crée</w:t>
      </w:r>
    </w:p>
    <w:p>
      <w:pPr>
        <w:spacing w:after="0" w:line="240" w:lineRule="auto"/>
      </w:pPr>
      <w:r>
        <w:rPr>
          <w:rFonts w:ascii="Courier New" w:hAnsi="Courier New" w:eastAsia="Courier New"/>
          <w:sz w:val="15"/>
        </w:rPr>
        <w:t>**    une tranche "revenu non déclaré" (voir plus bas)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Etape 4 : variables qualitatives</w:t>
      </w:r>
    </w:p>
    <w:p>
      <w:pPr>
        <w:spacing w:after="0" w:line="240" w:lineRule="auto"/>
      </w:pPr>
      <w:r>
        <w:rPr>
          <w:rFonts w:ascii="Courier New" w:hAnsi="Courier New" w:eastAsia="Courier New"/>
          <w:sz w:val="15"/>
        </w:rPr>
        <w:t>drop if missing(cs24pr)</w:t>
      </w:r>
    </w:p>
    <w:p>
      <w:pPr>
        <w:spacing w:after="0" w:line="240" w:lineRule="auto"/>
      </w:pPr>
      <w:r>
        <w:rPr>
          <w:rFonts w:ascii="Courier New" w:hAnsi="Courier New" w:eastAsia="Courier New"/>
          <w:sz w:val="15"/>
        </w:rPr>
        <w:t>** -&gt; 63 observations supprimées</w:t>
      </w:r>
    </w:p>
    <w:p>
      <w:pPr>
        <w:spacing w:after="0" w:line="240" w:lineRule="auto"/>
      </w:pPr>
      <w:r>
        <w:rPr>
          <w:rFonts w:ascii="Courier New" w:hAnsi="Courier New" w:eastAsia="Courier New"/>
          <w:sz w:val="15"/>
        </w:rPr>
        <w:t>drop if missing(typlog)</w:t>
      </w:r>
    </w:p>
    <w:p>
      <w:pPr>
        <w:spacing w:after="0" w:line="240" w:lineRule="auto"/>
      </w:pPr>
      <w:r>
        <w:rPr>
          <w:rFonts w:ascii="Courier New" w:hAnsi="Courier New" w:eastAsia="Courier New"/>
          <w:sz w:val="15"/>
        </w:rPr>
        <w:t>** -&gt; 76 observations supprimées</w:t>
      </w:r>
    </w:p>
    <w:p>
      <w:pPr>
        <w:spacing w:after="0" w:line="240" w:lineRule="auto"/>
      </w:pPr>
      <w:r>
        <w:rPr>
          <w:rFonts w:ascii="Courier New" w:hAnsi="Courier New" w:eastAsia="Courier New"/>
          <w:sz w:val="15"/>
        </w:rPr>
        <w:t>drop if typlog==6 | typlog==7</w:t>
      </w:r>
    </w:p>
    <w:p>
      <w:pPr>
        <w:spacing w:after="0" w:line="240" w:lineRule="auto"/>
      </w:pPr>
      <w:r>
        <w:rPr>
          <w:rFonts w:ascii="Courier New" w:hAnsi="Courier New" w:eastAsia="Courier New"/>
          <w:sz w:val="15"/>
        </w:rPr>
        <w:t>** -&gt; 8 observations supprimées (habitations précaires et autres types de logement)</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count</w:t>
      </w:r>
    </w:p>
    <w:p>
      <w:pPr>
        <w:spacing w:after="0" w:line="240" w:lineRule="auto"/>
      </w:pPr>
      <w:r>
        <w:rPr>
          <w:rFonts w:ascii="Courier New" w:hAnsi="Courier New" w:eastAsia="Courier New"/>
          <w:sz w:val="15"/>
        </w:rPr>
        <w:t>** -&gt; ECHANTILLON DE TRAVAIL : 3 962 ménages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2.c Création et regroupement des variables</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Variable expliquée en logarithme</w:t>
      </w:r>
    </w:p>
    <w:p>
      <w:pPr>
        <w:spacing w:after="0" w:line="240" w:lineRule="auto"/>
      </w:pPr>
      <w:r>
        <w:rPr>
          <w:rFonts w:ascii="Courier New" w:hAnsi="Courier New" w:eastAsia="Courier New"/>
          <w:sz w:val="15"/>
        </w:rPr>
        <w:t>gen double lncredits = ln(credits)</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Revenu : logarithme (ménages ayant déclaré leur revenu) et tranches</w:t>
      </w:r>
    </w:p>
    <w:p>
      <w:pPr>
        <w:spacing w:after="0" w:line="240" w:lineRule="auto"/>
      </w:pPr>
      <w:r>
        <w:rPr>
          <w:rFonts w:ascii="Courier New" w:hAnsi="Courier New" w:eastAsia="Courier New"/>
          <w:sz w:val="15"/>
        </w:rPr>
        <w:t>gen double lnrevenu = ln(totreven)</w:t>
      </w:r>
    </w:p>
    <w:p>
      <w:pPr>
        <w:spacing w:after="0" w:line="240" w:lineRule="auto"/>
      </w:pPr>
      <w:r>
        <w:rPr>
          <w:rFonts w:ascii="Courier New" w:hAnsi="Courier New" w:eastAsia="Courier New"/>
          <w:sz w:val="15"/>
        </w:rPr>
        <w:t>gen revenu_tr = .</w:t>
      </w:r>
    </w:p>
    <w:p>
      <w:pPr>
        <w:spacing w:after="0" w:line="240" w:lineRule="auto"/>
      </w:pPr>
      <w:r>
        <w:rPr>
          <w:rFonts w:ascii="Courier New" w:hAnsi="Courier New" w:eastAsia="Courier New"/>
          <w:sz w:val="15"/>
        </w:rPr>
        <w:t>replace revenu_tr = 1 if totreven&lt;2000</w:t>
      </w:r>
    </w:p>
    <w:p>
      <w:pPr>
        <w:spacing w:after="0" w:line="240" w:lineRule="auto"/>
      </w:pPr>
      <w:r>
        <w:rPr>
          <w:rFonts w:ascii="Courier New" w:hAnsi="Courier New" w:eastAsia="Courier New"/>
          <w:sz w:val="15"/>
        </w:rPr>
        <w:t>replace revenu_tr = 2 if totreven&gt;=2000 &amp; totreven&lt;3000</w:t>
      </w:r>
    </w:p>
    <w:p>
      <w:pPr>
        <w:spacing w:after="0" w:line="240" w:lineRule="auto"/>
      </w:pPr>
      <w:r>
        <w:rPr>
          <w:rFonts w:ascii="Courier New" w:hAnsi="Courier New" w:eastAsia="Courier New"/>
          <w:sz w:val="15"/>
        </w:rPr>
        <w:t>replace revenu_tr = 3 if totreven&gt;=3000 &amp; totreven&lt;4000</w:t>
      </w:r>
    </w:p>
    <w:p>
      <w:pPr>
        <w:spacing w:after="0" w:line="240" w:lineRule="auto"/>
      </w:pPr>
      <w:r>
        <w:rPr>
          <w:rFonts w:ascii="Courier New" w:hAnsi="Courier New" w:eastAsia="Courier New"/>
          <w:sz w:val="15"/>
        </w:rPr>
        <w:t>replace revenu_tr = 4 if totreven&gt;=4000 &amp; totreven&lt;5000</w:t>
      </w:r>
    </w:p>
    <w:p>
      <w:pPr>
        <w:spacing w:after="0" w:line="240" w:lineRule="auto"/>
      </w:pPr>
      <w:r>
        <w:rPr>
          <w:rFonts w:ascii="Courier New" w:hAnsi="Courier New" w:eastAsia="Courier New"/>
          <w:sz w:val="15"/>
        </w:rPr>
        <w:t>replace revenu_tr = 5 if totreven&gt;=5000 &amp; !missing(totreven)</w:t>
      </w:r>
    </w:p>
    <w:p>
      <w:pPr>
        <w:spacing w:after="0" w:line="240" w:lineRule="auto"/>
      </w:pPr>
      <w:r>
        <w:rPr>
          <w:rFonts w:ascii="Courier New" w:hAnsi="Courier New" w:eastAsia="Courier New"/>
          <w:sz w:val="15"/>
        </w:rPr>
        <w:t>replace revenu_tr = 6 if missing(totreven)</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Statut d'occupation croisé avec le crédit immobilier sur la résidence principale</w:t>
      </w:r>
    </w:p>
    <w:p>
      <w:pPr>
        <w:spacing w:after="0" w:line="240" w:lineRule="auto"/>
      </w:pPr>
      <w:r>
        <w:rPr>
          <w:rFonts w:ascii="Courier New" w:hAnsi="Courier New" w:eastAsia="Courier New"/>
          <w:sz w:val="15"/>
        </w:rPr>
        <w:t>** (credit_immo = 1 uniquement pour des propriétaires : voir tab sto credit_immo)</w:t>
      </w:r>
    </w:p>
    <w:p>
      <w:pPr>
        <w:spacing w:after="0" w:line="240" w:lineRule="auto"/>
      </w:pPr>
      <w:r>
        <w:rPr>
          <w:rFonts w:ascii="Courier New" w:hAnsi="Courier New" w:eastAsia="Courier New"/>
          <w:sz w:val="15"/>
        </w:rPr>
        <w:t>gen statut = .</w:t>
      </w:r>
    </w:p>
    <w:p>
      <w:pPr>
        <w:spacing w:after="0" w:line="240" w:lineRule="auto"/>
      </w:pPr>
      <w:r>
        <w:rPr>
          <w:rFonts w:ascii="Courier New" w:hAnsi="Courier New" w:eastAsia="Courier New"/>
          <w:sz w:val="15"/>
        </w:rPr>
        <w:t>replace statut = 1 if credit_immo==1</w:t>
      </w:r>
    </w:p>
    <w:p>
      <w:pPr>
        <w:spacing w:after="0" w:line="240" w:lineRule="auto"/>
      </w:pPr>
      <w:r>
        <w:rPr>
          <w:rFonts w:ascii="Courier New" w:hAnsi="Courier New" w:eastAsia="Courier New"/>
          <w:sz w:val="15"/>
        </w:rPr>
        <w:t>replace statut = 2 if sto==1 &amp; credit_immo==0</w:t>
      </w:r>
    </w:p>
    <w:p>
      <w:pPr>
        <w:spacing w:after="0" w:line="240" w:lineRule="auto"/>
      </w:pPr>
      <w:r>
        <w:rPr>
          <w:rFonts w:ascii="Courier New" w:hAnsi="Courier New" w:eastAsia="Courier New"/>
          <w:sz w:val="15"/>
        </w:rPr>
        <w:t>replace statut = 3 if sto==2 | sto==3</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Nombre de crédits : 1 / 2 ou plus</w:t>
      </w:r>
    </w:p>
    <w:p>
      <w:pPr>
        <w:spacing w:after="0" w:line="240" w:lineRule="auto"/>
      </w:pPr>
      <w:r>
        <w:rPr>
          <w:rFonts w:ascii="Courier New" w:hAnsi="Courier New" w:eastAsia="Courier New"/>
          <w:sz w:val="15"/>
        </w:rPr>
        <w:t>gen plusieurs_credits = (nb_credits&gt;=2)</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Crédit pour un bien immobilier autre que la résidence principale</w:t>
      </w:r>
    </w:p>
    <w:p>
      <w:pPr>
        <w:spacing w:after="0" w:line="240" w:lineRule="auto"/>
      </w:pPr>
      <w:r>
        <w:rPr>
          <w:rFonts w:ascii="Courier New" w:hAnsi="Courier New" w:eastAsia="Courier New"/>
          <w:sz w:val="15"/>
        </w:rPr>
        <w:t>gen autre_immo = motif_a</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Nombre d'enfants : 0 / 1 / 2 / 3 ou plus</w:t>
      </w:r>
    </w:p>
    <w:p>
      <w:pPr>
        <w:spacing w:after="0" w:line="240" w:lineRule="auto"/>
      </w:pPr>
      <w:r>
        <w:rPr>
          <w:rFonts w:ascii="Courier New" w:hAnsi="Courier New" w:eastAsia="Courier New"/>
          <w:sz w:val="15"/>
        </w:rPr>
        <w:t>gen enfants = nenfants</w:t>
      </w:r>
    </w:p>
    <w:p>
      <w:pPr>
        <w:spacing w:after="0" w:line="240" w:lineRule="auto"/>
      </w:pPr>
      <w:r>
        <w:rPr>
          <w:rFonts w:ascii="Courier New" w:hAnsi="Courier New" w:eastAsia="Courier New"/>
          <w:sz w:val="15"/>
        </w:rPr>
        <w:t>replace enfants = 3 if nenfants&gt;=3</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CSP de la personne de référence en 6 groupes</w:t>
      </w:r>
    </w:p>
    <w:p>
      <w:pPr>
        <w:spacing w:after="0" w:line="240" w:lineRule="auto"/>
      </w:pPr>
      <w:r>
        <w:rPr>
          <w:rFonts w:ascii="Courier New" w:hAnsi="Courier New" w:eastAsia="Courier New"/>
          <w:sz w:val="15"/>
        </w:rPr>
        <w:t>gen csp = .</w:t>
      </w:r>
    </w:p>
    <w:p>
      <w:pPr>
        <w:spacing w:after="0" w:line="240" w:lineRule="auto"/>
      </w:pPr>
      <w:r>
        <w:rPr>
          <w:rFonts w:ascii="Courier New" w:hAnsi="Courier New" w:eastAsia="Courier New"/>
          <w:sz w:val="15"/>
        </w:rPr>
        <w:t>replace csp = 1 if cs24pr&gt;=10 &amp; cs24pr&lt;=23</w:t>
      </w:r>
    </w:p>
    <w:p>
      <w:pPr>
        <w:spacing w:after="0" w:line="240" w:lineRule="auto"/>
      </w:pPr>
      <w:r>
        <w:rPr>
          <w:rFonts w:ascii="Courier New" w:hAnsi="Courier New" w:eastAsia="Courier New"/>
          <w:sz w:val="15"/>
        </w:rPr>
        <w:t>replace csp = 2 if cs24pr&gt;=31 &amp; cs24pr&lt;=36</w:t>
      </w:r>
    </w:p>
    <w:p>
      <w:pPr>
        <w:spacing w:after="0" w:line="240" w:lineRule="auto"/>
      </w:pPr>
      <w:r>
        <w:rPr>
          <w:rFonts w:ascii="Courier New" w:hAnsi="Courier New" w:eastAsia="Courier New"/>
          <w:sz w:val="15"/>
        </w:rPr>
        <w:t>replace csp = 3 if cs24pr&gt;=41 &amp; cs24pr&lt;=48</w:t>
      </w:r>
    </w:p>
    <w:p>
      <w:pPr>
        <w:spacing w:after="0" w:line="240" w:lineRule="auto"/>
      </w:pPr>
      <w:r>
        <w:rPr>
          <w:rFonts w:ascii="Courier New" w:hAnsi="Courier New" w:eastAsia="Courier New"/>
          <w:sz w:val="15"/>
        </w:rPr>
        <w:t>replace csp = 4 if cs24pr&gt;=51 &amp; cs24pr&lt;=56</w:t>
      </w:r>
    </w:p>
    <w:p>
      <w:pPr>
        <w:spacing w:after="0" w:line="240" w:lineRule="auto"/>
      </w:pPr>
      <w:r>
        <w:rPr>
          <w:rFonts w:ascii="Courier New" w:hAnsi="Courier New" w:eastAsia="Courier New"/>
          <w:sz w:val="15"/>
        </w:rPr>
        <w:t>replace csp = 5 if cs24pr&gt;=61 &amp; cs24pr&lt;=69</w:t>
      </w:r>
    </w:p>
    <w:p>
      <w:pPr>
        <w:spacing w:after="0" w:line="240" w:lineRule="auto"/>
      </w:pPr>
      <w:r>
        <w:rPr>
          <w:rFonts w:ascii="Courier New" w:hAnsi="Courier New" w:eastAsia="Courier New"/>
          <w:sz w:val="15"/>
        </w:rPr>
        <w:t>replace csp = 6 if cs24pr&gt;=71 &amp; cs24pr&lt;=82</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Taille de l'unité urbaine en 5 groupes</w:t>
      </w:r>
    </w:p>
    <w:p>
      <w:pPr>
        <w:spacing w:after="0" w:line="240" w:lineRule="auto"/>
      </w:pPr>
      <w:r>
        <w:rPr>
          <w:rFonts w:ascii="Courier New" w:hAnsi="Courier New" w:eastAsia="Courier New"/>
          <w:sz w:val="15"/>
        </w:rPr>
        <w:t>gen uu = .</w:t>
      </w:r>
    </w:p>
    <w:p>
      <w:pPr>
        <w:spacing w:after="0" w:line="240" w:lineRule="auto"/>
      </w:pPr>
      <w:r>
        <w:rPr>
          <w:rFonts w:ascii="Courier New" w:hAnsi="Courier New" w:eastAsia="Courier New"/>
          <w:sz w:val="15"/>
        </w:rPr>
        <w:t>replace uu = 1 if tuu10==0</w:t>
      </w:r>
    </w:p>
    <w:p>
      <w:pPr>
        <w:spacing w:after="0" w:line="240" w:lineRule="auto"/>
      </w:pPr>
      <w:r>
        <w:rPr>
          <w:rFonts w:ascii="Courier New" w:hAnsi="Courier New" w:eastAsia="Courier New"/>
          <w:sz w:val="15"/>
        </w:rPr>
        <w:t>replace uu = 2 if tuu10&gt;=1 &amp; tuu10&lt;=3</w:t>
      </w:r>
    </w:p>
    <w:p>
      <w:pPr>
        <w:spacing w:after="0" w:line="240" w:lineRule="auto"/>
      </w:pPr>
      <w:r>
        <w:rPr>
          <w:rFonts w:ascii="Courier New" w:hAnsi="Courier New" w:eastAsia="Courier New"/>
          <w:sz w:val="15"/>
        </w:rPr>
        <w:t>replace uu = 3 if tuu10&gt;=4 &amp; tuu10&lt;=6</w:t>
      </w:r>
    </w:p>
    <w:p>
      <w:pPr>
        <w:spacing w:after="0" w:line="240" w:lineRule="auto"/>
      </w:pPr>
      <w:r>
        <w:rPr>
          <w:rFonts w:ascii="Courier New" w:hAnsi="Courier New" w:eastAsia="Courier New"/>
          <w:sz w:val="15"/>
        </w:rPr>
        <w:t>replace uu = 4 if tuu10==7</w:t>
      </w:r>
    </w:p>
    <w:p>
      <w:pPr>
        <w:spacing w:after="0" w:line="240" w:lineRule="auto"/>
      </w:pPr>
      <w:r>
        <w:rPr>
          <w:rFonts w:ascii="Courier New" w:hAnsi="Courier New" w:eastAsia="Courier New"/>
          <w:sz w:val="15"/>
        </w:rPr>
        <w:t>replace uu = 5 if tuu10==8</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Type de logement : maison / appartement</w:t>
      </w:r>
    </w:p>
    <w:p>
      <w:pPr>
        <w:spacing w:after="0" w:line="240" w:lineRule="auto"/>
      </w:pPr>
      <w:r>
        <w:rPr>
          <w:rFonts w:ascii="Courier New" w:hAnsi="Courier New" w:eastAsia="Courier New"/>
          <w:sz w:val="15"/>
        </w:rPr>
        <w:t>gen maison = (typlog&lt;=2)</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Libellés des variables</w:t>
      </w:r>
    </w:p>
    <w:p>
      <w:pPr>
        <w:spacing w:after="0" w:line="240" w:lineRule="auto"/>
      </w:pPr>
      <w:r>
        <w:rPr>
          <w:rFonts w:ascii="Courier New" w:hAnsi="Courier New" w:eastAsia="Courier New"/>
          <w:sz w:val="15"/>
        </w:rPr>
        <w:t>label variable credits "Mensualités de remboursement des crédits (euros)"</w:t>
      </w:r>
    </w:p>
    <w:p>
      <w:pPr>
        <w:spacing w:after="0" w:line="240" w:lineRule="auto"/>
      </w:pPr>
      <w:r>
        <w:rPr>
          <w:rFonts w:ascii="Courier New" w:hAnsi="Courier New" w:eastAsia="Courier New"/>
          <w:sz w:val="15"/>
        </w:rPr>
        <w:t>label variable lncredits "Logarithme des mensualités de remboursement"</w:t>
      </w:r>
    </w:p>
    <w:p>
      <w:pPr>
        <w:spacing w:after="0" w:line="240" w:lineRule="auto"/>
      </w:pPr>
      <w:r>
        <w:rPr>
          <w:rFonts w:ascii="Courier New" w:hAnsi="Courier New" w:eastAsia="Courier New"/>
          <w:sz w:val="15"/>
        </w:rPr>
        <w:t>label variable agepr "Âge de la personne de référence"</w:t>
      </w:r>
    </w:p>
    <w:p>
      <w:pPr>
        <w:spacing w:after="0" w:line="240" w:lineRule="auto"/>
      </w:pPr>
      <w:r>
        <w:rPr>
          <w:rFonts w:ascii="Courier New" w:hAnsi="Courier New" w:eastAsia="Courier New"/>
          <w:sz w:val="15"/>
        </w:rPr>
        <w:t>label variable totreven "Revenu mensuel du ménage (euros)"</w:t>
      </w:r>
    </w:p>
    <w:p>
      <w:pPr>
        <w:spacing w:after="0" w:line="240" w:lineRule="auto"/>
      </w:pPr>
      <w:r>
        <w:rPr>
          <w:rFonts w:ascii="Courier New" w:hAnsi="Courier New" w:eastAsia="Courier New"/>
          <w:sz w:val="15"/>
        </w:rPr>
        <w:t>label variable lnrevenu "Logarithme du revenu mensuel du ménage"</w:t>
      </w:r>
    </w:p>
    <w:p>
      <w:pPr>
        <w:spacing w:after="0" w:line="240" w:lineRule="auto"/>
      </w:pPr>
      <w:r>
        <w:rPr>
          <w:rFonts w:ascii="Courier New" w:hAnsi="Courier New" w:eastAsia="Courier New"/>
          <w:sz w:val="15"/>
        </w:rPr>
        <w:t>label variable revenu_tr "Revenu mensuel du ménage"</w:t>
      </w:r>
    </w:p>
    <w:p>
      <w:pPr>
        <w:spacing w:after="0" w:line="240" w:lineRule="auto"/>
      </w:pPr>
      <w:r>
        <w:rPr>
          <w:rFonts w:ascii="Courier New" w:hAnsi="Courier New" w:eastAsia="Courier New"/>
          <w:sz w:val="15"/>
        </w:rPr>
        <w:t>label variable statut "Statut d'occupation du logement"</w:t>
      </w:r>
    </w:p>
    <w:p>
      <w:pPr>
        <w:spacing w:after="0" w:line="240" w:lineRule="auto"/>
      </w:pPr>
      <w:r>
        <w:rPr>
          <w:rFonts w:ascii="Courier New" w:hAnsi="Courier New" w:eastAsia="Courier New"/>
          <w:sz w:val="15"/>
        </w:rPr>
        <w:t>label variable plusieurs_credits "Nombre de crédits en cours"</w:t>
      </w:r>
    </w:p>
    <w:p>
      <w:pPr>
        <w:spacing w:after="0" w:line="240" w:lineRule="auto"/>
      </w:pPr>
      <w:r>
        <w:rPr>
          <w:rFonts w:ascii="Courier New" w:hAnsi="Courier New" w:eastAsia="Courier New"/>
          <w:sz w:val="15"/>
        </w:rPr>
        <w:t>label variable autre_immo "Crédit pour un autre bien immobilier"</w:t>
      </w:r>
    </w:p>
    <w:p>
      <w:pPr>
        <w:spacing w:after="0" w:line="240" w:lineRule="auto"/>
      </w:pPr>
      <w:r>
        <w:rPr>
          <w:rFonts w:ascii="Courier New" w:hAnsi="Courier New" w:eastAsia="Courier New"/>
          <w:sz w:val="15"/>
        </w:rPr>
        <w:t>label variable enfants "Nombre d'enfants dans le ménage"</w:t>
      </w:r>
    </w:p>
    <w:p>
      <w:pPr>
        <w:spacing w:after="0" w:line="240" w:lineRule="auto"/>
      </w:pPr>
      <w:r>
        <w:rPr>
          <w:rFonts w:ascii="Courier New" w:hAnsi="Courier New" w:eastAsia="Courier New"/>
          <w:sz w:val="15"/>
        </w:rPr>
        <w:t>label variable csp "CSP de la personne de référence"</w:t>
      </w:r>
    </w:p>
    <w:p>
      <w:pPr>
        <w:spacing w:after="0" w:line="240" w:lineRule="auto"/>
      </w:pPr>
      <w:r>
        <w:rPr>
          <w:rFonts w:ascii="Courier New" w:hAnsi="Courier New" w:eastAsia="Courier New"/>
          <w:sz w:val="15"/>
        </w:rPr>
        <w:t>label variable uu "Taille de l'unité urbaine"</w:t>
      </w:r>
    </w:p>
    <w:p>
      <w:pPr>
        <w:spacing w:after="0" w:line="240" w:lineRule="auto"/>
      </w:pPr>
      <w:r>
        <w:rPr>
          <w:rFonts w:ascii="Courier New" w:hAnsi="Courier New" w:eastAsia="Courier New"/>
          <w:sz w:val="15"/>
        </w:rPr>
        <w:t>label variable maison "Type de logement"</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Libellés des modalités</w:t>
      </w:r>
    </w:p>
    <w:p>
      <w:pPr>
        <w:spacing w:after="0" w:line="240" w:lineRule="auto"/>
      </w:pPr>
      <w:r>
        <w:rPr>
          <w:rFonts w:ascii="Courier New" w:hAnsi="Courier New" w:eastAsia="Courier New"/>
          <w:sz w:val="15"/>
        </w:rPr>
        <w:t>label define lab_rev 1 "Moins de 2 000 €" 2 "2 000 à 2 999 €" 3 "3 000 à 3 999 €" 4 "4 000 à 4 999 €" 5 "5 000 € et plus" 6 "Revenu non déclaré"</w:t>
      </w:r>
    </w:p>
    <w:p>
      <w:pPr>
        <w:spacing w:after="0" w:line="240" w:lineRule="auto"/>
      </w:pPr>
      <w:r>
        <w:rPr>
          <w:rFonts w:ascii="Courier New" w:hAnsi="Courier New" w:eastAsia="Courier New"/>
          <w:sz w:val="15"/>
        </w:rPr>
        <w:t>label define lab_statut 1 "Propriétaire accédant" 2 "Propriétaire non accédant" 3 "Locataire ou logé gratuitement"</w:t>
      </w:r>
    </w:p>
    <w:p>
      <w:pPr>
        <w:spacing w:after="0" w:line="240" w:lineRule="auto"/>
      </w:pPr>
      <w:r>
        <w:rPr>
          <w:rFonts w:ascii="Courier New" w:hAnsi="Courier New" w:eastAsia="Courier New"/>
          <w:sz w:val="15"/>
        </w:rPr>
        <w:t>label define lab_plus 0 "Un seul crédit" 1 "Deux crédits ou plus"</w:t>
      </w:r>
    </w:p>
    <w:p>
      <w:pPr>
        <w:spacing w:after="0" w:line="240" w:lineRule="auto"/>
      </w:pPr>
      <w:r>
        <w:rPr>
          <w:rFonts w:ascii="Courier New" w:hAnsi="Courier New" w:eastAsia="Courier New"/>
          <w:sz w:val="15"/>
        </w:rPr>
        <w:t>label define lab_ouinon 0 "Non" 1 "Oui"</w:t>
      </w:r>
    </w:p>
    <w:p>
      <w:pPr>
        <w:spacing w:after="0" w:line="240" w:lineRule="auto"/>
      </w:pPr>
      <w:r>
        <w:rPr>
          <w:rFonts w:ascii="Courier New" w:hAnsi="Courier New" w:eastAsia="Courier New"/>
          <w:sz w:val="15"/>
        </w:rPr>
        <w:t>label define lab_enf 0 "Aucun enfant" 1 "1 enfant" 2 "2 enfants" 3 "3 enfants ou plus"</w:t>
      </w:r>
    </w:p>
    <w:p>
      <w:pPr>
        <w:spacing w:after="0" w:line="240" w:lineRule="auto"/>
      </w:pPr>
      <w:r>
        <w:rPr>
          <w:rFonts w:ascii="Courier New" w:hAnsi="Courier New" w:eastAsia="Courier New"/>
          <w:sz w:val="15"/>
        </w:rPr>
        <w:t>label define lab_csp 1 "Agriculteurs, artisans, commerçants, chefs d'ent." 2 "Cadres, prof. intellectuelles sup." 3 "Professions intermédiaires" 4 "Employés" 5 "Ouvriers" 6 "Retraités et autres inactifs"</w:t>
      </w:r>
    </w:p>
    <w:p>
      <w:pPr>
        <w:spacing w:after="0" w:line="240" w:lineRule="auto"/>
      </w:pPr>
      <w:r>
        <w:rPr>
          <w:rFonts w:ascii="Courier New" w:hAnsi="Courier New" w:eastAsia="Courier New"/>
          <w:sz w:val="15"/>
        </w:rPr>
        <w:t>label define lab_uu 1 "Commune rurale" 2 "Moins de 20 000 hab." 3 "20 000 à 199 999 hab." 4 "200 000 hab. et plus (hors Paris)" 5 "Agglomération parisienne"</w:t>
      </w:r>
    </w:p>
    <w:p>
      <w:pPr>
        <w:spacing w:after="0" w:line="240" w:lineRule="auto"/>
      </w:pPr>
      <w:r>
        <w:rPr>
          <w:rFonts w:ascii="Courier New" w:hAnsi="Courier New" w:eastAsia="Courier New"/>
          <w:sz w:val="15"/>
        </w:rPr>
        <w:t>label define lab_maison 0 "Appartement" 1 "Maison"</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label values revenu_tr lab_rev</w:t>
      </w:r>
    </w:p>
    <w:p>
      <w:pPr>
        <w:spacing w:after="0" w:line="240" w:lineRule="auto"/>
      </w:pPr>
      <w:r>
        <w:rPr>
          <w:rFonts w:ascii="Courier New" w:hAnsi="Courier New" w:eastAsia="Courier New"/>
          <w:sz w:val="15"/>
        </w:rPr>
        <w:t>label values statut lab_statut</w:t>
      </w:r>
    </w:p>
    <w:p>
      <w:pPr>
        <w:spacing w:after="0" w:line="240" w:lineRule="auto"/>
      </w:pPr>
      <w:r>
        <w:rPr>
          <w:rFonts w:ascii="Courier New" w:hAnsi="Courier New" w:eastAsia="Courier New"/>
          <w:sz w:val="15"/>
        </w:rPr>
        <w:t>label values plusieurs_credits lab_plus</w:t>
      </w:r>
    </w:p>
    <w:p>
      <w:pPr>
        <w:spacing w:after="0" w:line="240" w:lineRule="auto"/>
      </w:pPr>
      <w:r>
        <w:rPr>
          <w:rFonts w:ascii="Courier New" w:hAnsi="Courier New" w:eastAsia="Courier New"/>
          <w:sz w:val="15"/>
        </w:rPr>
        <w:t>label values autre_immo lab_ouinon</w:t>
      </w:r>
    </w:p>
    <w:p>
      <w:pPr>
        <w:spacing w:after="0" w:line="240" w:lineRule="auto"/>
      </w:pPr>
      <w:r>
        <w:rPr>
          <w:rFonts w:ascii="Courier New" w:hAnsi="Courier New" w:eastAsia="Courier New"/>
          <w:sz w:val="15"/>
        </w:rPr>
        <w:t>label values enfants lab_enf</w:t>
      </w:r>
    </w:p>
    <w:p>
      <w:pPr>
        <w:spacing w:after="0" w:line="240" w:lineRule="auto"/>
      </w:pPr>
      <w:r>
        <w:rPr>
          <w:rFonts w:ascii="Courier New" w:hAnsi="Courier New" w:eastAsia="Courier New"/>
          <w:sz w:val="15"/>
        </w:rPr>
        <w:t>label values csp lab_csp</w:t>
      </w:r>
    </w:p>
    <w:p>
      <w:pPr>
        <w:spacing w:after="0" w:line="240" w:lineRule="auto"/>
      </w:pPr>
      <w:r>
        <w:rPr>
          <w:rFonts w:ascii="Courier New" w:hAnsi="Courier New" w:eastAsia="Courier New"/>
          <w:sz w:val="15"/>
        </w:rPr>
        <w:t>label values uu lab_uu</w:t>
      </w:r>
    </w:p>
    <w:p>
      <w:pPr>
        <w:spacing w:after="0" w:line="240" w:lineRule="auto"/>
      </w:pPr>
      <w:r>
        <w:rPr>
          <w:rFonts w:ascii="Courier New" w:hAnsi="Courier New" w:eastAsia="Courier New"/>
          <w:sz w:val="15"/>
        </w:rPr>
        <w:t>label values maison lab_maison</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Vérification des regroupements</w:t>
      </w:r>
    </w:p>
    <w:p>
      <w:pPr>
        <w:spacing w:after="0" w:line="240" w:lineRule="auto"/>
      </w:pPr>
      <w:r>
        <w:rPr>
          <w:rFonts w:ascii="Courier New" w:hAnsi="Courier New" w:eastAsia="Courier New"/>
          <w:sz w:val="15"/>
        </w:rPr>
        <w:t>tab sto statut, m</w:t>
      </w:r>
    </w:p>
    <w:p>
      <w:pPr>
        <w:spacing w:after="0" w:line="240" w:lineRule="auto"/>
      </w:pPr>
      <w:r>
        <w:rPr>
          <w:rFonts w:ascii="Courier New" w:hAnsi="Courier New" w:eastAsia="Courier New"/>
          <w:sz w:val="15"/>
        </w:rPr>
        <w:t>tab nb_credits plusieurs_credits, m</w:t>
      </w:r>
    </w:p>
    <w:p>
      <w:pPr>
        <w:spacing w:after="0" w:line="240" w:lineRule="auto"/>
      </w:pPr>
      <w:r>
        <w:rPr>
          <w:rFonts w:ascii="Courier New" w:hAnsi="Courier New" w:eastAsia="Courier New"/>
          <w:sz w:val="15"/>
        </w:rPr>
        <w:t>tab cs24pr csp, m</w:t>
      </w:r>
    </w:p>
    <w:p>
      <w:pPr>
        <w:spacing w:after="0" w:line="240" w:lineRule="auto"/>
      </w:pPr>
      <w:r>
        <w:rPr>
          <w:rFonts w:ascii="Courier New" w:hAnsi="Courier New" w:eastAsia="Courier New"/>
          <w:sz w:val="15"/>
        </w:rPr>
        <w:t>tab tuu10 uu, m</w:t>
      </w:r>
    </w:p>
    <w:p>
      <w:pPr>
        <w:spacing w:after="0" w:line="240" w:lineRule="auto"/>
      </w:pPr>
      <w:r>
        <w:rPr>
          <w:rFonts w:ascii="Courier New" w:hAnsi="Courier New" w:eastAsia="Courier New"/>
          <w:sz w:val="15"/>
        </w:rPr>
        <w:t>tab typlog maison, m</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Sauvegarde de l'échantillon de travail (utilisé pour toute la suite du projet)</w:t>
      </w:r>
    </w:p>
    <w:p>
      <w:pPr>
        <w:spacing w:after="0" w:line="240" w:lineRule="auto"/>
      </w:pPr>
      <w:r>
        <w:rPr>
          <w:rFonts w:ascii="Courier New" w:hAnsi="Courier New" w:eastAsia="Courier New"/>
          <w:sz w:val="15"/>
        </w:rPr>
        <w:t>save base_travail, replace</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PARTIE 1 - 3. STATISTIQUES DESCRIPTIVES UNIVARIEES (échantillon de travail)</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3.i Variable expliquée : credits ou ln(credits)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1</w:t>
      </w:r>
    </w:p>
    <w:p>
      <w:pPr>
        <w:spacing w:after="0" w:line="240" w:lineRule="auto"/>
      </w:pPr>
      <w:r>
        <w:rPr>
          <w:rFonts w:ascii="Courier New" w:hAnsi="Courier New" w:eastAsia="Courier New"/>
          <w:sz w:val="15"/>
        </w:rPr>
        <w:t>histogram credits, start(0.5) width(100) percent fcolor("42 120 214") lcolor(white) ///</w:t>
      </w:r>
    </w:p>
    <w:p>
      <w:pPr>
        <w:spacing w:after="0" w:line="240" w:lineRule="auto"/>
      </w:pPr>
      <w:r>
        <w:rPr>
          <w:rFonts w:ascii="Courier New" w:hAnsi="Courier New" w:eastAsia="Courier New"/>
          <w:sz w:val="15"/>
        </w:rPr>
        <w:t xml:space="preserve">    xlabel(0(500)4000) ytitle("Pourcentage des ménages") ///</w:t>
      </w:r>
    </w:p>
    <w:p>
      <w:pPr>
        <w:spacing w:after="0" w:line="240" w:lineRule="auto"/>
      </w:pPr>
      <w:r>
        <w:rPr>
          <w:rFonts w:ascii="Courier New" w:hAnsi="Courier New" w:eastAsia="Courier New"/>
          <w:sz w:val="15"/>
        </w:rPr>
        <w:t xml:space="preserve">    xtitle("Mensualités de remboursement des crédits (euros)") ///</w:t>
      </w:r>
    </w:p>
    <w:p>
      <w:pPr>
        <w:spacing w:after="0" w:line="240" w:lineRule="auto"/>
      </w:pPr>
      <w:r>
        <w:rPr>
          <w:rFonts w:ascii="Courier New" w:hAnsi="Courier New" w:eastAsia="Courier New"/>
          <w:sz w:val="15"/>
        </w:rPr>
        <w:t xml:space="preserve">    title("Distribution des mensualités de remboursement")</w:t>
      </w:r>
    </w:p>
    <w:p>
      <w:pPr>
        <w:spacing w:after="0" w:line="240" w:lineRule="auto"/>
      </w:pPr>
      <w:r>
        <w:rPr>
          <w:rFonts w:ascii="Courier New" w:hAnsi="Courier New" w:eastAsia="Courier New"/>
          <w:sz w:val="15"/>
        </w:rPr>
        <w:t>graph export "graphiques/fig01_hist_credits.png",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2</w:t>
      </w:r>
    </w:p>
    <w:p>
      <w:pPr>
        <w:spacing w:after="0" w:line="240" w:lineRule="auto"/>
      </w:pPr>
      <w:r>
        <w:rPr>
          <w:rFonts w:ascii="Courier New" w:hAnsi="Courier New" w:eastAsia="Courier New"/>
          <w:sz w:val="15"/>
        </w:rPr>
        <w:t>histogram lncredits, start(3.5) width(0.1) percent fcolor("42 120 214") lcolor(white) ///</w:t>
      </w:r>
    </w:p>
    <w:p>
      <w:pPr>
        <w:spacing w:after="0" w:line="240" w:lineRule="auto"/>
      </w:pPr>
      <w:r>
        <w:rPr>
          <w:rFonts w:ascii="Courier New" w:hAnsi="Courier New" w:eastAsia="Courier New"/>
          <w:sz w:val="15"/>
        </w:rPr>
        <w:t xml:space="preserve">    ytitle("Pourcentage des ménages") ///</w:t>
      </w:r>
    </w:p>
    <w:p>
      <w:pPr>
        <w:spacing w:after="0" w:line="240" w:lineRule="auto"/>
      </w:pPr>
      <w:r>
        <w:rPr>
          <w:rFonts w:ascii="Courier New" w:hAnsi="Courier New" w:eastAsia="Courier New"/>
          <w:sz w:val="15"/>
        </w:rPr>
        <w:t xml:space="preserve">    xtitle("Logarithme des mensualités de remboursement") ///</w:t>
      </w:r>
    </w:p>
    <w:p>
      <w:pPr>
        <w:spacing w:after="0" w:line="240" w:lineRule="auto"/>
      </w:pPr>
      <w:r>
        <w:rPr>
          <w:rFonts w:ascii="Courier New" w:hAnsi="Courier New" w:eastAsia="Courier New"/>
          <w:sz w:val="15"/>
        </w:rPr>
        <w:t xml:space="preserve">    title("Distribution du logarithme des mensualités")</w:t>
      </w:r>
    </w:p>
    <w:p>
      <w:pPr>
        <w:spacing w:after="0" w:line="240" w:lineRule="auto"/>
      </w:pPr>
      <w:r>
        <w:rPr>
          <w:rFonts w:ascii="Courier New" w:hAnsi="Courier New" w:eastAsia="Courier New"/>
          <w:sz w:val="15"/>
        </w:rPr>
        <w:t>graph export "graphiques/fig02_hist_lncredits.png",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Tableau 6</w:t>
      </w:r>
    </w:p>
    <w:p>
      <w:pPr>
        <w:spacing w:after="0" w:line="240" w:lineRule="auto"/>
      </w:pPr>
      <w:r>
        <w:rPr>
          <w:rFonts w:ascii="Courier New" w:hAnsi="Courier New" w:eastAsia="Courier New"/>
          <w:sz w:val="15"/>
        </w:rPr>
        <w:t>sum credits, d</w:t>
      </w:r>
    </w:p>
    <w:p>
      <w:pPr>
        <w:spacing w:after="0" w:line="240" w:lineRule="auto"/>
      </w:pPr>
      <w:r>
        <w:rPr>
          <w:rFonts w:ascii="Courier New" w:hAnsi="Courier New" w:eastAsia="Courier New"/>
          <w:sz w:val="15"/>
        </w:rPr>
        <w:t>sum lncredits, d</w:t>
      </w:r>
    </w:p>
    <w:p>
      <w:pPr>
        <w:spacing w:after="0" w:line="240" w:lineRule="auto"/>
      </w:pPr>
      <w:r>
        <w:rPr>
          <w:rFonts w:ascii="Courier New" w:hAnsi="Courier New" w:eastAsia="Courier New"/>
          <w:sz w:val="15"/>
        </w:rPr>
        <w:t>** Part des mensualités déclarées en multiples de 50 euros (pics de l'histogramme)</w:t>
      </w:r>
    </w:p>
    <w:p>
      <w:pPr>
        <w:spacing w:after="0" w:line="240" w:lineRule="auto"/>
      </w:pPr>
      <w:r>
        <w:rPr>
          <w:rFonts w:ascii="Courier New" w:hAnsi="Courier New" w:eastAsia="Courier New"/>
          <w:sz w:val="15"/>
        </w:rPr>
        <w:t>count if mod(credits,50)==0</w:t>
      </w:r>
    </w:p>
    <w:p>
      <w:pPr>
        <w:spacing w:after="0" w:line="240" w:lineRule="auto"/>
      </w:pPr>
      <w:r>
        <w:rPr>
          <w:rFonts w:ascii="Courier New" w:hAnsi="Courier New" w:eastAsia="Courier New"/>
          <w:sz w:val="15"/>
        </w:rPr>
        <w:t>** -&gt; 1 270 ménages sur 3 962, soit 32 %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Tableau 7 : tests de normalité</w:t>
      </w:r>
    </w:p>
    <w:p>
      <w:pPr>
        <w:spacing w:after="0" w:line="240" w:lineRule="auto"/>
      </w:pPr>
      <w:r>
        <w:rPr>
          <w:rFonts w:ascii="Courier New" w:hAnsi="Courier New" w:eastAsia="Courier New"/>
          <w:sz w:val="15"/>
        </w:rPr>
        <w:t>sktest credits lncredits, noadjust</w:t>
      </w:r>
    </w:p>
    <w:p>
      <w:pPr>
        <w:spacing w:after="0" w:line="240" w:lineRule="auto"/>
      </w:pPr>
      <w:r>
        <w:rPr>
          <w:rFonts w:ascii="Courier New" w:hAnsi="Courier New" w:eastAsia="Courier New"/>
          <w:sz w:val="15"/>
        </w:rPr>
        <w:t>swilk credits lncredits</w:t>
      </w:r>
    </w:p>
    <w:p>
      <w:pPr>
        <w:spacing w:after="0" w:line="240" w:lineRule="auto"/>
      </w:pPr>
      <w:r>
        <w:rPr>
          <w:rFonts w:ascii="Courier New" w:hAnsi="Courier New" w:eastAsia="Courier New"/>
          <w:sz w:val="15"/>
        </w:rPr>
        <w:t>** -&gt; la normalité est rejetée pour les deux variables, mais lncredits a un skewness</w:t>
      </w:r>
    </w:p>
    <w:p>
      <w:pPr>
        <w:spacing w:after="0" w:line="240" w:lineRule="auto"/>
      </w:pPr>
      <w:r>
        <w:rPr>
          <w:rFonts w:ascii="Courier New" w:hAnsi="Courier New" w:eastAsia="Courier New"/>
          <w:sz w:val="15"/>
        </w:rPr>
        <w:t>**    et un kurtosis beaucoup plus proches de ceux d'une loi normale (0 et 3)</w:t>
      </w:r>
    </w:p>
    <w:p>
      <w:pPr>
        <w:spacing w:after="0" w:line="240" w:lineRule="auto"/>
      </w:pPr>
      <w:r>
        <w:rPr>
          <w:rFonts w:ascii="Courier New" w:hAnsi="Courier New" w:eastAsia="Courier New"/>
          <w:sz w:val="15"/>
        </w:rPr>
        <w:t>**    =&gt; on modélisera ln(credits) dans la suite du projet</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3.ii Variables explicatives continues</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Tableau 8</w:t>
      </w:r>
    </w:p>
    <w:p>
      <w:pPr>
        <w:spacing w:after="0" w:line="240" w:lineRule="auto"/>
      </w:pPr>
      <w:r>
        <w:rPr>
          <w:rFonts w:ascii="Courier New" w:hAnsi="Courier New" w:eastAsia="Courier New"/>
          <w:sz w:val="15"/>
        </w:rPr>
        <w:t>tabstat agepr totreven lnrevenu, statistics(n mean sd min p10 p25 p50 p75 p90 max skewness kurtosis) ///</w:t>
      </w:r>
    </w:p>
    <w:p>
      <w:pPr>
        <w:spacing w:after="0" w:line="240" w:lineRule="auto"/>
      </w:pPr>
      <w:r>
        <w:rPr>
          <w:rFonts w:ascii="Courier New" w:hAnsi="Courier New" w:eastAsia="Courier New"/>
          <w:sz w:val="15"/>
        </w:rPr>
        <w:t xml:space="preserve">    columns(statistics) format(%9.4g)</w:t>
      </w:r>
    </w:p>
    <w:p>
      <w:pPr>
        <w:spacing w:after="0" w:line="240" w:lineRule="auto"/>
      </w:pPr>
      <w:r>
        <w:rPr>
          <w:rFonts w:ascii="Courier New" w:hAnsi="Courier New" w:eastAsia="Courier New"/>
          <w:sz w:val="15"/>
        </w:rPr>
        <w:t>count if agepr&lt;25</w:t>
      </w:r>
    </w:p>
    <w:p>
      <w:pPr>
        <w:spacing w:after="0" w:line="240" w:lineRule="auto"/>
      </w:pPr>
      <w:r>
        <w:rPr>
          <w:rFonts w:ascii="Courier New" w:hAnsi="Courier New" w:eastAsia="Courier New"/>
          <w:sz w:val="15"/>
        </w:rPr>
        <w:t>count if agepr&gt;80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Taux d'effort (mensualités / revenu), ménages ayant déclaré leur revenu</w:t>
      </w:r>
    </w:p>
    <w:p>
      <w:pPr>
        <w:spacing w:after="0" w:line="240" w:lineRule="auto"/>
      </w:pPr>
      <w:r>
        <w:rPr>
          <w:rFonts w:ascii="Courier New" w:hAnsi="Courier New" w:eastAsia="Courier New"/>
          <w:sz w:val="15"/>
        </w:rPr>
        <w:t>sum taux_effort, d</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3</w:t>
      </w:r>
    </w:p>
    <w:p>
      <w:pPr>
        <w:spacing w:after="0" w:line="240" w:lineRule="auto"/>
      </w:pPr>
      <w:r>
        <w:rPr>
          <w:rFonts w:ascii="Courier New" w:hAnsi="Courier New" w:eastAsia="Courier New"/>
          <w:sz w:val="15"/>
        </w:rPr>
        <w:t>histogram agepr, start(19.5) width(2) percent fcolor("42 120 214") lcolor(white) ///</w:t>
      </w:r>
    </w:p>
    <w:p>
      <w:pPr>
        <w:spacing w:after="0" w:line="240" w:lineRule="auto"/>
      </w:pPr>
      <w:r>
        <w:rPr>
          <w:rFonts w:ascii="Courier New" w:hAnsi="Courier New" w:eastAsia="Courier New"/>
          <w:sz w:val="15"/>
        </w:rPr>
        <w:t xml:space="preserve">    xlabel(20(10)90) ytitle("Pourcentage des ménages") ///</w:t>
      </w:r>
    </w:p>
    <w:p>
      <w:pPr>
        <w:spacing w:after="0" w:line="240" w:lineRule="auto"/>
      </w:pPr>
      <w:r>
        <w:rPr>
          <w:rFonts w:ascii="Courier New" w:hAnsi="Courier New" w:eastAsia="Courier New"/>
          <w:sz w:val="15"/>
        </w:rPr>
        <w:t xml:space="preserve">    xtitle("Âge de la personne de référence (années)") ///</w:t>
      </w:r>
    </w:p>
    <w:p>
      <w:pPr>
        <w:spacing w:after="0" w:line="240" w:lineRule="auto"/>
      </w:pPr>
      <w:r>
        <w:rPr>
          <w:rFonts w:ascii="Courier New" w:hAnsi="Courier New" w:eastAsia="Courier New"/>
          <w:sz w:val="15"/>
        </w:rPr>
        <w:t xml:space="preserve">    title("Distribution de l'âge de la personne de référence")</w:t>
      </w:r>
    </w:p>
    <w:p>
      <w:pPr>
        <w:spacing w:after="0" w:line="240" w:lineRule="auto"/>
      </w:pPr>
      <w:r>
        <w:rPr>
          <w:rFonts w:ascii="Courier New" w:hAnsi="Courier New" w:eastAsia="Courier New"/>
          <w:sz w:val="15"/>
        </w:rPr>
        <w:t>graph export "graphiques/fig03_hist_age.png",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4 (ménages ayant déclaré leur revenu)</w:t>
      </w:r>
    </w:p>
    <w:p>
      <w:pPr>
        <w:spacing w:after="0" w:line="240" w:lineRule="auto"/>
      </w:pPr>
      <w:r>
        <w:rPr>
          <w:rFonts w:ascii="Courier New" w:hAnsi="Courier New" w:eastAsia="Courier New"/>
          <w:sz w:val="15"/>
        </w:rPr>
        <w:t>histogram totreven, start(499.5) width(500) percent fcolor("42 120 214") lcolor(white) ///</w:t>
      </w:r>
    </w:p>
    <w:p>
      <w:pPr>
        <w:spacing w:after="0" w:line="240" w:lineRule="auto"/>
      </w:pPr>
      <w:r>
        <w:rPr>
          <w:rFonts w:ascii="Courier New" w:hAnsi="Courier New" w:eastAsia="Courier New"/>
          <w:sz w:val="15"/>
        </w:rPr>
        <w:t xml:space="preserve">    xlabel(0(5000)25000) ytitle("Pourcentage des ménages") ///</w:t>
      </w:r>
    </w:p>
    <w:p>
      <w:pPr>
        <w:spacing w:after="0" w:line="240" w:lineRule="auto"/>
      </w:pPr>
      <w:r>
        <w:rPr>
          <w:rFonts w:ascii="Courier New" w:hAnsi="Courier New" w:eastAsia="Courier New"/>
          <w:sz w:val="15"/>
        </w:rPr>
        <w:t xml:space="preserve">    xtitle("Revenu mensuel du ménage (euros)") ///</w:t>
      </w:r>
    </w:p>
    <w:p>
      <w:pPr>
        <w:spacing w:after="0" w:line="240" w:lineRule="auto"/>
      </w:pPr>
      <w:r>
        <w:rPr>
          <w:rFonts w:ascii="Courier New" w:hAnsi="Courier New" w:eastAsia="Courier New"/>
          <w:sz w:val="15"/>
        </w:rPr>
        <w:t xml:space="preserve">    title("Distribution du revenu mensuel du ménage")</w:t>
      </w:r>
    </w:p>
    <w:p>
      <w:pPr>
        <w:spacing w:after="0" w:line="240" w:lineRule="auto"/>
      </w:pPr>
      <w:r>
        <w:rPr>
          <w:rFonts w:ascii="Courier New" w:hAnsi="Courier New" w:eastAsia="Courier New"/>
          <w:sz w:val="15"/>
        </w:rPr>
        <w:t>graph export "graphiques/fig04_hist_revenu.png",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3.iii Variables explicatives qualitatives</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Tableau 9</w:t>
      </w:r>
    </w:p>
    <w:p>
      <w:pPr>
        <w:spacing w:after="0" w:line="240" w:lineRule="auto"/>
      </w:pPr>
      <w:r>
        <w:rPr>
          <w:rFonts w:ascii="Courier New" w:hAnsi="Courier New" w:eastAsia="Courier New"/>
          <w:sz w:val="15"/>
        </w:rPr>
        <w:t>tab1 revenu_tr statut plusieurs_credits autre_immo enfants csp uu maison</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Pas de graphique pour les variables binaires (plusieurs_credits, autre_immo, maison)</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5</w:t>
      </w:r>
    </w:p>
    <w:p>
      <w:pPr>
        <w:spacing w:after="0" w:line="240" w:lineRule="auto"/>
      </w:pPr>
      <w:r>
        <w:rPr>
          <w:rFonts w:ascii="Courier New" w:hAnsi="Courier New" w:eastAsia="Courier New"/>
          <w:sz w:val="15"/>
        </w:rPr>
        <w:t>graph bar, over(revenu_tr, label(labsize(small) angle(20))) bar(1, color("42 120 214")) ///</w:t>
      </w:r>
    </w:p>
    <w:p>
      <w:pPr>
        <w:spacing w:after="0" w:line="240" w:lineRule="auto"/>
      </w:pPr>
      <w:r>
        <w:rPr>
          <w:rFonts w:ascii="Courier New" w:hAnsi="Courier New" w:eastAsia="Courier New"/>
          <w:sz w:val="15"/>
        </w:rPr>
        <w:t xml:space="preserve">    blabel(bar, format(%4.1f)) ytitle("Pourcentage des ménages") ///</w:t>
      </w:r>
    </w:p>
    <w:p>
      <w:pPr>
        <w:spacing w:after="0" w:line="240" w:lineRule="auto"/>
      </w:pPr>
      <w:r>
        <w:rPr>
          <w:rFonts w:ascii="Courier New" w:hAnsi="Courier New" w:eastAsia="Courier New"/>
          <w:sz w:val="15"/>
        </w:rPr>
        <w:t xml:space="preserve">    title("Revenu mensuel du ménage")</w:t>
      </w:r>
    </w:p>
    <w:p>
      <w:pPr>
        <w:spacing w:after="0" w:line="240" w:lineRule="auto"/>
      </w:pPr>
      <w:r>
        <w:rPr>
          <w:rFonts w:ascii="Courier New" w:hAnsi="Courier New" w:eastAsia="Courier New"/>
          <w:sz w:val="15"/>
        </w:rPr>
        <w:t>graph export "graphiques/fig05_bar_revenu.png",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6</w:t>
      </w:r>
    </w:p>
    <w:p>
      <w:pPr>
        <w:spacing w:after="0" w:line="240" w:lineRule="auto"/>
      </w:pPr>
      <w:r>
        <w:rPr>
          <w:rFonts w:ascii="Courier New" w:hAnsi="Courier New" w:eastAsia="Courier New"/>
          <w:sz w:val="15"/>
        </w:rPr>
        <w:t>graph bar, over(statut, label(labsize(small))) bar(1, color("42 120 214")) ///</w:t>
      </w:r>
    </w:p>
    <w:p>
      <w:pPr>
        <w:spacing w:after="0" w:line="240" w:lineRule="auto"/>
      </w:pPr>
      <w:r>
        <w:rPr>
          <w:rFonts w:ascii="Courier New" w:hAnsi="Courier New" w:eastAsia="Courier New"/>
          <w:sz w:val="15"/>
        </w:rPr>
        <w:t xml:space="preserve">    blabel(bar, format(%4.1f)) ytitle("Pourcentage des ménages") ///</w:t>
      </w:r>
    </w:p>
    <w:p>
      <w:pPr>
        <w:spacing w:after="0" w:line="240" w:lineRule="auto"/>
      </w:pPr>
      <w:r>
        <w:rPr>
          <w:rFonts w:ascii="Courier New" w:hAnsi="Courier New" w:eastAsia="Courier New"/>
          <w:sz w:val="15"/>
        </w:rPr>
        <w:t xml:space="preserve">    title("Statut d'occupation du logement")</w:t>
      </w:r>
    </w:p>
    <w:p>
      <w:pPr>
        <w:spacing w:after="0" w:line="240" w:lineRule="auto"/>
      </w:pPr>
      <w:r>
        <w:rPr>
          <w:rFonts w:ascii="Courier New" w:hAnsi="Courier New" w:eastAsia="Courier New"/>
          <w:sz w:val="15"/>
        </w:rPr>
        <w:t>graph export "graphiques/fig06_bar_statut.png",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7</w:t>
      </w:r>
    </w:p>
    <w:p>
      <w:pPr>
        <w:spacing w:after="0" w:line="240" w:lineRule="auto"/>
      </w:pPr>
      <w:r>
        <w:rPr>
          <w:rFonts w:ascii="Courier New" w:hAnsi="Courier New" w:eastAsia="Courier New"/>
          <w:sz w:val="15"/>
        </w:rPr>
        <w:t>graph bar, over(enfants) bar(1, color("42 120 214")) ///</w:t>
      </w:r>
    </w:p>
    <w:p>
      <w:pPr>
        <w:spacing w:after="0" w:line="240" w:lineRule="auto"/>
      </w:pPr>
      <w:r>
        <w:rPr>
          <w:rFonts w:ascii="Courier New" w:hAnsi="Courier New" w:eastAsia="Courier New"/>
          <w:sz w:val="15"/>
        </w:rPr>
        <w:t xml:space="preserve">    blabel(bar, format(%4.1f)) ytitle("Pourcentage des ménages") ///</w:t>
      </w:r>
    </w:p>
    <w:p>
      <w:pPr>
        <w:spacing w:after="0" w:line="240" w:lineRule="auto"/>
      </w:pPr>
      <w:r>
        <w:rPr>
          <w:rFonts w:ascii="Courier New" w:hAnsi="Courier New" w:eastAsia="Courier New"/>
          <w:sz w:val="15"/>
        </w:rPr>
        <w:t xml:space="preserve">    title("Nombre d'enfants dans le ménage")</w:t>
      </w:r>
    </w:p>
    <w:p>
      <w:pPr>
        <w:spacing w:after="0" w:line="240" w:lineRule="auto"/>
      </w:pPr>
      <w:r>
        <w:rPr>
          <w:rFonts w:ascii="Courier New" w:hAnsi="Courier New" w:eastAsia="Courier New"/>
          <w:sz w:val="15"/>
        </w:rPr>
        <w:t>graph export "graphiques/fig07_bar_enfants.png",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8 (modalités non ordonnées : barres triées par fréquence)</w:t>
      </w:r>
    </w:p>
    <w:p>
      <w:pPr>
        <w:spacing w:after="0" w:line="240" w:lineRule="auto"/>
      </w:pPr>
      <w:r>
        <w:rPr>
          <w:rFonts w:ascii="Courier New" w:hAnsi="Courier New" w:eastAsia="Courier New"/>
          <w:sz w:val="15"/>
        </w:rPr>
        <w:t>graph hbar, over(csp, sort(1) descending) bar(1, color("42 120 214")) ///</w:t>
      </w:r>
    </w:p>
    <w:p>
      <w:pPr>
        <w:spacing w:after="0" w:line="240" w:lineRule="auto"/>
      </w:pPr>
      <w:r>
        <w:rPr>
          <w:rFonts w:ascii="Courier New" w:hAnsi="Courier New" w:eastAsia="Courier New"/>
          <w:sz w:val="15"/>
        </w:rPr>
        <w:t xml:space="preserve">    blabel(bar, format(%4.1f)) ytitle("Pourcentage des ménages") ///</w:t>
      </w:r>
    </w:p>
    <w:p>
      <w:pPr>
        <w:spacing w:after="0" w:line="240" w:lineRule="auto"/>
      </w:pPr>
      <w:r>
        <w:rPr>
          <w:rFonts w:ascii="Courier New" w:hAnsi="Courier New" w:eastAsia="Courier New"/>
          <w:sz w:val="15"/>
        </w:rPr>
        <w:t xml:space="preserve">    title("CSP de la personne de référence")</w:t>
      </w:r>
    </w:p>
    <w:p>
      <w:pPr>
        <w:spacing w:after="0" w:line="240" w:lineRule="auto"/>
      </w:pPr>
      <w:r>
        <w:rPr>
          <w:rFonts w:ascii="Courier New" w:hAnsi="Courier New" w:eastAsia="Courier New"/>
          <w:sz w:val="15"/>
        </w:rPr>
        <w:t>graph export "graphiques/fig08_bar_csp.png",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Figure 9</w:t>
      </w:r>
    </w:p>
    <w:p>
      <w:pPr>
        <w:spacing w:after="0" w:line="240" w:lineRule="auto"/>
      </w:pPr>
      <w:r>
        <w:rPr>
          <w:rFonts w:ascii="Courier New" w:hAnsi="Courier New" w:eastAsia="Courier New"/>
          <w:sz w:val="15"/>
        </w:rPr>
        <w:t>graph hbar, over(uu) bar(1, color("42 120 214")) ///</w:t>
      </w:r>
    </w:p>
    <w:p>
      <w:pPr>
        <w:spacing w:after="0" w:line="240" w:lineRule="auto"/>
      </w:pPr>
      <w:r>
        <w:rPr>
          <w:rFonts w:ascii="Courier New" w:hAnsi="Courier New" w:eastAsia="Courier New"/>
          <w:sz w:val="15"/>
        </w:rPr>
        <w:t xml:space="preserve">    blabel(bar, format(%4.1f)) ytitle("Pourcentage des ménages") ///</w:t>
      </w:r>
    </w:p>
    <w:p>
      <w:pPr>
        <w:spacing w:after="0" w:line="240" w:lineRule="auto"/>
      </w:pPr>
      <w:r>
        <w:rPr>
          <w:rFonts w:ascii="Courier New" w:hAnsi="Courier New" w:eastAsia="Courier New"/>
          <w:sz w:val="15"/>
        </w:rPr>
        <w:t xml:space="preserve">    title("Taille de l'unité urbaine de résidence")</w:t>
      </w:r>
    </w:p>
    <w:p>
      <w:pPr>
        <w:spacing w:after="0" w:line="240" w:lineRule="auto"/>
      </w:pPr>
      <w:r>
        <w:rPr>
          <w:rFonts w:ascii="Courier New" w:hAnsi="Courier New" w:eastAsia="Courier New"/>
          <w:sz w:val="15"/>
        </w:rPr>
        <w:t>graph export "graphiques/fig09_bar_uu.png",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PARTIE 1 - 4. STATISTIQUES DESCRIPTIVES BIVARIEES</w:t>
      </w:r>
    </w:p>
    <w:p>
      <w:pPr>
        <w:spacing w:after="0" w:line="240" w:lineRule="auto"/>
      </w:pPr>
      <w:r>
        <w:rPr>
          <w:rFonts w:ascii="Courier New" w:hAnsi="Courier New" w:eastAsia="Courier New"/>
          <w:sz w:val="15"/>
        </w:rPr>
        <w:t>*************************************************************************</w:t>
      </w:r>
    </w:p>
    <w:p>
      <w:pPr>
        <w:spacing w:after="0" w:line="240" w:lineRule="auto"/>
      </w:pPr>
      <w:r>
        <w:rPr>
          <w:rFonts w:ascii="Courier New" w:hAnsi="Courier New" w:eastAsia="Courier New"/>
          <w:sz w:val="15"/>
        </w:rPr>
        <w:t>** La variable expliquée retenue est lncredits. Pour les graphiques en barres,</w:t>
      </w:r>
    </w:p>
    <w:p>
      <w:pPr>
        <w:spacing w:after="0" w:line="240" w:lineRule="auto"/>
      </w:pPr>
      <w:r>
        <w:rPr>
          <w:rFonts w:ascii="Courier New" w:hAnsi="Courier New" w:eastAsia="Courier New"/>
          <w:sz w:val="15"/>
        </w:rPr>
        <w:t>** on représente les mensualités en euros (plus lisibles que le logarithme).</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4.a Variables explicatives continues</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Age (Tableau 10 et Figure 10)</w:t>
      </w:r>
    </w:p>
    <w:p>
      <w:pPr>
        <w:spacing w:after="0" w:line="240" w:lineRule="auto"/>
      </w:pPr>
      <w:r>
        <w:rPr>
          <w:rFonts w:ascii="Courier New" w:hAnsi="Courier New" w:eastAsia="Courier New"/>
          <w:sz w:val="15"/>
        </w:rPr>
        <w:t>pwcorr lncredits agepr, sig obs</w:t>
      </w:r>
    </w:p>
    <w:p>
      <w:pPr>
        <w:spacing w:after="0" w:line="240" w:lineRule="auto"/>
      </w:pPr>
      <w:r>
        <w:rPr>
          <w:rFonts w:ascii="Courier New" w:hAnsi="Courier New" w:eastAsia="Courier New"/>
          <w:sz w:val="15"/>
        </w:rPr>
        <w:t>bysort agepr: egen moy_lncredits = mean(lncredits)</w:t>
      </w:r>
    </w:p>
    <w:p>
      <w:pPr>
        <w:spacing w:after="0" w:line="240" w:lineRule="auto"/>
      </w:pPr>
      <w:r>
        <w:rPr>
          <w:rFonts w:ascii="Courier New" w:hAnsi="Courier New" w:eastAsia="Courier New"/>
          <w:sz w:val="15"/>
        </w:rPr>
        <w:t>egen tag_age = tag(agepr)</w:t>
      </w:r>
    </w:p>
    <w:p>
      <w:pPr>
        <w:spacing w:after="0" w:line="240" w:lineRule="auto"/>
      </w:pPr>
      <w:r>
        <w:rPr>
          <w:rFonts w:ascii="Courier New" w:hAnsi="Courier New" w:eastAsia="Courier New"/>
          <w:sz w:val="15"/>
        </w:rPr>
        <w:t>twoway (scatter moy_lncredits agepr if tag_age==1, mcolor("42 120 214")) ///</w:t>
      </w:r>
    </w:p>
    <w:p>
      <w:pPr>
        <w:spacing w:after="0" w:line="240" w:lineRule="auto"/>
      </w:pPr>
      <w:r>
        <w:rPr>
          <w:rFonts w:ascii="Courier New" w:hAnsi="Courier New" w:eastAsia="Courier New"/>
          <w:sz w:val="15"/>
        </w:rPr>
        <w:t xml:space="preserve">    (lfit lncredits agepr, lcolor("235 104 52") lpattern(dash) lwidth(medthick)) ///</w:t>
      </w:r>
    </w:p>
    <w:p>
      <w:pPr>
        <w:spacing w:after="0" w:line="240" w:lineRule="auto"/>
      </w:pPr>
      <w:r>
        <w:rPr>
          <w:rFonts w:ascii="Courier New" w:hAnsi="Courier New" w:eastAsia="Courier New"/>
          <w:sz w:val="15"/>
        </w:rPr>
        <w:t xml:space="preserve">    (qfit lncredits agepr, lcolor("27 175 122") lwidth(medthick)), ///</w:t>
      </w:r>
    </w:p>
    <w:p>
      <w:pPr>
        <w:spacing w:after="0" w:line="240" w:lineRule="auto"/>
      </w:pPr>
      <w:r>
        <w:rPr>
          <w:rFonts w:ascii="Courier New" w:hAnsi="Courier New" w:eastAsia="Courier New"/>
          <w:sz w:val="15"/>
        </w:rPr>
        <w:t xml:space="preserve">    legend(order(1 "Moyenne par âge" 2 "Ajustement linéaire" 3 "Ajustement quadratique") rows(1)) ///</w:t>
      </w:r>
    </w:p>
    <w:p>
      <w:pPr>
        <w:spacing w:after="0" w:line="240" w:lineRule="auto"/>
      </w:pPr>
      <w:r>
        <w:rPr>
          <w:rFonts w:ascii="Courier New" w:hAnsi="Courier New" w:eastAsia="Courier New"/>
          <w:sz w:val="15"/>
        </w:rPr>
        <w:t xml:space="preserve">    ytitle("Logarithme des mensualités") xtitle("Âge de la personne de référence (années)") ///</w:t>
      </w:r>
    </w:p>
    <w:p>
      <w:pPr>
        <w:spacing w:after="0" w:line="240" w:lineRule="auto"/>
      </w:pPr>
      <w:r>
        <w:rPr>
          <w:rFonts w:ascii="Courier New" w:hAnsi="Courier New" w:eastAsia="Courier New"/>
          <w:sz w:val="15"/>
        </w:rPr>
        <w:t xml:space="preserve">    title("Logarithme moyen des mensualités selon l'âge")</w:t>
      </w:r>
    </w:p>
    <w:p>
      <w:pPr>
        <w:spacing w:after="0" w:line="240" w:lineRule="auto"/>
      </w:pPr>
      <w:r>
        <w:rPr>
          <w:rFonts w:ascii="Courier New" w:hAnsi="Courier New" w:eastAsia="Courier New"/>
          <w:sz w:val="15"/>
        </w:rPr>
        <w:t>graph export "graphiques/fig10_age_lncredits.png",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Revenu (Tableau 10 et Figure 11), sur les ménages ayant déclaré leur revenu</w:t>
      </w:r>
    </w:p>
    <w:p>
      <w:pPr>
        <w:spacing w:after="0" w:line="240" w:lineRule="auto"/>
      </w:pPr>
      <w:r>
        <w:rPr>
          <w:rFonts w:ascii="Courier New" w:hAnsi="Courier New" w:eastAsia="Courier New"/>
          <w:sz w:val="15"/>
        </w:rPr>
        <w:t>pwcorr lncredits lnrevenu, sig obs</w:t>
      </w:r>
    </w:p>
    <w:p>
      <w:pPr>
        <w:spacing w:after="0" w:line="240" w:lineRule="auto"/>
      </w:pPr>
      <w:r>
        <w:rPr>
          <w:rFonts w:ascii="Courier New" w:hAnsi="Courier New" w:eastAsia="Courier New"/>
          <w:sz w:val="15"/>
        </w:rPr>
        <w:t>twoway (scatter lncredits lnrevenu, msize(vsmall) mcolor("42 120 214%30")) ///</w:t>
      </w:r>
    </w:p>
    <w:p>
      <w:pPr>
        <w:spacing w:after="0" w:line="240" w:lineRule="auto"/>
      </w:pPr>
      <w:r>
        <w:rPr>
          <w:rFonts w:ascii="Courier New" w:hAnsi="Courier New" w:eastAsia="Courier New"/>
          <w:sz w:val="15"/>
        </w:rPr>
        <w:t xml:space="preserve">    (lfit lncredits lnrevenu, lcolor("235 104 52") lwidth(medthick)), ///</w:t>
      </w:r>
    </w:p>
    <w:p>
      <w:pPr>
        <w:spacing w:after="0" w:line="240" w:lineRule="auto"/>
      </w:pPr>
      <w:r>
        <w:rPr>
          <w:rFonts w:ascii="Courier New" w:hAnsi="Courier New" w:eastAsia="Courier New"/>
          <w:sz w:val="15"/>
        </w:rPr>
        <w:t xml:space="preserve">    legend(order(1 "Ménages" 2 "Ajustement linéaire") rows(1)) ///</w:t>
      </w:r>
    </w:p>
    <w:p>
      <w:pPr>
        <w:spacing w:after="0" w:line="240" w:lineRule="auto"/>
      </w:pPr>
      <w:r>
        <w:rPr>
          <w:rFonts w:ascii="Courier New" w:hAnsi="Courier New" w:eastAsia="Courier New"/>
          <w:sz w:val="15"/>
        </w:rPr>
        <w:t xml:space="preserve">    ytitle("Logarithme des mensualités") xtitle("Logarithme du revenu mensuel du ménage") ///</w:t>
      </w:r>
    </w:p>
    <w:p>
      <w:pPr>
        <w:spacing w:after="0" w:line="240" w:lineRule="auto"/>
      </w:pPr>
      <w:r>
        <w:rPr>
          <w:rFonts w:ascii="Courier New" w:hAnsi="Courier New" w:eastAsia="Courier New"/>
          <w:sz w:val="15"/>
        </w:rPr>
        <w:t xml:space="preserve">    title("Mensualités et revenu (en logarithmes)")</w:t>
      </w:r>
    </w:p>
    <w:p>
      <w:pPr>
        <w:spacing w:after="0" w:line="240" w:lineRule="auto"/>
      </w:pPr>
      <w:r>
        <w:rPr>
          <w:rFonts w:ascii="Courier New" w:hAnsi="Courier New" w:eastAsia="Courier New"/>
          <w:sz w:val="15"/>
        </w:rPr>
        <w:t>graph export "graphiques/fig11_revenu_lncredits.png",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4.b Variables explicatives qualitatives (Tableau 11 et Figures 12 à 19)</w:t>
      </w:r>
    </w:p>
    <w:p>
      <w:pPr>
        <w:spacing w:after="0" w:line="240" w:lineRule="auto"/>
      </w:pPr>
      <w:r>
        <w:rPr>
          <w:rFonts w:ascii="Courier New" w:hAnsi="Courier New" w:eastAsia="Courier New"/>
          <w:sz w:val="15"/>
        </w:rPr>
        <w:t>** ---------------------------------------------------------------------</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Revenu en tranches</w:t>
      </w:r>
    </w:p>
    <w:p>
      <w:pPr>
        <w:spacing w:after="0" w:line="240" w:lineRule="auto"/>
      </w:pPr>
      <w:r>
        <w:rPr>
          <w:rFonts w:ascii="Courier New" w:hAnsi="Courier New" w:eastAsia="Courier New"/>
          <w:sz w:val="15"/>
        </w:rPr>
        <w:t>tabstat credits, by(revenu_tr) statistics(n mean p50) format(%9.0f)</w:t>
      </w:r>
    </w:p>
    <w:p>
      <w:pPr>
        <w:spacing w:after="0" w:line="240" w:lineRule="auto"/>
      </w:pPr>
      <w:r>
        <w:rPr>
          <w:rFonts w:ascii="Courier New" w:hAnsi="Courier New" w:eastAsia="Courier New"/>
          <w:sz w:val="15"/>
        </w:rPr>
        <w:t>graph bar (mean) credits, over(revenu_tr, label(labsize(small) angle(20))) bar(1, color("42 120 214")) ///</w:t>
      </w:r>
    </w:p>
    <w:p>
      <w:pPr>
        <w:spacing w:after="0" w:line="240" w:lineRule="auto"/>
      </w:pPr>
      <w:r>
        <w:rPr>
          <w:rFonts w:ascii="Courier New" w:hAnsi="Courier New" w:eastAsia="Courier New"/>
          <w:sz w:val="15"/>
        </w:rPr>
        <w:t xml:space="preserve">    blabel(bar, format(%9.0f)) ytitle("Mensualité moyenne (euros)") ///</w:t>
      </w:r>
    </w:p>
    <w:p>
      <w:pPr>
        <w:spacing w:after="0" w:line="240" w:lineRule="auto"/>
      </w:pPr>
      <w:r>
        <w:rPr>
          <w:rFonts w:ascii="Courier New" w:hAnsi="Courier New" w:eastAsia="Courier New"/>
          <w:sz w:val="15"/>
        </w:rPr>
        <w:t xml:space="preserve">    title("Mensualité moyenne selon le revenu du ménage")</w:t>
      </w:r>
    </w:p>
    <w:p>
      <w:pPr>
        <w:spacing w:after="0" w:line="240" w:lineRule="auto"/>
      </w:pPr>
      <w:r>
        <w:rPr>
          <w:rFonts w:ascii="Courier New" w:hAnsi="Courier New" w:eastAsia="Courier New"/>
          <w:sz w:val="15"/>
        </w:rPr>
        <w:t>graph export "graphiques/fig12_moy_revenu.png",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Statut d'occupation</w:t>
      </w:r>
    </w:p>
    <w:p>
      <w:pPr>
        <w:spacing w:after="0" w:line="240" w:lineRule="auto"/>
      </w:pPr>
      <w:r>
        <w:rPr>
          <w:rFonts w:ascii="Courier New" w:hAnsi="Courier New" w:eastAsia="Courier New"/>
          <w:sz w:val="15"/>
        </w:rPr>
        <w:t>tabstat credits, by(statut) statistics(n mean p50) format(%9.0f)</w:t>
      </w:r>
    </w:p>
    <w:p>
      <w:pPr>
        <w:spacing w:after="0" w:line="240" w:lineRule="auto"/>
      </w:pPr>
      <w:r>
        <w:rPr>
          <w:rFonts w:ascii="Courier New" w:hAnsi="Courier New" w:eastAsia="Courier New"/>
          <w:sz w:val="15"/>
        </w:rPr>
        <w:t>graph bar (mean) credits, over(statut, label(labsize(small))) bar(1, color("42 120 214")) ///</w:t>
      </w:r>
    </w:p>
    <w:p>
      <w:pPr>
        <w:spacing w:after="0" w:line="240" w:lineRule="auto"/>
      </w:pPr>
      <w:r>
        <w:rPr>
          <w:rFonts w:ascii="Courier New" w:hAnsi="Courier New" w:eastAsia="Courier New"/>
          <w:sz w:val="15"/>
        </w:rPr>
        <w:t xml:space="preserve">    blabel(bar, format(%9.0f)) ytitle("Mensualité moyenne (euros)") ///</w:t>
      </w:r>
    </w:p>
    <w:p>
      <w:pPr>
        <w:spacing w:after="0" w:line="240" w:lineRule="auto"/>
      </w:pPr>
      <w:r>
        <w:rPr>
          <w:rFonts w:ascii="Courier New" w:hAnsi="Courier New" w:eastAsia="Courier New"/>
          <w:sz w:val="15"/>
        </w:rPr>
        <w:t xml:space="preserve">    title("Mensualité moyenne selon le statut d'occupation")</w:t>
      </w:r>
    </w:p>
    <w:p>
      <w:pPr>
        <w:spacing w:after="0" w:line="240" w:lineRule="auto"/>
      </w:pPr>
      <w:r>
        <w:rPr>
          <w:rFonts w:ascii="Courier New" w:hAnsi="Courier New" w:eastAsia="Courier New"/>
          <w:sz w:val="15"/>
        </w:rPr>
        <w:t>graph export "graphiques/fig13_moy_statut.png",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Nombre de crédits</w:t>
      </w:r>
    </w:p>
    <w:p>
      <w:pPr>
        <w:spacing w:after="0" w:line="240" w:lineRule="auto"/>
      </w:pPr>
      <w:r>
        <w:rPr>
          <w:rFonts w:ascii="Courier New" w:hAnsi="Courier New" w:eastAsia="Courier New"/>
          <w:sz w:val="15"/>
        </w:rPr>
        <w:t>tabstat credits, by(plusieurs_credits) statistics(n mean p50) format(%9.0f)</w:t>
      </w:r>
    </w:p>
    <w:p>
      <w:pPr>
        <w:spacing w:after="0" w:line="240" w:lineRule="auto"/>
      </w:pPr>
      <w:r>
        <w:rPr>
          <w:rFonts w:ascii="Courier New" w:hAnsi="Courier New" w:eastAsia="Courier New"/>
          <w:sz w:val="15"/>
        </w:rPr>
        <w:t>graph bar (mean) credits, over(plusieurs_credits) bar(1, color("42 120 214")) ///</w:t>
      </w:r>
    </w:p>
    <w:p>
      <w:pPr>
        <w:spacing w:after="0" w:line="240" w:lineRule="auto"/>
      </w:pPr>
      <w:r>
        <w:rPr>
          <w:rFonts w:ascii="Courier New" w:hAnsi="Courier New" w:eastAsia="Courier New"/>
          <w:sz w:val="15"/>
        </w:rPr>
        <w:t xml:space="preserve">    blabel(bar, format(%9.0f)) ytitle("Mensualité moyenne (euros)") ///</w:t>
      </w:r>
    </w:p>
    <w:p>
      <w:pPr>
        <w:spacing w:after="0" w:line="240" w:lineRule="auto"/>
      </w:pPr>
      <w:r>
        <w:rPr>
          <w:rFonts w:ascii="Courier New" w:hAnsi="Courier New" w:eastAsia="Courier New"/>
          <w:sz w:val="15"/>
        </w:rPr>
        <w:t xml:space="preserve">    title("Mensualité moyenne selon le nombre de crédits")</w:t>
      </w:r>
    </w:p>
    <w:p>
      <w:pPr>
        <w:spacing w:after="0" w:line="240" w:lineRule="auto"/>
      </w:pPr>
      <w:r>
        <w:rPr>
          <w:rFonts w:ascii="Courier New" w:hAnsi="Courier New" w:eastAsia="Courier New"/>
          <w:sz w:val="15"/>
        </w:rPr>
        <w:t>graph export "graphiques/fig14_moy_nbcredits.png",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Crédit pour un autre bien immobilier</w:t>
      </w:r>
    </w:p>
    <w:p>
      <w:pPr>
        <w:spacing w:after="0" w:line="240" w:lineRule="auto"/>
      </w:pPr>
      <w:r>
        <w:rPr>
          <w:rFonts w:ascii="Courier New" w:hAnsi="Courier New" w:eastAsia="Courier New"/>
          <w:sz w:val="15"/>
        </w:rPr>
        <w:t>tabstat credits, by(autre_immo) statistics(n mean p50) format(%9.0f)</w:t>
      </w:r>
    </w:p>
    <w:p>
      <w:pPr>
        <w:spacing w:after="0" w:line="240" w:lineRule="auto"/>
      </w:pPr>
      <w:r>
        <w:rPr>
          <w:rFonts w:ascii="Courier New" w:hAnsi="Courier New" w:eastAsia="Courier New"/>
          <w:sz w:val="15"/>
        </w:rPr>
        <w:t>graph bar (mean) credits, over(autre_immo) bar(1, color("42 120 214")) ///</w:t>
      </w:r>
    </w:p>
    <w:p>
      <w:pPr>
        <w:spacing w:after="0" w:line="240" w:lineRule="auto"/>
      </w:pPr>
      <w:r>
        <w:rPr>
          <w:rFonts w:ascii="Courier New" w:hAnsi="Courier New" w:eastAsia="Courier New"/>
          <w:sz w:val="15"/>
        </w:rPr>
        <w:t xml:space="preserve">    blabel(bar, format(%9.0f)) ytitle("Mensualité moyenne (euros)") ///</w:t>
      </w:r>
    </w:p>
    <w:p>
      <w:pPr>
        <w:spacing w:after="0" w:line="240" w:lineRule="auto"/>
      </w:pPr>
      <w:r>
        <w:rPr>
          <w:rFonts w:ascii="Courier New" w:hAnsi="Courier New" w:eastAsia="Courier New"/>
          <w:sz w:val="15"/>
        </w:rPr>
        <w:t xml:space="preserve">    title("Crédit pour un autre bien immobilier")</w:t>
      </w:r>
    </w:p>
    <w:p>
      <w:pPr>
        <w:spacing w:after="0" w:line="240" w:lineRule="auto"/>
      </w:pPr>
      <w:r>
        <w:rPr>
          <w:rFonts w:ascii="Courier New" w:hAnsi="Courier New" w:eastAsia="Courier New"/>
          <w:sz w:val="15"/>
        </w:rPr>
        <w:t>graph export "graphiques/fig15_moy_autreimmo.png",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Nombre d'enfants</w:t>
      </w:r>
    </w:p>
    <w:p>
      <w:pPr>
        <w:spacing w:after="0" w:line="240" w:lineRule="auto"/>
      </w:pPr>
      <w:r>
        <w:rPr>
          <w:rFonts w:ascii="Courier New" w:hAnsi="Courier New" w:eastAsia="Courier New"/>
          <w:sz w:val="15"/>
        </w:rPr>
        <w:t>tabstat credits, by(enfants) statistics(n mean p50) format(%9.0f)</w:t>
      </w:r>
    </w:p>
    <w:p>
      <w:pPr>
        <w:spacing w:after="0" w:line="240" w:lineRule="auto"/>
      </w:pPr>
      <w:r>
        <w:rPr>
          <w:rFonts w:ascii="Courier New" w:hAnsi="Courier New" w:eastAsia="Courier New"/>
          <w:sz w:val="15"/>
        </w:rPr>
        <w:t>** lien entre nombre d'enfants, âge et accession à la propriété</w:t>
      </w:r>
    </w:p>
    <w:p>
      <w:pPr>
        <w:spacing w:after="0" w:line="240" w:lineRule="auto"/>
      </w:pPr>
      <w:r>
        <w:rPr>
          <w:rFonts w:ascii="Courier New" w:hAnsi="Courier New" w:eastAsia="Courier New"/>
          <w:sz w:val="15"/>
        </w:rPr>
        <w:t>tabstat agepr, by(enfants) statistics(mean) format(%9.1f)</w:t>
      </w:r>
    </w:p>
    <w:p>
      <w:pPr>
        <w:spacing w:after="0" w:line="240" w:lineRule="auto"/>
      </w:pPr>
      <w:r>
        <w:rPr>
          <w:rFonts w:ascii="Courier New" w:hAnsi="Courier New" w:eastAsia="Courier New"/>
          <w:sz w:val="15"/>
        </w:rPr>
        <w:t>tab enfants statut, row nofreq</w:t>
      </w:r>
    </w:p>
    <w:p>
      <w:pPr>
        <w:spacing w:after="0" w:line="240" w:lineRule="auto"/>
      </w:pPr>
      <w:r>
        <w:rPr>
          <w:rFonts w:ascii="Courier New" w:hAnsi="Courier New" w:eastAsia="Courier New"/>
          <w:sz w:val="15"/>
        </w:rPr>
        <w:t>graph bar (mean) credits, over(enfants) bar(1, color("42 120 214")) ///</w:t>
      </w:r>
    </w:p>
    <w:p>
      <w:pPr>
        <w:spacing w:after="0" w:line="240" w:lineRule="auto"/>
      </w:pPr>
      <w:r>
        <w:rPr>
          <w:rFonts w:ascii="Courier New" w:hAnsi="Courier New" w:eastAsia="Courier New"/>
          <w:sz w:val="15"/>
        </w:rPr>
        <w:t xml:space="preserve">    blabel(bar, format(%9.0f)) ytitle("Mensualité moyenne (euros)") ///</w:t>
      </w:r>
    </w:p>
    <w:p>
      <w:pPr>
        <w:spacing w:after="0" w:line="240" w:lineRule="auto"/>
      </w:pPr>
      <w:r>
        <w:rPr>
          <w:rFonts w:ascii="Courier New" w:hAnsi="Courier New" w:eastAsia="Courier New"/>
          <w:sz w:val="15"/>
        </w:rPr>
        <w:t xml:space="preserve">    title("Mensualité moyenne selon le nombre d'enfants")</w:t>
      </w:r>
    </w:p>
    <w:p>
      <w:pPr>
        <w:spacing w:after="0" w:line="240" w:lineRule="auto"/>
      </w:pPr>
      <w:r>
        <w:rPr>
          <w:rFonts w:ascii="Courier New" w:hAnsi="Courier New" w:eastAsia="Courier New"/>
          <w:sz w:val="15"/>
        </w:rPr>
        <w:t>graph export "graphiques/fig16_moy_enfants.png",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CSP (barres triées par mensualité moyenne)</w:t>
      </w:r>
    </w:p>
    <w:p>
      <w:pPr>
        <w:spacing w:after="0" w:line="240" w:lineRule="auto"/>
      </w:pPr>
      <w:r>
        <w:rPr>
          <w:rFonts w:ascii="Courier New" w:hAnsi="Courier New" w:eastAsia="Courier New"/>
          <w:sz w:val="15"/>
        </w:rPr>
        <w:t>tabstat credits, by(csp) statistics(n mean p50) format(%9.0f)</w:t>
      </w:r>
    </w:p>
    <w:p>
      <w:pPr>
        <w:spacing w:after="0" w:line="240" w:lineRule="auto"/>
      </w:pPr>
      <w:r>
        <w:rPr>
          <w:rFonts w:ascii="Courier New" w:hAnsi="Courier New" w:eastAsia="Courier New"/>
          <w:sz w:val="15"/>
        </w:rPr>
        <w:t>graph hbar (mean) credits, over(csp, sort(1) descending) bar(1, color("42 120 214")) ///</w:t>
      </w:r>
    </w:p>
    <w:p>
      <w:pPr>
        <w:spacing w:after="0" w:line="240" w:lineRule="auto"/>
      </w:pPr>
      <w:r>
        <w:rPr>
          <w:rFonts w:ascii="Courier New" w:hAnsi="Courier New" w:eastAsia="Courier New"/>
          <w:sz w:val="15"/>
        </w:rPr>
        <w:t xml:space="preserve">    blabel(bar, format(%9.0f)) ytitle("Mensualité moyenne (euros)") ///</w:t>
      </w:r>
    </w:p>
    <w:p>
      <w:pPr>
        <w:spacing w:after="0" w:line="240" w:lineRule="auto"/>
      </w:pPr>
      <w:r>
        <w:rPr>
          <w:rFonts w:ascii="Courier New" w:hAnsi="Courier New" w:eastAsia="Courier New"/>
          <w:sz w:val="15"/>
        </w:rPr>
        <w:t xml:space="preserve">    title("Mensualité moyenne selon la CSP")</w:t>
      </w:r>
    </w:p>
    <w:p>
      <w:pPr>
        <w:spacing w:after="0" w:line="240" w:lineRule="auto"/>
      </w:pPr>
      <w:r>
        <w:rPr>
          <w:rFonts w:ascii="Courier New" w:hAnsi="Courier New" w:eastAsia="Courier New"/>
          <w:sz w:val="15"/>
        </w:rPr>
        <w:t>graph export "graphiques/fig17_moy_csp.png",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Taille de l'unité urbaine</w:t>
      </w:r>
    </w:p>
    <w:p>
      <w:pPr>
        <w:spacing w:after="0" w:line="240" w:lineRule="auto"/>
      </w:pPr>
      <w:r>
        <w:rPr>
          <w:rFonts w:ascii="Courier New" w:hAnsi="Courier New" w:eastAsia="Courier New"/>
          <w:sz w:val="15"/>
        </w:rPr>
        <w:t>tabstat credits, by(uu) statistics(n mean p50) format(%9.0f)</w:t>
      </w:r>
    </w:p>
    <w:p>
      <w:pPr>
        <w:spacing w:after="0" w:line="240" w:lineRule="auto"/>
      </w:pPr>
      <w:r>
        <w:rPr>
          <w:rFonts w:ascii="Courier New" w:hAnsi="Courier New" w:eastAsia="Courier New"/>
          <w:sz w:val="15"/>
        </w:rPr>
        <w:t>graph hbar (mean) credits, over(uu) bar(1, color("42 120 214")) ///</w:t>
      </w:r>
    </w:p>
    <w:p>
      <w:pPr>
        <w:spacing w:after="0" w:line="240" w:lineRule="auto"/>
      </w:pPr>
      <w:r>
        <w:rPr>
          <w:rFonts w:ascii="Courier New" w:hAnsi="Courier New" w:eastAsia="Courier New"/>
          <w:sz w:val="15"/>
        </w:rPr>
        <w:t xml:space="preserve">    blabel(bar, format(%9.0f)) ytitle("Mensualité moyenne (euros)") ///</w:t>
      </w:r>
    </w:p>
    <w:p>
      <w:pPr>
        <w:spacing w:after="0" w:line="240" w:lineRule="auto"/>
      </w:pPr>
      <w:r>
        <w:rPr>
          <w:rFonts w:ascii="Courier New" w:hAnsi="Courier New" w:eastAsia="Courier New"/>
          <w:sz w:val="15"/>
        </w:rPr>
        <w:t xml:space="preserve">    title("Mensualité moyenne selon la taille de l'unité urbaine")</w:t>
      </w:r>
    </w:p>
    <w:p>
      <w:pPr>
        <w:spacing w:after="0" w:line="240" w:lineRule="auto"/>
      </w:pPr>
      <w:r>
        <w:rPr>
          <w:rFonts w:ascii="Courier New" w:hAnsi="Courier New" w:eastAsia="Courier New"/>
          <w:sz w:val="15"/>
        </w:rPr>
        <w:t>graph export "graphiques/fig18_moy_uu.png",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Type de logement</w:t>
      </w:r>
    </w:p>
    <w:p>
      <w:pPr>
        <w:spacing w:after="0" w:line="240" w:lineRule="auto"/>
      </w:pPr>
      <w:r>
        <w:rPr>
          <w:rFonts w:ascii="Courier New" w:hAnsi="Courier New" w:eastAsia="Courier New"/>
          <w:sz w:val="15"/>
        </w:rPr>
        <w:t>tabstat credits, by(maison) statistics(n mean p50) format(%9.0f)</w:t>
      </w:r>
    </w:p>
    <w:p>
      <w:pPr>
        <w:spacing w:after="0" w:line="240" w:lineRule="auto"/>
      </w:pPr>
      <w:r>
        <w:rPr>
          <w:rFonts w:ascii="Courier New" w:hAnsi="Courier New" w:eastAsia="Courier New"/>
          <w:sz w:val="15"/>
        </w:rPr>
        <w:t>tab maison statut, row nofreq</w:t>
      </w:r>
    </w:p>
    <w:p>
      <w:pPr>
        <w:spacing w:after="0" w:line="240" w:lineRule="auto"/>
      </w:pPr>
      <w:r>
        <w:rPr>
          <w:rFonts w:ascii="Courier New" w:hAnsi="Courier New" w:eastAsia="Courier New"/>
          <w:sz w:val="15"/>
        </w:rPr>
        <w:t>graph bar (mean) credits, over(maison) bar(1, color("42 120 214")) ///</w:t>
      </w:r>
    </w:p>
    <w:p>
      <w:pPr>
        <w:spacing w:after="0" w:line="240" w:lineRule="auto"/>
      </w:pPr>
      <w:r>
        <w:rPr>
          <w:rFonts w:ascii="Courier New" w:hAnsi="Courier New" w:eastAsia="Courier New"/>
          <w:sz w:val="15"/>
        </w:rPr>
        <w:t xml:space="preserve">    blabel(bar, format(%9.0f)) ytitle("Mensualité moyenne (euros)") ///</w:t>
      </w:r>
    </w:p>
    <w:p>
      <w:pPr>
        <w:spacing w:after="0" w:line="240" w:lineRule="auto"/>
      </w:pPr>
      <w:r>
        <w:rPr>
          <w:rFonts w:ascii="Courier New" w:hAnsi="Courier New" w:eastAsia="Courier New"/>
          <w:sz w:val="15"/>
        </w:rPr>
        <w:t xml:space="preserve">    title("Mensualité moyenne selon le type de logement")</w:t>
      </w:r>
    </w:p>
    <w:p>
      <w:pPr>
        <w:spacing w:after="0" w:line="240" w:lineRule="auto"/>
      </w:pPr>
      <w:r>
        <w:rPr>
          <w:rFonts w:ascii="Courier New" w:hAnsi="Courier New" w:eastAsia="Courier New"/>
          <w:sz w:val="15"/>
        </w:rPr>
        <w:t>graph export "graphiques/fig19_moy_logement.png", replace width(1600)</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 Fin de la version intermédiaire</w:t>
      </w:r>
    </w:p>
    <w:p>
      <w:pPr>
        <w:spacing w:after="0" w:line="240" w:lineRule="auto"/>
      </w:pPr>
      <w:r>
        <w:rPr>
          <w:rFonts w:ascii="Courier New" w:hAnsi="Courier New" w:eastAsia="Courier New"/>
          <w:sz w:val="15"/>
        </w:rPr>
        <w:t xml:space="preserve"> </w:t>
      </w:r>
    </w:p>
    <w:sectPr w:rsidR="00FC693F" w:rsidRPr="0006063C" w:rsidSect="00034616">
      <w:footerReference w:type="default" r:id="rId9"/>
      <w:pgSz w:w="11906" w:h="16838"/>
      <w:pgMar w:top="1304" w:right="1417" w:bottom="130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cs="Times New Roman"/>
      <w:b/>
      <w:bCs/>
      <w:i w:val="0"/>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i w:val="0"/>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eastAsia="Times New Roman" w:cs="Times New Roman"/>
      <w:b/>
      <w:bCs/>
      <w:i/>
      <w:color w:val="2A2A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