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1、运行文件夹里的</w:t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minerProxy5.exe</w:t>
      </w:r>
    </w:p>
    <w:p>
      <w:p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2、打开浏览器输入</w:t>
      </w: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http://127.0.0.1:18888,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个别用户若无法进入请重新打开minerProxy5.exe，或点击黑框内并按几下回车。</w:t>
      </w:r>
    </w:p>
    <w:p>
      <w:p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3、复制运行框里的token，输入到浏览器里</w:t>
      </w:r>
    </w:p>
    <w:p>
      <w:p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2916555" cy="1632585"/>
            <wp:effectExtent l="0" t="0" r="17145" b="571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drawing>
          <wp:inline distT="0" distB="0" distL="114300" distR="114300">
            <wp:extent cx="4276725" cy="478155"/>
            <wp:effectExtent l="0" t="0" r="9525" b="17145"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在浏览器里点击新建端口，选择抽水模式或转发模式，</w:t>
      </w:r>
      <w:r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>转发模式只需要设置矿池地址和转发服务器的端口。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4777740" cy="3595370"/>
            <wp:effectExtent l="0" t="0" r="3810" b="5080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抽水模式设置如下图：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drawing>
          <wp:inline distT="0" distB="0" distL="114300" distR="114300">
            <wp:extent cx="5270500" cy="5855970"/>
            <wp:effectExtent l="0" t="0" r="6350" b="1143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可以新建不同的端口，开启ssl模式或不开启ssl模式的端口，抽水模式的端口或转发模式的端口，可以把不同的端口发给</w:t>
      </w:r>
      <w:bookmarkStart w:id="0" w:name="_GoBack"/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不同的矿机或不同的矿工用不同的端口。</w:t>
      </w:r>
    </w:p>
    <w:bookmarkEnd w:id="0"/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i/>
          <w:iCs/>
          <w:color w:val="FF0000"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32"/>
          <w:szCs w:val="32"/>
          <w:u w:val="single"/>
          <w:lang w:val="en-US" w:eastAsia="zh-CN"/>
        </w:rPr>
        <w:t>这里设置的端口必须要在服务器的防火墙设置上开启，具体方法请查看文件夹内转发服务器和矿机设置文档。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5B9BD5" w:themeColor="accent1"/>
          <w:sz w:val="32"/>
          <w:szCs w:val="32"/>
          <w:u w:val="single"/>
          <w:lang w:val="en-US" w:eastAsia="zh-CN"/>
          <w14:textFill>
            <w14:solidFill>
              <w14:schemeClr w14:val="accent1"/>
            </w14:solidFill>
          </w14:textFill>
        </w:rPr>
        <w:t>把矿机矿池地址设置为转发服务器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（小白请看文件夹内转发服务器教程）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，好了，可以开始愉快的挖矿或者愉快的抽水了！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3378751">
    <w:nsid w:val="61F3F83F"/>
    <w:multiLevelType w:val="singleLevel"/>
    <w:tmpl w:val="61F3F83F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6433787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71EFC"/>
    <w:rsid w:val="157350FF"/>
    <w:rsid w:val="15991F54"/>
    <w:rsid w:val="3B9E6185"/>
    <w:rsid w:val="3C12660D"/>
    <w:rsid w:val="40AB387D"/>
    <w:rsid w:val="5B8403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双路</dc:creator>
  <cp:lastModifiedBy>双路</cp:lastModifiedBy>
  <dcterms:modified xsi:type="dcterms:W3CDTF">2022-01-28T17:08:22Z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