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1A5EA">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default" w:ascii="宋体" w:hAnsi="宋体"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选题：XXX</w:t>
      </w:r>
    </w:p>
    <w:p w14:paraId="085535F3">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eastAsia" w:ascii="黑体" w:hAnsi="黑体" w:eastAsia="黑体" w:cs="黑体"/>
          <w:b/>
          <w:bCs/>
          <w:color w:val="000000" w:themeColor="text1"/>
          <w:sz w:val="32"/>
          <w:szCs w:val="32"/>
          <w14:textFill>
            <w14:solidFill>
              <w14:schemeClr w14:val="tx1"/>
            </w14:solidFill>
          </w14:textFill>
        </w:rPr>
      </w:pPr>
      <w:r>
        <w:rPr>
          <w:rFonts w:hint="eastAsia" w:ascii="黑体" w:hAnsi="黑体" w:eastAsia="黑体" w:cs="黑体"/>
          <w:b/>
          <w:bCs/>
          <w:color w:val="000000" w:themeColor="text1"/>
          <w:sz w:val="32"/>
          <w:szCs w:val="32"/>
          <w14:textFill>
            <w14:solidFill>
              <w14:schemeClr w14:val="tx1"/>
            </w14:solidFill>
          </w14:textFill>
        </w:rPr>
        <w:t>七十五载科技征程：从追赶到引领的辉煌跨越</w:t>
      </w:r>
    </w:p>
    <w:p w14:paraId="7F031348">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黑体" w:hAnsi="黑体" w:eastAsia="黑体" w:cs="黑体"/>
          <w:b/>
          <w:bCs/>
          <w:color w:val="000000" w:themeColor="text1"/>
          <w:sz w:val="32"/>
          <w:szCs w:val="32"/>
          <w14:textFill>
            <w14:solidFill>
              <w14:schemeClr w14:val="tx1"/>
            </w14:solidFill>
          </w14:textFill>
        </w:rPr>
      </w:pPr>
    </w:p>
    <w:p w14:paraId="1ADA0CBA">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宋体" w:hAnsi="宋体" w:cs="黑体" w:eastAsiaTheme="minorEastAsia"/>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XXX</w:t>
      </w:r>
      <w:r>
        <w:rPr>
          <w:rFonts w:hint="eastAsia" w:ascii="宋体" w:hAnsi="宋体"/>
          <w:color w:val="000000" w:themeColor="text1"/>
          <w:sz w:val="24"/>
          <w14:textFill>
            <w14:solidFill>
              <w14:schemeClr w14:val="tx1"/>
            </w14:solidFill>
          </w14:textFill>
        </w:rPr>
        <w:t>学院</w:t>
      </w:r>
      <w:r>
        <w:rPr>
          <w:rFonts w:hint="eastAsia" w:ascii="宋体" w:hAnsi="宋体"/>
          <w:color w:val="000000" w:themeColor="text1"/>
          <w:sz w:val="24"/>
          <w:lang w:val="en-US" w:eastAsia="zh-CN"/>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lang w:val="en-US" w:eastAsia="zh-CN"/>
          <w14:textFill>
            <w14:solidFill>
              <w14:schemeClr w14:val="tx1"/>
            </w14:solidFill>
          </w14:textFill>
        </w:rPr>
        <w:t>XXX</w:t>
      </w:r>
      <w:r>
        <w:rPr>
          <w:rFonts w:hint="eastAsia" w:ascii="宋体" w:hAnsi="宋体"/>
          <w:color w:val="000000" w:themeColor="text1"/>
          <w:sz w:val="24"/>
          <w14:textFill>
            <w14:solidFill>
              <w14:schemeClr w14:val="tx1"/>
            </w14:solidFill>
          </w14:textFill>
        </w:rPr>
        <w:t>班</w:t>
      </w:r>
      <w:r>
        <w:rPr>
          <w:rFonts w:hint="eastAsia" w:ascii="宋体" w:hAnsi="宋体"/>
          <w:color w:val="000000" w:themeColor="text1"/>
          <w:sz w:val="24"/>
          <w:lang w:val="en-US" w:eastAsia="zh-CN"/>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lang w:val="en-US" w:eastAsia="zh-CN"/>
          <w14:textFill>
            <w14:solidFill>
              <w14:schemeClr w14:val="tx1"/>
            </w14:solidFill>
          </w14:textFill>
        </w:rPr>
        <w:t>XXX</w:t>
      </w:r>
      <w:r>
        <w:rPr>
          <w:rFonts w:hint="eastAsia" w:ascii="宋体" w:hAnsi="宋体"/>
          <w:color w:val="000000" w:themeColor="text1"/>
          <w:sz w:val="24"/>
          <w14:textFill>
            <w14:solidFill>
              <w14:schemeClr w14:val="tx1"/>
            </w14:solidFill>
          </w14:textFill>
        </w:rPr>
        <w:t xml:space="preserve"> </w:t>
      </w:r>
      <w:r>
        <w:rPr>
          <w:rFonts w:hint="eastAsia" w:ascii="宋体" w:hAnsi="宋体"/>
          <w:color w:val="000000" w:themeColor="text1"/>
          <w:sz w:val="24"/>
          <w:lang w:val="en-US" w:eastAsia="zh-CN"/>
          <w14:textFill>
            <w14:solidFill>
              <w14:schemeClr w14:val="tx1"/>
            </w14:solidFill>
          </w14:textFill>
        </w:rPr>
        <w:t xml:space="preserve">      </w:t>
      </w:r>
      <w:r>
        <w:rPr>
          <w:rFonts w:ascii="宋体" w:hAnsi="宋体"/>
          <w:color w:val="000000" w:themeColor="text1"/>
          <w:sz w:val="24"/>
          <w14:textFill>
            <w14:solidFill>
              <w14:schemeClr w14:val="tx1"/>
            </w14:solidFill>
          </w14:textFill>
        </w:rPr>
        <w:t xml:space="preserve"> 202</w:t>
      </w:r>
      <w:r>
        <w:rPr>
          <w:rFonts w:hint="eastAsia" w:ascii="宋体" w:hAnsi="宋体"/>
          <w:color w:val="000000" w:themeColor="text1"/>
          <w:sz w:val="24"/>
          <w:lang w:val="en-US" w:eastAsia="zh-CN"/>
          <w14:textFill>
            <w14:solidFill>
              <w14:schemeClr w14:val="tx1"/>
            </w14:solidFill>
          </w14:textFill>
        </w:rPr>
        <w:t>3XXX</w:t>
      </w:r>
    </w:p>
    <w:p w14:paraId="444EAF26">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黑体" w:hAnsi="黑体" w:eastAsia="黑体" w:cs="黑体"/>
          <w:b/>
          <w:bCs/>
          <w:color w:val="000000" w:themeColor="text1"/>
          <w:sz w:val="32"/>
          <w:szCs w:val="32"/>
          <w14:textFill>
            <w14:solidFill>
              <w14:schemeClr w14:val="tx1"/>
            </w14:solidFill>
          </w14:textFill>
        </w:rPr>
      </w:pPr>
    </w:p>
    <w:p w14:paraId="550DE85C">
      <w:pPr>
        <w:ind w:firstLine="480"/>
        <w:rPr>
          <w:rFonts w:hint="eastAsia"/>
          <w:color w:val="FF0000"/>
        </w:rPr>
      </w:pPr>
      <w:r>
        <w:rPr>
          <w:rFonts w:hint="eastAsia"/>
          <w:color w:val="000000" w:themeColor="text1"/>
          <w14:textFill>
            <w14:solidFill>
              <w14:schemeClr w14:val="tx1"/>
            </w14:solidFill>
          </w14:textFill>
        </w:rPr>
        <w:t>在过去的七十五周年间，科技创新照亮了人类社会不断前进的道路，从科技发展的长河来看，这七十五周年见证了前所未有的变革与突破。“习近平总书记深刻总结了党团结带领全国各族人民取得前所未有的发展成就。生逢盛世，倍感荣耀。”薛其坤说，“特别是党的十八大以来，我国科技事业取得历史性成就、发生历史性变革，基础前沿研究不断实现新突破，一批重大原创成果接连出现，中国的科学事业迎来了新的春天。科研条件提升、科研成果的取得，与国家经济社会发展息息相关。”</w:t>
      </w:r>
      <w:r>
        <w:rPr>
          <w:rStyle w:val="10"/>
          <w:rFonts w:hint="eastAsia"/>
          <w:color w:val="000000" w:themeColor="text1"/>
          <w14:textFill>
            <w14:solidFill>
              <w14:schemeClr w14:val="tx1"/>
            </w14:solidFill>
          </w14:textFill>
        </w:rPr>
        <w:footnoteReference w:id="0"/>
      </w:r>
      <w:r>
        <w:rPr>
          <w:rFonts w:hint="eastAsia"/>
          <w:color w:val="000000" w:themeColor="text1"/>
          <w14:textFill>
            <w14:solidFill>
              <w14:schemeClr w14:val="tx1"/>
            </w14:solidFill>
          </w14:textFill>
        </w:rPr>
        <w:t xml:space="preserve"> 新中国成立75周年以来，在航天、深空探测、导弹和轮船等科技领域取得的一系列成就，充分展示了中国的综合国力和科技实力。这些成就不仅是中国科技工作者智慧和汗水的结晶，更是中国走向繁荣昌盛的有力见证，也为中国在未来的全球发展格局中奠定了坚实的基础。</w:t>
      </w:r>
    </w:p>
    <w:p w14:paraId="6A7A0861">
      <w:pPr>
        <w:pStyle w:val="3"/>
        <w:rPr>
          <w:rFonts w:hint="eastAsia"/>
        </w:rPr>
      </w:pPr>
      <w:r>
        <w:rPr>
          <w:rFonts w:hint="eastAsia"/>
        </w:rPr>
        <w:t>一、航天成就</w:t>
      </w:r>
      <w:r>
        <w:t>——星汉浩渺，逐梦苍穹的壮丽飞升</w:t>
      </w:r>
    </w:p>
    <w:p w14:paraId="154EDB38">
      <w:pPr>
        <w:ind w:firstLine="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（一）通讯卫星技术</w:t>
      </w:r>
    </w:p>
    <w:p w14:paraId="351AB77D">
      <w:pPr>
        <w:ind w:firstLine="480"/>
      </w:pPr>
      <w:r>
        <w:rPr>
          <w:rFonts w:hint="eastAsia"/>
        </w:rPr>
        <w:t>自新中国成立75周年以来，中国航天事业实现了从无到有、从弱到强的伟大跨越。在卫星技术方面，中国发射了众多功能各异的卫星。通信卫星构建起了覆盖全球的通信网络，让信息能够在世界各个角落迅速传递。例如“东方红”系列卫星，开启了中国卫星通信的新纪元，如今无论是偏远山区还是远洋中的船舶，都能借助卫星通信技术与外界保持紧密联系。气象卫星的发展也极为显著，它们精确地监测全球气象变化，为气象预报提供了海量的数据支持，大大提高了气象</w:t>
      </w:r>
      <w:bookmarkStart w:id="0" w:name="_GoBack"/>
      <w:bookmarkEnd w:id="0"/>
      <w:r>
        <w:rPr>
          <w:rFonts w:hint="eastAsia"/>
        </w:rPr>
        <w:t>预报的准确性，像“风云”系列气象卫星，能够对台风等灾害性天气进行及时有效的监测和预警，为防灾减灾做出了巨大贡献。</w:t>
      </w:r>
    </w:p>
    <w:p w14:paraId="3B9BF6B1">
      <w:pPr>
        <w:ind w:firstLine="480"/>
      </w:pPr>
      <w:r>
        <w:rPr>
          <w:rFonts w:hint="eastAsia"/>
        </w:rPr>
        <w:drawing>
          <wp:anchor distT="0" distB="0" distL="114300" distR="114300" simplePos="0" relativeHeight="251664384" behindDoc="0" locked="0" layoutInCell="1" allowOverlap="1">
            <wp:simplePos x="0" y="0"/>
            <wp:positionH relativeFrom="column">
              <wp:posOffset>1877060</wp:posOffset>
            </wp:positionH>
            <wp:positionV relativeFrom="paragraph">
              <wp:posOffset>635</wp:posOffset>
            </wp:positionV>
            <wp:extent cx="2160270" cy="1214755"/>
            <wp:effectExtent l="0" t="0" r="0" b="4445"/>
            <wp:wrapNone/>
            <wp:docPr id="1094139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39487"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60000" cy="1215000"/>
                    </a:xfrm>
                    <a:prstGeom prst="rect">
                      <a:avLst/>
                    </a:prstGeom>
                    <a:noFill/>
                  </pic:spPr>
                </pic:pic>
              </a:graphicData>
            </a:graphic>
          </wp:anchor>
        </w:drawing>
      </w:r>
    </w:p>
    <w:p w14:paraId="4C1CC379">
      <w:pPr>
        <w:ind w:firstLine="480"/>
      </w:pPr>
    </w:p>
    <w:p w14:paraId="0D87C7C3">
      <w:pPr>
        <w:ind w:firstLine="480"/>
      </w:pPr>
    </w:p>
    <w:p w14:paraId="58543FE1">
      <w:pPr>
        <w:ind w:firstLine="480"/>
        <w:rPr>
          <w:rFonts w:hint="eastAsia"/>
        </w:rPr>
      </w:pPr>
      <w:r>
        <mc:AlternateContent>
          <mc:Choice Requires="wps">
            <w:drawing>
              <wp:anchor distT="0" distB="0" distL="114300" distR="114300" simplePos="0" relativeHeight="251663360" behindDoc="0" locked="0" layoutInCell="1" allowOverlap="1">
                <wp:simplePos x="0" y="0"/>
                <wp:positionH relativeFrom="column">
                  <wp:posOffset>1938655</wp:posOffset>
                </wp:positionH>
                <wp:positionV relativeFrom="paragraph">
                  <wp:posOffset>250825</wp:posOffset>
                </wp:positionV>
                <wp:extent cx="2159635" cy="635"/>
                <wp:effectExtent l="0" t="0" r="0" b="0"/>
                <wp:wrapNone/>
                <wp:docPr id="360362406" name="文本框 1"/>
                <wp:cNvGraphicFramePr/>
                <a:graphic xmlns:a="http://schemas.openxmlformats.org/drawingml/2006/main">
                  <a:graphicData uri="http://schemas.microsoft.com/office/word/2010/wordprocessingShape">
                    <wps:wsp>
                      <wps:cNvSpPr txBox="1"/>
                      <wps:spPr>
                        <a:xfrm>
                          <a:off x="0" y="0"/>
                          <a:ext cx="2159635" cy="635"/>
                        </a:xfrm>
                        <a:prstGeom prst="rect">
                          <a:avLst/>
                        </a:prstGeom>
                        <a:solidFill>
                          <a:prstClr val="white"/>
                        </a:solidFill>
                        <a:ln>
                          <a:noFill/>
                        </a:ln>
                      </wps:spPr>
                      <wps:txbx>
                        <w:txbxContent>
                          <w:p w14:paraId="4857D3C1">
                            <w:pPr>
                              <w:pStyle w:val="4"/>
                              <w:ind w:firstLine="420"/>
                              <w:rPr>
                                <w:rFonts w:ascii="宋体" w:hAnsi="宋体" w:eastAsia="宋体"/>
                                <w:sz w:val="21"/>
                                <w:szCs w:val="21"/>
                              </w:rPr>
                            </w:pPr>
                            <w:r>
                              <w:rPr>
                                <w:rFonts w:hint="eastAsia" w:ascii="宋体" w:hAnsi="宋体" w:eastAsia="宋体"/>
                                <w:sz w:val="21"/>
                                <w:szCs w:val="21"/>
                              </w:rPr>
                              <w:t xml:space="preserve">图 </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第一颗人造卫星发射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52.65pt;margin-top:19.75pt;height:0.05pt;width:170.05pt;z-index:251663360;mso-width-relative:page;mso-height-relative:page;" fillcolor="#FFFFFF" filled="t" stroked="f" coordsize="21600,21600" o:gfxdata="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I+l852QAAAAkBAAAPAAAAAAAAAAEAIAAAACIA&#10;AABkcnMvZG93bnJldi54bWxQSwECFAAUAAAACACHTuJATHuAKEECAAB6BAAADgAAAAAAAAABACAA&#10;AAAoAQAAZHJzL2Uyb0RvYy54bWxQSwUGAAAAAAYABgBZAQAA2wUAAAAA&#10;">
                <v:fill on="t" focussize="0,0"/>
                <v:stroke on="f"/>
                <v:imagedata o:title=""/>
                <o:lock v:ext="edit" aspectratio="f"/>
                <v:textbox inset="0mm,0mm,0mm,0mm" style="mso-fit-shape-to-text:t;">
                  <w:txbxContent>
                    <w:p w14:paraId="4857D3C1">
                      <w:pPr>
                        <w:pStyle w:val="4"/>
                        <w:ind w:firstLine="420"/>
                        <w:rPr>
                          <w:rFonts w:ascii="宋体" w:hAnsi="宋体" w:eastAsia="宋体"/>
                          <w:sz w:val="21"/>
                          <w:szCs w:val="21"/>
                        </w:rPr>
                      </w:pPr>
                      <w:r>
                        <w:rPr>
                          <w:rFonts w:hint="eastAsia" w:ascii="宋体" w:hAnsi="宋体" w:eastAsia="宋体"/>
                          <w:sz w:val="21"/>
                          <w:szCs w:val="21"/>
                        </w:rPr>
                        <w:t xml:space="preserve">图 </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第一颗人造卫星发射</w:t>
                      </w:r>
                    </w:p>
                  </w:txbxContent>
                </v:textbox>
              </v:shape>
            </w:pict>
          </mc:Fallback>
        </mc:AlternateContent>
      </w:r>
    </w:p>
    <w:p w14:paraId="40732A68">
      <w:pPr>
        <w:ind w:firstLine="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（二）载人航天工程</w:t>
      </w:r>
    </w:p>
    <w:p w14:paraId="5362F23A">
      <w:pPr>
        <w:ind w:firstLine="480"/>
        <w:rPr>
          <w:color w:val="000000" w:themeColor="text1"/>
          <w14:textFill>
            <w14:solidFill>
              <w14:schemeClr w14:val="tx1"/>
            </w14:solidFill>
          </w14:textFill>
        </w:rPr>
      </w:pPr>
      <w:r>
        <w:t>载人航天工程已然成为中国航天领域一块极为耀眼的</w:t>
      </w:r>
      <w:r>
        <w:rPr>
          <w:rFonts w:hint="eastAsia"/>
        </w:rPr>
        <w:t>名牌</w:t>
      </w:r>
      <w:r>
        <w:t>。</w:t>
      </w:r>
      <w:r>
        <w:rPr>
          <w:rFonts w:hint="eastAsia"/>
          <w:color w:val="000000" w:themeColor="text1"/>
          <w14:textFill>
            <w14:solidFill>
              <w14:schemeClr w14:val="tx1"/>
            </w14:solidFill>
          </w14:textFill>
        </w:rPr>
        <w:t>探索浩瀚宇宙,发展航天事业,建设航天强国,是我们不懈追求的航天梦。党的十八大以来,习近平总书记始终高度关注我国航天事业发展,深情寄语航天人,围绕航天技术创新、人才队伍建设、重大工程实施等发表一系列重要论述,为发展航天事业、建设航天强国指明了前进方向、提供了根本遵循。</w:t>
      </w:r>
      <w:r>
        <w:rPr>
          <w:rStyle w:val="10"/>
          <w:rFonts w:hint="eastAsia"/>
          <w:color w:val="000000" w:themeColor="text1"/>
          <w14:textFill>
            <w14:solidFill>
              <w14:schemeClr w14:val="tx1"/>
            </w14:solidFill>
          </w14:textFill>
        </w:rPr>
        <w:footnoteReference w:id="1"/>
      </w:r>
    </w:p>
    <w:p w14:paraId="667F0E0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65408" behindDoc="0" locked="0" layoutInCell="1" allowOverlap="1">
            <wp:simplePos x="0" y="0"/>
            <wp:positionH relativeFrom="column">
              <wp:posOffset>803910</wp:posOffset>
            </wp:positionH>
            <wp:positionV relativeFrom="paragraph">
              <wp:posOffset>34290</wp:posOffset>
            </wp:positionV>
            <wp:extent cx="4230370" cy="2051685"/>
            <wp:effectExtent l="0" t="0" r="18415" b="6350"/>
            <wp:wrapNone/>
            <wp:docPr id="27741170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6D3833B6">
      <w:pPr>
        <w:ind w:firstLine="480"/>
        <w:rPr>
          <w:color w:val="000000" w:themeColor="text1"/>
          <w14:textFill>
            <w14:solidFill>
              <w14:schemeClr w14:val="tx1"/>
            </w14:solidFill>
          </w14:textFill>
        </w:rPr>
      </w:pPr>
    </w:p>
    <w:p w14:paraId="3AE64294">
      <w:pPr>
        <w:ind w:firstLine="480"/>
        <w:rPr>
          <w:color w:val="000000" w:themeColor="text1"/>
          <w14:textFill>
            <w14:solidFill>
              <w14:schemeClr w14:val="tx1"/>
            </w14:solidFill>
          </w14:textFill>
        </w:rPr>
      </w:pPr>
    </w:p>
    <w:p w14:paraId="220A2FE9">
      <w:pPr>
        <w:ind w:firstLine="480"/>
        <w:rPr>
          <w:color w:val="000000" w:themeColor="text1"/>
          <w14:textFill>
            <w14:solidFill>
              <w14:schemeClr w14:val="tx1"/>
            </w14:solidFill>
          </w14:textFill>
        </w:rPr>
      </w:pPr>
    </w:p>
    <w:p w14:paraId="5E5E0E98">
      <w:pPr>
        <w:ind w:firstLine="480"/>
        <w:rPr>
          <w:color w:val="000000" w:themeColor="text1"/>
          <w14:textFill>
            <w14:solidFill>
              <w14:schemeClr w14:val="tx1"/>
            </w14:solidFill>
          </w14:textFill>
        </w:rPr>
      </w:pPr>
    </w:p>
    <w:p w14:paraId="2E1F6690">
      <w:pPr>
        <w:ind w:firstLine="480"/>
        <w:rPr>
          <w:color w:val="000000" w:themeColor="text1"/>
          <w14:textFill>
            <w14:solidFill>
              <w14:schemeClr w14:val="tx1"/>
            </w14:solidFill>
          </w14:textFill>
        </w:rPr>
      </w:pPr>
    </w:p>
    <w:p w14:paraId="4FF1FE4D">
      <w:pPr>
        <w:ind w:firstLine="480"/>
        <w:rPr>
          <w:rFonts w:hint="eastAsia"/>
          <w:color w:val="000000" w:themeColor="text1"/>
          <w14:textFill>
            <w14:solidFill>
              <w14:schemeClr w14:val="tx1"/>
            </w14:solidFill>
          </w14:textFill>
        </w:rPr>
      </w:pPr>
    </w:p>
    <w:p w14:paraId="3F8BC0B2">
      <w:pPr>
        <w:ind w:firstLine="480"/>
        <w:rPr>
          <w:rFonts w:hint="eastAsia"/>
          <w:color w:val="000000" w:themeColor="text1"/>
          <w14:textFill>
            <w14:solidFill>
              <w14:schemeClr w14:val="tx1"/>
            </w14:solidFill>
          </w14:textFill>
        </w:rPr>
      </w:pPr>
      <w:r>
        <mc:AlternateContent>
          <mc:Choice Requires="wps">
            <w:drawing>
              <wp:anchor distT="0" distB="0" distL="114300" distR="114300" simplePos="0" relativeHeight="251662336" behindDoc="0" locked="0" layoutInCell="1" allowOverlap="1">
                <wp:simplePos x="0" y="0"/>
                <wp:positionH relativeFrom="column">
                  <wp:posOffset>1781175</wp:posOffset>
                </wp:positionH>
                <wp:positionV relativeFrom="paragraph">
                  <wp:posOffset>41275</wp:posOffset>
                </wp:positionV>
                <wp:extent cx="4229735" cy="635"/>
                <wp:effectExtent l="0" t="0" r="0" b="0"/>
                <wp:wrapNone/>
                <wp:docPr id="1567063647" name="文本框 1"/>
                <wp:cNvGraphicFramePr/>
                <a:graphic xmlns:a="http://schemas.openxmlformats.org/drawingml/2006/main">
                  <a:graphicData uri="http://schemas.microsoft.com/office/word/2010/wordprocessingShape">
                    <wps:wsp>
                      <wps:cNvSpPr txBox="1"/>
                      <wps:spPr>
                        <a:xfrm>
                          <a:off x="0" y="0"/>
                          <a:ext cx="4229735" cy="635"/>
                        </a:xfrm>
                        <a:prstGeom prst="rect">
                          <a:avLst/>
                        </a:prstGeom>
                        <a:solidFill>
                          <a:prstClr val="white"/>
                        </a:solidFill>
                        <a:ln>
                          <a:noFill/>
                        </a:ln>
                      </wps:spPr>
                      <wps:txbx>
                        <w:txbxContent>
                          <w:p w14:paraId="207EB8A3">
                            <w:pPr>
                              <w:pStyle w:val="4"/>
                              <w:ind w:firstLine="420"/>
                              <w:rPr>
                                <w:rFonts w:ascii="宋体" w:hAnsi="宋体" w:eastAsia="宋体"/>
                                <w:color w:val="000000" w:themeColor="text1"/>
                                <w:sz w:val="21"/>
                                <w:szCs w:val="21"/>
                                <w14:textFill>
                                  <w14:solidFill>
                                    <w14:schemeClr w14:val="tx1"/>
                                  </w14:solidFill>
                                </w14:textFill>
                              </w:rPr>
                            </w:pPr>
                            <w:r>
                              <w:rPr>
                                <w:rFonts w:hint="eastAsia" w:ascii="宋体" w:hAnsi="宋体" w:eastAsia="宋体"/>
                                <w:sz w:val="21"/>
                                <w:szCs w:val="21"/>
                              </w:rPr>
                              <w:t xml:space="preserve">表 </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中国航天发射次数情况表</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40.25pt;margin-top:3.25pt;height:0.05pt;width:333.05pt;z-index:251662336;mso-width-relative:page;mso-height-relative:page;" fillcolor="#FFFFFF" filled="t" stroked="f" coordsize="21600,21600" o:gfxdata="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Ioe231wAAAAcBAAAPAAAAAAAAAAEAIAAAACIA&#10;AABkcnMvZG93bnJldi54bWxQSwECFAAUAAAACACHTuJAGUh43EMCAAB7BAAADgAAAAAAAAABACAA&#10;AAAmAQAAZHJzL2Uyb0RvYy54bWxQSwUGAAAAAAYABgBZAQAA2wUAAAAA&#10;">
                <v:fill on="t" focussize="0,0"/>
                <v:stroke on="f"/>
                <v:imagedata o:title=""/>
                <o:lock v:ext="edit" aspectratio="f"/>
                <v:textbox inset="0mm,0mm,0mm,0mm" style="mso-fit-shape-to-text:t;">
                  <w:txbxContent>
                    <w:p w14:paraId="207EB8A3">
                      <w:pPr>
                        <w:pStyle w:val="4"/>
                        <w:ind w:firstLine="420"/>
                        <w:rPr>
                          <w:rFonts w:ascii="宋体" w:hAnsi="宋体" w:eastAsia="宋体"/>
                          <w:color w:val="000000" w:themeColor="text1"/>
                          <w:sz w:val="21"/>
                          <w:szCs w:val="21"/>
                          <w14:textFill>
                            <w14:solidFill>
                              <w14:schemeClr w14:val="tx1"/>
                            </w14:solidFill>
                          </w14:textFill>
                        </w:rPr>
                      </w:pPr>
                      <w:r>
                        <w:rPr>
                          <w:rFonts w:hint="eastAsia" w:ascii="宋体" w:hAnsi="宋体" w:eastAsia="宋体"/>
                          <w:sz w:val="21"/>
                          <w:szCs w:val="21"/>
                        </w:rPr>
                        <w:t xml:space="preserve">表 </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中国航天发射次数情况表</w:t>
                      </w:r>
                    </w:p>
                  </w:txbxContent>
                </v:textbox>
              </v:shape>
            </w:pict>
          </mc:Fallback>
        </mc:AlternateContent>
      </w:r>
    </w:p>
    <w:p w14:paraId="36EA4B0D">
      <w:pPr>
        <w:ind w:firstLine="480"/>
        <w:rPr>
          <w:rFonts w:hint="eastAsia"/>
        </w:rPr>
      </w:pPr>
      <w:r>
        <w:t>回溯往昔，自神舟五号承载着杨利伟一飞冲天起，中国在载人航天这一伟大征程上便不断开疆拓土，持续取得众多突破性的成果。</w:t>
      </w:r>
      <w:r>
        <w:rPr>
          <w:rFonts w:hint="eastAsia"/>
        </w:rPr>
        <w:t>2024年，</w:t>
      </w:r>
      <w:r>
        <w:t>中国的新一代载人飞船在技术层面实现了重大突破</w:t>
      </w:r>
      <w:r>
        <w:rPr>
          <w:rFonts w:hint="eastAsia"/>
        </w:rPr>
        <w:t>，</w:t>
      </w:r>
      <w:r>
        <w:t>这不仅仅是技术数字上的跨越，更是中国航天实力全方位提升的有力证明。</w:t>
      </w:r>
      <w:r>
        <w:rPr>
          <w:rFonts w:hint="eastAsia"/>
        </w:rPr>
        <w:t>其具备更强大的生命保障系统，能够支持更长时间的太空飞行任务。神舟系列飞船的多次成功发射与返回，标志着中国载人航天技术的日益成熟。中国空间站在2024年迎来了新的扩展阶段，天宫空间站的建设更是让中国在太空拥有了自己的“家园”。新的实验舱段被成功发射并对接，空间站的规模进一步扩大。</w:t>
      </w:r>
      <w:r>
        <w:t>航天员们进驻空间站后，有条不紊地开展着一系列涵盖诸多学科领域的科学实验</w:t>
      </w:r>
      <w:r>
        <w:rPr>
          <w:rFonts w:hint="eastAsia"/>
        </w:rPr>
        <w:t>，</w:t>
      </w:r>
      <w:r>
        <w:t>这些在空间站开展的科学实验为中国的科学发展精心构筑了一个独一无二的太空实验平台</w:t>
      </w:r>
      <w:r>
        <w:rPr>
          <w:rFonts w:hint="eastAsia"/>
        </w:rPr>
        <w:t>，</w:t>
      </w:r>
      <w:r>
        <w:t>彰显了中国在航天探索领域不可小觑的强大实力，向全世界昭示着中国在航天事业发展进程中的坚定决心与卓越能力。</w:t>
      </w:r>
    </w:p>
    <w:p w14:paraId="1A6331AF">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正如习近平总书记所言,建设航天强国要靠一代代人接续奋斗。一代代航天人勇于创新突破,一定会在逐梦太空的征途上发出夺目光彩,为我国航天科技实现高水平自立自强再立新功。星空浩瀚无比，探索永无止境。建设航天强国要靠一代一代航天人接续奋斗。</w:t>
      </w:r>
      <w:r>
        <w:rPr>
          <w:rStyle w:val="10"/>
          <w:rFonts w:hint="eastAsia"/>
          <w:color w:val="000000" w:themeColor="text1"/>
          <w14:textFill>
            <w14:solidFill>
              <w14:schemeClr w14:val="tx1"/>
            </w14:solidFill>
          </w14:textFill>
        </w:rPr>
        <w:footnoteReference w:id="2"/>
      </w:r>
    </w:p>
    <w:p w14:paraId="41471835">
      <w:pPr>
        <w:pStyle w:val="3"/>
        <w:rPr>
          <w:rFonts w:hint="eastAsia"/>
        </w:rPr>
      </w:pPr>
      <w:r>
        <w:rPr>
          <w:rFonts w:hint="eastAsia"/>
        </w:rPr>
        <w:t>二、深空探测成就</w:t>
      </w:r>
      <w:r>
        <w:t>——探秘宇宙深处的勇敢征程</w:t>
      </w:r>
    </w:p>
    <w:p w14:paraId="2A5EA304">
      <w:pPr>
        <w:ind w:firstLine="480"/>
        <w:rPr>
          <w:rFonts w:hint="eastAsia"/>
          <w:color w:val="000000" w:themeColor="text1"/>
          <w14:textFill>
            <w14:solidFill>
              <w14:schemeClr w14:val="tx1"/>
            </w14:solidFill>
          </w14:textFill>
        </w:rPr>
      </w:pPr>
      <w:r>
        <w:rPr>
          <w:rFonts w:hint="eastAsia"/>
        </w:rPr>
        <w:t>中国的深空探测事业在这75年里取得了令人瞩目的成就。</w:t>
      </w:r>
      <w:r>
        <w:rPr>
          <w:rFonts w:hint="eastAsia"/>
          <w:color w:val="000000" w:themeColor="text1"/>
          <w14:textFill>
            <w14:solidFill>
              <w14:schemeClr w14:val="tx1"/>
            </w14:solidFill>
          </w14:textFill>
        </w:rPr>
        <w:t>习近平总书记强调：“探月工程成果凝结着我国几代航天人的智慧和心血，从侧面展示了我们这些年在科技自立自强上取得的显著成就，充分展现了中国人的志气、骨气和底气。</w:t>
      </w:r>
      <w:r>
        <w:rPr>
          <w:rStyle w:val="10"/>
          <w:rFonts w:hint="eastAsia"/>
          <w:color w:val="000000" w:themeColor="text1"/>
          <w14:textFill>
            <w14:solidFill>
              <w14:schemeClr w14:val="tx1"/>
            </w14:solidFill>
          </w14:textFill>
        </w:rPr>
        <w:footnoteReference w:id="3"/>
      </w:r>
    </w:p>
    <w:p w14:paraId="44657F70">
      <w:pPr>
        <w:ind w:firstLine="482"/>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（一）月球探测工程</w:t>
      </w:r>
    </w:p>
    <w:p w14:paraId="1B8378CA">
      <w:pPr>
        <w:ind w:firstLine="480"/>
        <w:rPr>
          <w:rFonts w:hint="eastAsia"/>
        </w:rPr>
      </w:pPr>
      <w:r>
        <w:rPr>
          <w:rFonts w:hint="eastAsia"/>
        </w:rPr>
        <w:t>月球探测工程“嫦娥”系列堪称经典之作。嫦娥一号成功绕月，绘制了月球表面的全图，让人类对月球有了更全面的认识。嫦娥三号实现了月球软着陆，玉兔号月球车在月球表面开展巡视探测，它所获取的月球地质结构、土壤成分等数据为研究月球的起源和演化提供了珍贵的第一手资料。嫦娥五号更是完成了月球采样返回任务，这是中国航天领域的又一里程碑，这一壮举使中国成为世界上第三个从月球采样返回的国家，同时2024年</w:t>
      </w:r>
      <w:r>
        <w:t>6月25日</w:t>
      </w:r>
      <w:r>
        <w:rPr>
          <w:rFonts w:hint="eastAsia"/>
        </w:rPr>
        <w:t>，</w:t>
      </w:r>
      <w:r>
        <w:t>嫦娥六号返回器携带来自月背的月球样品安全着陆在内蒙古四子王旗预定区域，探月工程嫦娥六号任务取得</w:t>
      </w:r>
      <w:r>
        <w:rPr>
          <w:rFonts w:hint="eastAsia"/>
        </w:rPr>
        <w:t>了</w:t>
      </w:r>
      <w:r>
        <w:t>圆满成功</w:t>
      </w:r>
      <w:r>
        <w:rPr>
          <w:rFonts w:hint="eastAsia"/>
        </w:rPr>
        <w:t>，为全球月球科学研究做出了不可替代的贡献。</w:t>
      </w:r>
    </w:p>
    <w:p w14:paraId="30293FA0">
      <w:pPr>
        <w:ind w:firstLine="482"/>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（二）火星探测工程</w:t>
      </w:r>
    </w:p>
    <w:p w14:paraId="6AA6FE8C">
      <w:pPr>
        <w:ind w:firstLine="480"/>
        <w:rPr>
          <w:rFonts w:hint="eastAsia"/>
        </w:rPr>
      </w:pPr>
      <w:r>
        <w:t>火星探测任务“天问一号”获得了极为辉煌的成功。天问一号在整个火星探测进程中一次性达成了环绕火星、着陆火星以及巡视火星这三项极具挑战性的任务。其中，祝融号火星车在火星表面自如行驶，积极开展对火星地质结构的深度探究</w:t>
      </w:r>
      <w:r>
        <w:rPr>
          <w:rFonts w:hint="eastAsia"/>
        </w:rPr>
        <w:t>，</w:t>
      </w:r>
      <w:r>
        <w:t>密切关注火星的气象状况</w:t>
      </w:r>
      <w:r>
        <w:rPr>
          <w:rFonts w:hint="eastAsia"/>
        </w:rPr>
        <w:t>等，</w:t>
      </w:r>
      <w:r>
        <w:t>向全世界展示了中国在航天科技领域的卓越实力与无限潜力，也激励着更多国家积极投身于行星探测的伟大事业之中。</w:t>
      </w:r>
    </w:p>
    <w:p w14:paraId="075BCD60">
      <w:pPr>
        <w:pStyle w:val="3"/>
        <w:rPr>
          <w:rFonts w:hint="eastAsia"/>
        </w:rPr>
      </w:pPr>
      <w:r>
        <w:rPr>
          <w:rFonts w:hint="eastAsia"/>
        </w:rPr>
        <w:t>三、导弹成就</w:t>
      </w:r>
      <w:r>
        <w:t>——铸就护国利箭的卓越飞跃</w:t>
      </w:r>
    </w:p>
    <w:p w14:paraId="2A7B9509">
      <w:pPr>
        <w:ind w:firstLine="480"/>
      </w:pPr>
      <w:r>
        <w:rPr>
          <w:rFonts w:hint="eastAsia"/>
        </w:rPr>
        <w:t>在当今世界格局下，科技的发展水平深刻影响着一个民族、一个国家的兴衰荣辱。科技兴则民族兴，科技强则国家强。在导弹领域，中国的发展历程充满了艰辛与辉煌。从早期的仿制到自主研发，中国导弹技术不断突破。近年来，我国在导弹技术领域取得了举世瞩目的辉煌成就，尤其是洲际弹道导弹实力已达到国际领先水平。我国自主研发的东风系列洲际弹道导弹东风- 5洲际弹道导弹，射程远、威力大，具备强大的战略威慑能力，是中国国家安全的坚实保障。随着技术的发展，东风- 31、东风- 41等新一代洲际弹道导弹相继问世。东风 - 41洲际弹道导弹具有机动性强、突防能力高、打击精度高等诸多优点，它的出现进一步提升了中国的战略核威慑力量，使中国在国际战略格局中拥有了更为重要的话语权。新中国成立75周年之际，中国成功发射了一枚东风31AG洲际弹道导弹，特别是结合北斗卫星系统后，导弹的精度达到了前所未有的高度，该导弹精准地落在了远在12000公</w:t>
      </w:r>
      <w:r>
        <w:drawing>
          <wp:anchor distT="0" distB="0" distL="114300" distR="114300" simplePos="0" relativeHeight="251666432" behindDoc="0" locked="0" layoutInCell="1" allowOverlap="1">
            <wp:simplePos x="0" y="0"/>
            <wp:positionH relativeFrom="column">
              <wp:posOffset>1805940</wp:posOffset>
            </wp:positionH>
            <wp:positionV relativeFrom="paragraph">
              <wp:posOffset>1755140</wp:posOffset>
            </wp:positionV>
            <wp:extent cx="1876425" cy="2360295"/>
            <wp:effectExtent l="0" t="0" r="0" b="1905"/>
            <wp:wrapNone/>
            <wp:docPr id="18851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08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1498" cy="2366696"/>
                    </a:xfrm>
                    <a:prstGeom prst="rect">
                      <a:avLst/>
                    </a:prstGeom>
                  </pic:spPr>
                </pic:pic>
              </a:graphicData>
            </a:graphic>
          </wp:anchor>
        </w:drawing>
      </w:r>
      <w:r>
        <w:rPr>
          <w:rFonts w:hint="eastAsia"/>
        </w:rPr>
        <w:t>里外的预定海域，真正实现了“指哪打哪”的强大能力。</w:t>
      </w:r>
    </w:p>
    <w:p w14:paraId="4D6D0C80">
      <w:pPr>
        <w:ind w:firstLine="480"/>
      </w:pPr>
    </w:p>
    <w:p w14:paraId="769278D8">
      <w:pPr>
        <w:ind w:firstLine="480"/>
      </w:pPr>
    </w:p>
    <w:p w14:paraId="79D1FA5E">
      <w:pPr>
        <w:ind w:firstLine="480"/>
      </w:pPr>
    </w:p>
    <w:p w14:paraId="2865B04F">
      <w:pPr>
        <w:ind w:firstLine="480"/>
      </w:pPr>
    </w:p>
    <w:p w14:paraId="3603D6B2">
      <w:pPr>
        <w:ind w:firstLine="480"/>
      </w:pPr>
    </w:p>
    <w:p w14:paraId="3E63BA68">
      <w:pPr>
        <w:ind w:firstLine="480"/>
      </w:pPr>
    </w:p>
    <w:p w14:paraId="43E88731">
      <w:pPr>
        <w:ind w:firstLine="480"/>
      </w:pPr>
    </w:p>
    <w:p w14:paraId="2B51B9E7">
      <w:pPr>
        <w:ind w:firstLine="480"/>
        <w:rPr>
          <w:rFonts w:hint="eastAsia"/>
        </w:rPr>
      </w:pPr>
    </w:p>
    <w:p w14:paraId="6D603A4C">
      <w:pPr>
        <w:ind w:firstLine="480"/>
        <w:rPr>
          <w:rFonts w:hint="eastAsia"/>
        </w:rPr>
      </w:pPr>
      <w:r>
        <mc:AlternateContent>
          <mc:Choice Requires="wps">
            <w:drawing>
              <wp:anchor distT="0" distB="0" distL="114300" distR="114300" simplePos="0" relativeHeight="251661312" behindDoc="0" locked="0" layoutInCell="1" allowOverlap="1">
                <wp:simplePos x="0" y="0"/>
                <wp:positionH relativeFrom="column">
                  <wp:posOffset>1328420</wp:posOffset>
                </wp:positionH>
                <wp:positionV relativeFrom="paragraph">
                  <wp:posOffset>25400</wp:posOffset>
                </wp:positionV>
                <wp:extent cx="2759075" cy="635"/>
                <wp:effectExtent l="0" t="0" r="3175" b="0"/>
                <wp:wrapNone/>
                <wp:docPr id="1633306390" name="文本框 1"/>
                <wp:cNvGraphicFramePr/>
                <a:graphic xmlns:a="http://schemas.openxmlformats.org/drawingml/2006/main">
                  <a:graphicData uri="http://schemas.microsoft.com/office/word/2010/wordprocessingShape">
                    <wps:wsp>
                      <wps:cNvSpPr txBox="1"/>
                      <wps:spPr>
                        <a:xfrm>
                          <a:off x="0" y="0"/>
                          <a:ext cx="2759103" cy="635"/>
                        </a:xfrm>
                        <a:prstGeom prst="rect">
                          <a:avLst/>
                        </a:prstGeom>
                        <a:solidFill>
                          <a:prstClr val="white"/>
                        </a:solidFill>
                        <a:ln>
                          <a:noFill/>
                        </a:ln>
                      </wps:spPr>
                      <wps:txbx>
                        <w:txbxContent>
                          <w:p w14:paraId="4767DF4C">
                            <w:pPr>
                              <w:pStyle w:val="4"/>
                              <w:ind w:firstLine="420"/>
                              <w:rPr>
                                <w:rFonts w:ascii="宋体" w:hAnsi="宋体" w:eastAsia="宋体"/>
                                <w:sz w:val="21"/>
                                <w:szCs w:val="21"/>
                              </w:rPr>
                            </w:pPr>
                            <w:r>
                              <w:rPr>
                                <w:rFonts w:hint="eastAsia" w:ascii="宋体" w:hAnsi="宋体" w:eastAsia="宋体"/>
                                <w:sz w:val="21"/>
                                <w:szCs w:val="21"/>
                              </w:rPr>
                              <w:t xml:space="preserve">图 </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2</w:t>
                            </w:r>
                            <w:r>
                              <w:rPr>
                                <w:rFonts w:hint="eastAsia" w:ascii="宋体" w:hAnsi="宋体" w:eastAsia="宋体"/>
                                <w:sz w:val="21"/>
                                <w:szCs w:val="21"/>
                              </w:rPr>
                              <w:fldChar w:fldCharType="end"/>
                            </w:r>
                            <w:r>
                              <w:rPr>
                                <w:rFonts w:hint="eastAsia" w:ascii="宋体" w:hAnsi="宋体" w:eastAsia="宋体"/>
                                <w:sz w:val="21"/>
                                <w:szCs w:val="21"/>
                              </w:rPr>
                              <w:t>微博人民日报公布发射导弹现场图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04.6pt;margin-top:2pt;height:0.05pt;width:217.25pt;z-index:251661312;mso-width-relative:page;mso-height-relative:page;" fillcolor="#FFFFFF" filled="t" stroked="f" coordsize="21600,21600" o:gfxdata="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uxgnzXAAAABwEAAA8AAAAAAAAAAQAgAAAAIgAA&#10;AGRycy9kb3ducmV2LnhtbFBLAQIUABQAAAAIAIdO4kDYIZ0UQgIAAHsEAAAOAAAAAAAAAAEAIAAA&#10;ACYBAABkcnMvZTJvRG9jLnhtbFBLBQYAAAAABgAGAFkBAADaBQAAAAA=&#10;">
                <v:fill on="t" focussize="0,0"/>
                <v:stroke on="f"/>
                <v:imagedata o:title=""/>
                <o:lock v:ext="edit" aspectratio="f"/>
                <v:textbox inset="0mm,0mm,0mm,0mm" style="mso-fit-shape-to-text:t;">
                  <w:txbxContent>
                    <w:p w14:paraId="4767DF4C">
                      <w:pPr>
                        <w:pStyle w:val="4"/>
                        <w:ind w:firstLine="420"/>
                        <w:rPr>
                          <w:rFonts w:ascii="宋体" w:hAnsi="宋体" w:eastAsia="宋体"/>
                          <w:sz w:val="21"/>
                          <w:szCs w:val="21"/>
                        </w:rPr>
                      </w:pPr>
                      <w:r>
                        <w:rPr>
                          <w:rFonts w:hint="eastAsia" w:ascii="宋体" w:hAnsi="宋体" w:eastAsia="宋体"/>
                          <w:sz w:val="21"/>
                          <w:szCs w:val="21"/>
                        </w:rPr>
                        <w:t xml:space="preserve">图 </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2</w:t>
                      </w:r>
                      <w:r>
                        <w:rPr>
                          <w:rFonts w:hint="eastAsia" w:ascii="宋体" w:hAnsi="宋体" w:eastAsia="宋体"/>
                          <w:sz w:val="21"/>
                          <w:szCs w:val="21"/>
                        </w:rPr>
                        <w:fldChar w:fldCharType="end"/>
                      </w:r>
                      <w:r>
                        <w:rPr>
                          <w:rFonts w:hint="eastAsia" w:ascii="宋体" w:hAnsi="宋体" w:eastAsia="宋体"/>
                          <w:sz w:val="21"/>
                          <w:szCs w:val="21"/>
                        </w:rPr>
                        <w:t>微博人民日报公布发射导弹现场图</w:t>
                      </w:r>
                    </w:p>
                  </w:txbxContent>
                </v:textbox>
              </v:shape>
            </w:pict>
          </mc:Fallback>
        </mc:AlternateContent>
      </w:r>
    </w:p>
    <w:p w14:paraId="1D19C20A">
      <w:pPr>
        <w:ind w:firstLine="480"/>
        <w:rPr>
          <w:rFonts w:hint="eastAsia"/>
        </w:rPr>
      </w:pPr>
      <w:r>
        <w:rPr>
          <w:rFonts w:hint="eastAsia"/>
        </w:rPr>
        <w:t>在9月25号上午8点44分发射的这枚导弹，开始有一些朋友还‘不明觉厉’，为什么要公布具体的发射时间呢？可以说这是中国的一个表达方式，纪念也好，再次宣示也好。44年前的那次远程运载火箭向太平洋地区试射成功，标志着中国第一代战略威慑力量的形成，而今，充分展示了我国的科技实力和防御决心，彰显了中国的战略威慑力量已经处于世界的先进水平。</w:t>
      </w:r>
    </w:p>
    <w:p w14:paraId="5683E8DD">
      <w:pPr>
        <w:pStyle w:val="3"/>
        <w:rPr>
          <w:rFonts w:hint="eastAsia"/>
        </w:rPr>
      </w:pPr>
      <w:r>
        <w:rPr>
          <w:rFonts w:hint="eastAsia"/>
        </w:rPr>
        <w:t>四、轮船成就</w:t>
      </w:r>
      <w:r>
        <w:t>——劈波斩浪，海洋科技的崛起之路</w:t>
      </w:r>
    </w:p>
    <w:p w14:paraId="1B957FCA">
      <w:pPr>
        <w:ind w:firstLine="480"/>
        <w:rPr>
          <w:rFonts w:hint="eastAsia"/>
        </w:rPr>
      </w:pPr>
      <w:r>
        <w:rPr>
          <w:rFonts w:hint="eastAsia"/>
        </w:rPr>
        <w:t>在新中国成立后的75年岁月里，中国的轮船制造领域实现了从量变到质变的巨大飞跃，这一飞跃在民用船舶和军用船舶方面均有显著体现。</w:t>
      </w:r>
    </w:p>
    <w:p w14:paraId="799C838A">
      <w:pPr>
        <w:ind w:firstLine="480"/>
        <w:rPr>
          <w:rFonts w:hint="eastAsia"/>
        </w:rPr>
      </w:pPr>
      <w:r>
        <w:rPr>
          <w:rFonts w:hint="eastAsia"/>
        </w:rPr>
        <w:t>在民用船舶领域，中国已经成为世界上最大的船舶制造国之一（见表2）。从散货船到集装箱船，从油轮到液化天然气船（LNG船），中国的船舶制造企业都能高质量地生产。例如，中国建造的散货船在全球散货运输市场中占据着相当的份额，能够承载大量的货物，在全球海上贸易中发挥着重要作用。它的制造技术也取得了重大突破，LNG船是一种高技术、高附加值的船舶，中国成功掌握其制造技术，不仅满足了国内对清洁能源运输的需求。在全球对清洁能源需求不断增长的背景下，LNG船的制造技术优势让中国在国际能源运输领域有了更大的话语权。</w:t>
      </w:r>
    </w:p>
    <w:p w14:paraId="5A99FE83">
      <w:pPr>
        <w:ind w:firstLine="480"/>
      </w:pPr>
      <w:r>
        <w:rPr>
          <w:rFonts w:hint="eastAsia"/>
          <w:lang w:val="zh-CN"/>
        </w:rPr>
        <w:drawing>
          <wp:anchor distT="0" distB="0" distL="114300" distR="114300" simplePos="0" relativeHeight="251667456" behindDoc="0" locked="0" layoutInCell="1" allowOverlap="1">
            <wp:simplePos x="0" y="0"/>
            <wp:positionH relativeFrom="column">
              <wp:posOffset>255270</wp:posOffset>
            </wp:positionH>
            <wp:positionV relativeFrom="paragraph">
              <wp:posOffset>77470</wp:posOffset>
            </wp:positionV>
            <wp:extent cx="4897755" cy="2043430"/>
            <wp:effectExtent l="0" t="0" r="0" b="0"/>
            <wp:wrapNone/>
            <wp:docPr id="194660263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218E3D1D">
      <w:pPr>
        <w:ind w:firstLine="480"/>
      </w:pPr>
    </w:p>
    <w:p w14:paraId="57C03A1F">
      <w:pPr>
        <w:ind w:firstLine="480"/>
      </w:pPr>
    </w:p>
    <w:p w14:paraId="21DCCEE9">
      <w:pPr>
        <w:ind w:firstLine="480"/>
      </w:pPr>
    </w:p>
    <w:p w14:paraId="41839895">
      <w:pPr>
        <w:ind w:firstLine="480"/>
        <w:rPr>
          <w:rFonts w:hint="eastAsia"/>
        </w:rPr>
      </w:pPr>
      <w:r>
        <w:rPr>
          <w:rFonts w:hint="eastAsia"/>
          <w:lang w:val="zh-CN"/>
        </w:rPr>
        <mc:AlternateContent>
          <mc:Choice Requires="wps">
            <w:drawing>
              <wp:anchor distT="0" distB="0" distL="114300" distR="114300" simplePos="0" relativeHeight="251668480" behindDoc="0" locked="0" layoutInCell="1" allowOverlap="1">
                <wp:simplePos x="0" y="0"/>
                <wp:positionH relativeFrom="column">
                  <wp:posOffset>3347085</wp:posOffset>
                </wp:positionH>
                <wp:positionV relativeFrom="paragraph">
                  <wp:posOffset>163830</wp:posOffset>
                </wp:positionV>
                <wp:extent cx="1876425" cy="445135"/>
                <wp:effectExtent l="0" t="0" r="28575" b="12065"/>
                <wp:wrapNone/>
                <wp:docPr id="715262641" name="文本框 5"/>
                <wp:cNvGraphicFramePr/>
                <a:graphic xmlns:a="http://schemas.openxmlformats.org/drawingml/2006/main">
                  <a:graphicData uri="http://schemas.microsoft.com/office/word/2010/wordprocessingShape">
                    <wps:wsp>
                      <wps:cNvSpPr txBox="1"/>
                      <wps:spPr>
                        <a:xfrm>
                          <a:off x="0" y="0"/>
                          <a:ext cx="1876508" cy="445273"/>
                        </a:xfrm>
                        <a:prstGeom prst="rect">
                          <a:avLst/>
                        </a:prstGeom>
                        <a:solidFill>
                          <a:schemeClr val="lt1"/>
                        </a:solidFill>
                        <a:ln w="6350">
                          <a:solidFill>
                            <a:prstClr val="black"/>
                          </a:solidFill>
                        </a:ln>
                      </wps:spPr>
                      <wps:txbx>
                        <w:txbxContent>
                          <w:p w14:paraId="11726AC8">
                            <w:pPr>
                              <w:spacing w:line="240" w:lineRule="atLeast"/>
                              <w:ind w:firstLine="0" w:firstLineChars="0"/>
                              <w:rPr>
                                <w:rFonts w:hint="eastAsia" w:ascii="宋体" w:hAnsi="宋体"/>
                                <w:sz w:val="15"/>
                                <w:szCs w:val="15"/>
                              </w:rPr>
                            </w:pPr>
                            <w:r>
                              <w:rPr>
                                <w:rFonts w:hint="eastAsia" w:ascii="宋体" w:hAnsi="宋体"/>
                                <w:sz w:val="15"/>
                                <w:szCs w:val="15"/>
                              </w:rPr>
                              <w:t>NOTE：2023 DATA AS OF JANUARY 2024</w:t>
                            </w:r>
                          </w:p>
                          <w:p w14:paraId="6D774821">
                            <w:pPr>
                              <w:spacing w:line="240" w:lineRule="atLeast"/>
                              <w:ind w:firstLine="0" w:firstLineChars="0"/>
                              <w:rPr>
                                <w:rFonts w:ascii="宋体" w:hAnsi="宋体"/>
                                <w:sz w:val="15"/>
                                <w:szCs w:val="15"/>
                              </w:rPr>
                            </w:pPr>
                            <w:r>
                              <w:rPr>
                                <w:rFonts w:hint="eastAsia" w:ascii="宋体" w:hAnsi="宋体"/>
                                <w:sz w:val="15"/>
                                <w:szCs w:val="15"/>
                              </w:rPr>
                              <w:t>SOURCE：CLARKSON</w:t>
                            </w:r>
                            <w:r>
                              <w:rPr>
                                <w:rFonts w:ascii="宋体" w:hAnsi="宋体"/>
                                <w:sz w:val="15"/>
                                <w:szCs w:val="15"/>
                              </w:rPr>
                              <w:t>’</w:t>
                            </w:r>
                            <w:r>
                              <w:rPr>
                                <w:rFonts w:hint="eastAsia" w:ascii="宋体" w:hAnsi="宋体"/>
                                <w:sz w:val="15"/>
                                <w:szCs w:val="15"/>
                              </w:rPr>
                              <w:t>S RESEARCH</w:t>
                            </w:r>
                          </w:p>
                          <w:p w14:paraId="0C5DB6B1">
                            <w:pPr>
                              <w:ind w:firstLine="300"/>
                              <w:rPr>
                                <w:sz w:val="15"/>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left:263.55pt;margin-top:12.9pt;height:35.05pt;width:147.75pt;z-index:251668480;mso-width-relative:page;mso-height-relative:page;" fillcolor="#FFFFFF [3201]" filled="t" stroked="t" coordsize="21600,21600" o:gfxdata="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q&#10;o5+X1gAAAAkBAAAPAAAAAAAAAAEAIAAAACIAAABkcnMvZG93bnJldi54bWxQSwECFAAUAAAACACH&#10;TuJAqKZ7zl8CAAC/BAAADgAAAAAAAAABACAAAAAlAQAAZHJzL2Uyb0RvYy54bWxQSwUGAAAAAAYA&#10;BgBZAQAA9gUAAAAA&#10;">
                <v:fill on="t" focussize="0,0"/>
                <v:stroke weight="0.5pt" color="#000000" joinstyle="round"/>
                <v:imagedata o:title=""/>
                <o:lock v:ext="edit" aspectratio="f"/>
                <v:textbox>
                  <w:txbxContent>
                    <w:p w14:paraId="11726AC8">
                      <w:pPr>
                        <w:spacing w:line="240" w:lineRule="atLeast"/>
                        <w:ind w:firstLine="0" w:firstLineChars="0"/>
                        <w:rPr>
                          <w:rFonts w:hint="eastAsia" w:ascii="宋体" w:hAnsi="宋体"/>
                          <w:sz w:val="15"/>
                          <w:szCs w:val="15"/>
                        </w:rPr>
                      </w:pPr>
                      <w:r>
                        <w:rPr>
                          <w:rFonts w:hint="eastAsia" w:ascii="宋体" w:hAnsi="宋体"/>
                          <w:sz w:val="15"/>
                          <w:szCs w:val="15"/>
                        </w:rPr>
                        <w:t>NOTE：2023 DATA AS OF JANUARY 2024</w:t>
                      </w:r>
                    </w:p>
                    <w:p w14:paraId="6D774821">
                      <w:pPr>
                        <w:spacing w:line="240" w:lineRule="atLeast"/>
                        <w:ind w:firstLine="0" w:firstLineChars="0"/>
                        <w:rPr>
                          <w:rFonts w:ascii="宋体" w:hAnsi="宋体"/>
                          <w:sz w:val="15"/>
                          <w:szCs w:val="15"/>
                        </w:rPr>
                      </w:pPr>
                      <w:r>
                        <w:rPr>
                          <w:rFonts w:hint="eastAsia" w:ascii="宋体" w:hAnsi="宋体"/>
                          <w:sz w:val="15"/>
                          <w:szCs w:val="15"/>
                        </w:rPr>
                        <w:t>SOURCE：CLARKSON</w:t>
                      </w:r>
                      <w:r>
                        <w:rPr>
                          <w:rFonts w:ascii="宋体" w:hAnsi="宋体"/>
                          <w:sz w:val="15"/>
                          <w:szCs w:val="15"/>
                        </w:rPr>
                        <w:t>’</w:t>
                      </w:r>
                      <w:r>
                        <w:rPr>
                          <w:rFonts w:hint="eastAsia" w:ascii="宋体" w:hAnsi="宋体"/>
                          <w:sz w:val="15"/>
                          <w:szCs w:val="15"/>
                        </w:rPr>
                        <w:t>S RESEARCH</w:t>
                      </w:r>
                    </w:p>
                    <w:p w14:paraId="0C5DB6B1">
                      <w:pPr>
                        <w:ind w:firstLine="300"/>
                        <w:rPr>
                          <w:sz w:val="15"/>
                          <w:szCs w:val="15"/>
                        </w:rPr>
                      </w:pPr>
                    </w:p>
                  </w:txbxContent>
                </v:textbox>
              </v:shape>
            </w:pict>
          </mc:Fallback>
        </mc:AlternateContent>
      </w:r>
    </w:p>
    <w:p w14:paraId="5B67C25C">
      <w:pPr>
        <w:ind w:firstLine="480"/>
      </w:pPr>
    </w:p>
    <w:p w14:paraId="61BCB49C">
      <w:pPr>
        <w:ind w:firstLine="480"/>
      </w:pPr>
      <w:r>
        <mc:AlternateContent>
          <mc:Choice Requires="wps">
            <w:drawing>
              <wp:anchor distT="0" distB="0" distL="114300" distR="114300" simplePos="0" relativeHeight="251660288" behindDoc="0" locked="0" layoutInCell="1" allowOverlap="1">
                <wp:simplePos x="0" y="0"/>
                <wp:positionH relativeFrom="column">
                  <wp:posOffset>1597660</wp:posOffset>
                </wp:positionH>
                <wp:positionV relativeFrom="paragraph">
                  <wp:posOffset>254635</wp:posOffset>
                </wp:positionV>
                <wp:extent cx="4706620" cy="635"/>
                <wp:effectExtent l="0" t="0" r="0" b="0"/>
                <wp:wrapNone/>
                <wp:docPr id="1932447468" name="文本框 1"/>
                <wp:cNvGraphicFramePr/>
                <a:graphic xmlns:a="http://schemas.openxmlformats.org/drawingml/2006/main">
                  <a:graphicData uri="http://schemas.microsoft.com/office/word/2010/wordprocessingShape">
                    <wps:wsp>
                      <wps:cNvSpPr txBox="1"/>
                      <wps:spPr>
                        <a:xfrm>
                          <a:off x="0" y="0"/>
                          <a:ext cx="4706620" cy="635"/>
                        </a:xfrm>
                        <a:prstGeom prst="rect">
                          <a:avLst/>
                        </a:prstGeom>
                        <a:solidFill>
                          <a:prstClr val="white"/>
                        </a:solidFill>
                        <a:ln>
                          <a:noFill/>
                        </a:ln>
                      </wps:spPr>
                      <wps:txbx>
                        <w:txbxContent>
                          <w:p w14:paraId="187253A7">
                            <w:pPr>
                              <w:pStyle w:val="4"/>
                              <w:ind w:firstLine="400"/>
                              <w:rPr>
                                <w:rFonts w:eastAsia="宋体"/>
                                <w:sz w:val="24"/>
                                <w:lang w:val="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 xml:space="preserve"> 2023年全球商业船舶产量</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25.8pt;margin-top:20.05pt;height:0.05pt;width:370.6pt;z-index:251660288;mso-width-relative:page;mso-height-relative:page;" fillcolor="#FFFFFF" filled="t" stroked="f" coordsize="21600,21600" o:gfxdata="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I690NkAAAAJAQAADwAAAAAAAAABACAAAAAi&#10;AAAAZHJzL2Rvd25yZXYueG1sUEsBAhQAFAAAAAgAh07iQFX+ng1CAgAAewQAAA4AAAAAAAAAAQAg&#10;AAAAKAEAAGRycy9lMm9Eb2MueG1sUEsFBgAAAAAGAAYAWQEAANwFAAAAAA==&#10;">
                <v:fill on="t" focussize="0,0"/>
                <v:stroke on="f"/>
                <v:imagedata o:title=""/>
                <o:lock v:ext="edit" aspectratio="f"/>
                <v:textbox inset="0mm,0mm,0mm,0mm" style="mso-fit-shape-to-text:t;">
                  <w:txbxContent>
                    <w:p w14:paraId="187253A7">
                      <w:pPr>
                        <w:pStyle w:val="4"/>
                        <w:ind w:firstLine="400"/>
                        <w:rPr>
                          <w:rFonts w:eastAsia="宋体"/>
                          <w:sz w:val="24"/>
                          <w:lang w:val="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 xml:space="preserve"> 2023年全球商业船舶产量</w:t>
                      </w:r>
                    </w:p>
                  </w:txbxContent>
                </v:textbox>
              </v:shape>
            </w:pict>
          </mc:Fallback>
        </mc:AlternateContent>
      </w:r>
    </w:p>
    <w:p w14:paraId="5433D552">
      <w:pPr>
        <w:spacing w:line="240" w:lineRule="atLeast"/>
        <w:ind w:firstLine="0" w:firstLineChars="0"/>
        <w:rPr>
          <w:rFonts w:hint="eastAsia" w:ascii="宋体" w:hAnsi="宋体"/>
          <w:sz w:val="21"/>
          <w:szCs w:val="21"/>
        </w:rPr>
      </w:pPr>
    </w:p>
    <w:p w14:paraId="0815DF67">
      <w:pPr>
        <w:ind w:firstLine="480"/>
        <w:rPr>
          <w:rFonts w:hint="eastAsia"/>
        </w:rPr>
      </w:pPr>
      <w:r>
        <w:rPr>
          <w:rFonts w:hint="eastAsia"/>
        </w:rPr>
        <w:t>在军用船舶方面，</w:t>
      </w:r>
      <w:r>
        <w:t>中国海军舰艇装备持续革新</w:t>
      </w:r>
      <w:r>
        <w:rPr>
          <w:rFonts w:hint="eastAsia"/>
        </w:rPr>
        <w:t>。</w:t>
      </w:r>
      <w:r>
        <w:t>辽宁舰、山东舰、福建舰的服役，意味着中国步入航母时代。航母战斗群的构建，极大增强了中国海军远洋作战与战略威慑能力</w:t>
      </w:r>
      <w:r>
        <w:rPr>
          <w:rFonts w:hint="eastAsia"/>
        </w:rPr>
        <w:t>。航母就像是一座海上的移动堡垒，能够在远海执行多种任务，从战略巡航到作战部署，为维护国家海洋权益和海上安全提供了强大的支撑。此外，中国还建造了众多先进的驱逐舰、护卫舰等舰艇。055型驱逐舰就是其中的佼佼者，它是中国自主研制的万吨级驱逐舰，具有高度的信息化水平，这使得它能够在复杂的海战环境中快速获取、处理和传递信息。同时，它还具备强大的防空、反潜、反舰等作战能力，无论是应对空中威胁、水下潜艇的挑战，还是与敌方舰艇的对抗，都能游刃有余是中国海军走向深蓝的重要装备之一。</w:t>
      </w:r>
    </w:p>
    <w:p w14:paraId="3FA87A16">
      <w:pPr>
        <w:ind w:firstLine="480"/>
        <w:rPr>
          <w:rFonts w:hint="eastAsia"/>
          <w:color w:val="000000" w:themeColor="text1"/>
          <w14:textFill>
            <w14:solidFill>
              <w14:schemeClr w14:val="tx1"/>
            </w14:solidFill>
          </w14:textFill>
        </w:rPr>
      </w:pPr>
      <w:r>
        <w:rPr>
          <w:rFonts w:hint="eastAsia"/>
        </w:rPr>
        <w:t>这些成就将继续推动中国在国际舞台上发挥更重要的作用，也为人类的科技进步和探索未知世界做出了重要贡献。</w:t>
      </w:r>
      <w:r>
        <w:rPr>
          <w:rFonts w:hint="eastAsia"/>
          <w:color w:val="000000" w:themeColor="text1"/>
          <w14:textFill>
            <w14:solidFill>
              <w14:schemeClr w14:val="tx1"/>
            </w14:solidFill>
          </w14:textFill>
        </w:rPr>
        <w:t>建设科技强国的大道前途一片光明，但脚下的路不会一马平川，必须以“十年磨一剑”的坚定决心和顽强意志，一步一个脚印把理想蓝图变为现实。</w:t>
      </w:r>
      <w:r>
        <w:rPr>
          <w:rStyle w:val="10"/>
          <w:rFonts w:hint="eastAsia"/>
          <w:color w:val="000000" w:themeColor="text1"/>
          <w14:textFill>
            <w14:solidFill>
              <w14:schemeClr w14:val="tx1"/>
            </w14:solidFill>
          </w14:textFill>
        </w:rPr>
        <w:footnoteReference w:id="4"/>
      </w:r>
      <w:r>
        <w:rPr>
          <w:rFonts w:hint="eastAsia"/>
          <w:color w:val="000000" w:themeColor="text1"/>
          <w14:textFill>
            <w14:solidFill>
              <w14:schemeClr w14:val="tx1"/>
            </w14:solidFill>
          </w14:textFill>
        </w:rPr>
        <w:t>所以</w:t>
      </w:r>
      <w:r>
        <w:rPr>
          <w:color w:val="000000" w:themeColor="text1"/>
          <w14:textFill>
            <w14:solidFill>
              <w14:schemeClr w14:val="tx1"/>
            </w14:solidFill>
          </w14:textFill>
        </w:rPr>
        <w:t>我们必须更加坚定不移地团结于以习近平同志为核心的党中央周边</w:t>
      </w:r>
      <w:r>
        <w:rPr>
          <w:rFonts w:hint="eastAsia"/>
          <w:color w:val="000000" w:themeColor="text1"/>
          <w14:textFill>
            <w14:solidFill>
              <w14:schemeClr w14:val="tx1"/>
            </w14:solidFill>
          </w14:textFill>
        </w:rPr>
        <w:t>，</w:t>
      </w:r>
      <w:r>
        <w:rPr>
          <w:rStyle w:val="10"/>
          <w:rFonts w:hint="eastAsia"/>
          <w:color w:val="000000" w:themeColor="text1"/>
          <w14:textFill>
            <w14:solidFill>
              <w14:schemeClr w14:val="tx1"/>
            </w14:solidFill>
          </w14:textFill>
        </w:rPr>
        <w:footnoteReference w:id="5"/>
      </w:r>
      <w:r>
        <w:rPr>
          <w:color w:val="000000" w:themeColor="text1"/>
          <w14:textFill>
            <w14:solidFill>
              <w14:schemeClr w14:val="tx1"/>
            </w14:solidFill>
          </w14:textFill>
        </w:rPr>
        <w:t>要以奋勇争先、千帆竞发般的奋斗之态，秉持着责无旁贷、舍我其谁的历史使命感</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争分夺秒、脚踏实地地奋力拼搏，加速达成高水平的科技自主自强</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从而能够按计划构建科技强国，为实现中华民族伟大复兴的中国梦持续不断地努力奋进！</w:t>
      </w:r>
    </w:p>
    <w:sectPr>
      <w:headerReference r:id="rId7" w:type="first"/>
      <w:footerReference r:id="rId10" w:type="first"/>
      <w:headerReference r:id="rId5" w:type="default"/>
      <w:footerReference r:id="rId8" w:type="default"/>
      <w:headerReference r:id="rId6" w:type="even"/>
      <w:footerReference r:id="rId9" w:type="even"/>
      <w:pgSz w:w="11906" w:h="16838"/>
      <w:pgMar w:top="1418" w:right="1701" w:bottom="1418" w:left="1701" w:header="851" w:footer="992" w:gutter="0"/>
      <w:cols w:space="425" w:num="1"/>
      <w:docGrid w:type="lines" w:linePitch="317" w:charSpace="609"/>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Zoom100"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F5D18">
    <w:pPr>
      <w:pStyle w:val="5"/>
      <w:ind w:firstLine="36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7CB9F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47CB9F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A904A">
    <w:pPr>
      <w:pStyle w:val="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C4127">
    <w:pPr>
      <w:pStyle w:val="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line="240" w:lineRule="auto"/>
        <w:ind w:firstLine="480"/>
      </w:pPr>
      <w:r>
        <w:separator/>
      </w:r>
    </w:p>
  </w:footnote>
  <w:footnote w:type="continuationSeparator" w:id="13">
    <w:p>
      <w:pPr>
        <w:spacing w:line="240" w:lineRule="auto"/>
        <w:ind w:firstLine="480"/>
      </w:pPr>
      <w:r>
        <w:continuationSeparator/>
      </w:r>
    </w:p>
  </w:footnote>
  <w:footnote w:id="0">
    <w:p w14:paraId="13FB3E45">
      <w:pPr>
        <w:pStyle w:val="7"/>
        <w:ind w:firstLine="360"/>
        <w:rPr>
          <w:rFonts w:hint="eastAsia" w:asciiTheme="minorEastAsia" w:hAnsiTheme="minorEastAsia" w:eastAsiaTheme="minorEastAsia"/>
        </w:rPr>
      </w:pPr>
      <w:r>
        <w:rPr>
          <w:rStyle w:val="10"/>
          <w:rFonts w:hint="eastAsia"/>
        </w:rPr>
        <w:footnoteRef/>
      </w:r>
      <w:r>
        <w:rPr>
          <w:rFonts w:hint="eastAsia" w:asciiTheme="minorEastAsia" w:hAnsiTheme="minorEastAsia" w:eastAsiaTheme="minorEastAsia"/>
        </w:rPr>
        <w:t xml:space="preserve"> </w:t>
      </w:r>
      <w:r>
        <w:rPr>
          <w:rFonts w:asciiTheme="minorEastAsia" w:hAnsiTheme="minorEastAsia" w:eastAsiaTheme="minorEastAsia"/>
        </w:rPr>
        <w:t>新华每日电讯，“把前无古人的伟大事业不断推向前进”，[</w:t>
      </w:r>
      <w:r>
        <w:rPr>
          <w:rFonts w:hint="eastAsia" w:asciiTheme="minorEastAsia" w:hAnsiTheme="minorEastAsia" w:eastAsiaTheme="minorEastAsia"/>
        </w:rPr>
        <w:t>2024年10月1月</w:t>
      </w:r>
      <w:r>
        <w:rPr>
          <w:rFonts w:asciiTheme="minorEastAsia" w:hAnsiTheme="minorEastAsia" w:eastAsiaTheme="minorEastAsia"/>
        </w:rPr>
        <w:t>]，[</w:t>
      </w:r>
      <w:r>
        <w:rPr>
          <w:rFonts w:hint="eastAsia" w:asciiTheme="minorEastAsia" w:hAnsiTheme="minorEastAsia" w:eastAsiaTheme="minorEastAsia"/>
        </w:rPr>
        <w:t>第002版第1页</w:t>
      </w:r>
      <w:r>
        <w:rPr>
          <w:rFonts w:asciiTheme="minorEastAsia" w:hAnsiTheme="minorEastAsia" w:eastAsiaTheme="minorEastAsia"/>
        </w:rPr>
        <w:t>]。</w:t>
      </w:r>
    </w:p>
  </w:footnote>
  <w:footnote w:id="1">
    <w:p w14:paraId="13A10CA8">
      <w:pPr>
        <w:pStyle w:val="7"/>
        <w:ind w:firstLine="360"/>
        <w:rPr>
          <w:rFonts w:hint="eastAsia"/>
        </w:rPr>
      </w:pPr>
      <w:r>
        <w:rPr>
          <w:rStyle w:val="10"/>
          <w:rFonts w:hint="eastAsia"/>
        </w:rPr>
        <w:footnoteRef/>
      </w:r>
      <w:r>
        <w:rPr>
          <w:rFonts w:hint="eastAsia"/>
        </w:rPr>
        <w:t xml:space="preserve"> </w:t>
      </w:r>
      <w:r>
        <w:rPr>
          <w:rFonts w:hint="eastAsia" w:asciiTheme="minorEastAsia" w:hAnsiTheme="minorEastAsia" w:eastAsiaTheme="minorEastAsia"/>
        </w:rPr>
        <w:t>中国航天报</w:t>
      </w:r>
      <w:r>
        <w:rPr>
          <w:rFonts w:asciiTheme="minorEastAsia" w:hAnsiTheme="minorEastAsia" w:eastAsiaTheme="minorEastAsia"/>
        </w:rPr>
        <w:t>，“</w:t>
      </w:r>
      <w:r>
        <w:rPr>
          <w:rFonts w:hint="eastAsia" w:asciiTheme="minorEastAsia" w:hAnsiTheme="minorEastAsia" w:eastAsiaTheme="minorEastAsia"/>
        </w:rPr>
        <w:t>牢记总书记嘱托 加快建设航天强国</w:t>
      </w:r>
      <w:r>
        <w:rPr>
          <w:rFonts w:asciiTheme="minorEastAsia" w:hAnsiTheme="minorEastAsia" w:eastAsiaTheme="minorEastAsia"/>
        </w:rPr>
        <w:t>”，[</w:t>
      </w:r>
      <w:r>
        <w:rPr>
          <w:rFonts w:hint="eastAsia" w:asciiTheme="minorEastAsia" w:hAnsiTheme="minorEastAsia" w:eastAsiaTheme="minorEastAsia"/>
        </w:rPr>
        <w:t>2024年7月12月</w:t>
      </w:r>
      <w:r>
        <w:rPr>
          <w:rFonts w:asciiTheme="minorEastAsia" w:hAnsiTheme="minorEastAsia" w:eastAsiaTheme="minorEastAsia"/>
        </w:rPr>
        <w:t>]，[</w:t>
      </w:r>
      <w:r>
        <w:rPr>
          <w:rFonts w:hint="eastAsia" w:asciiTheme="minorEastAsia" w:hAnsiTheme="minorEastAsia" w:eastAsiaTheme="minorEastAsia"/>
        </w:rPr>
        <w:t>第001版第3-4页</w:t>
      </w:r>
      <w:r>
        <w:rPr>
          <w:rFonts w:asciiTheme="minorEastAsia" w:hAnsiTheme="minorEastAsia" w:eastAsiaTheme="minorEastAsia"/>
        </w:rPr>
        <w:t>]。</w:t>
      </w:r>
    </w:p>
  </w:footnote>
  <w:footnote w:id="2">
    <w:p w14:paraId="2D1C05BA">
      <w:pPr>
        <w:pStyle w:val="7"/>
        <w:ind w:firstLine="360"/>
        <w:rPr>
          <w:rFonts w:hint="eastAsia" w:asciiTheme="minorEastAsia" w:hAnsiTheme="minorEastAsia" w:eastAsiaTheme="minorEastAsia"/>
        </w:rPr>
      </w:pPr>
      <w:r>
        <w:rPr>
          <w:rStyle w:val="10"/>
          <w:rFonts w:hint="eastAsia"/>
        </w:rPr>
        <w:footnoteRef/>
      </w:r>
      <w:r>
        <w:rPr>
          <w:rFonts w:hint="eastAsia"/>
        </w:rPr>
        <w:t xml:space="preserve"> </w:t>
      </w:r>
      <w:r>
        <w:rPr>
          <w:rFonts w:hint="eastAsia" w:asciiTheme="minorEastAsia" w:hAnsiTheme="minorEastAsia" w:eastAsiaTheme="minorEastAsia"/>
        </w:rPr>
        <w:t>人民日报</w:t>
      </w:r>
      <w:r>
        <w:rPr>
          <w:rFonts w:asciiTheme="minorEastAsia" w:hAnsiTheme="minorEastAsia" w:eastAsiaTheme="minorEastAsia"/>
        </w:rPr>
        <w:t>，“</w:t>
      </w:r>
      <w:r>
        <w:rPr>
          <w:rFonts w:hint="eastAsia" w:asciiTheme="minorEastAsia" w:hAnsiTheme="minorEastAsia" w:eastAsiaTheme="minorEastAsia"/>
        </w:rPr>
        <w:t>为建设航天强国再立新功</w:t>
      </w:r>
      <w:r>
        <w:rPr>
          <w:rFonts w:asciiTheme="minorEastAsia" w:hAnsiTheme="minorEastAsia" w:eastAsiaTheme="minorEastAsia"/>
        </w:rPr>
        <w:t>”，[</w:t>
      </w:r>
      <w:r>
        <w:rPr>
          <w:rFonts w:hint="eastAsia" w:asciiTheme="minorEastAsia" w:hAnsiTheme="minorEastAsia" w:eastAsiaTheme="minorEastAsia"/>
        </w:rPr>
        <w:t>2024年9月25月</w:t>
      </w:r>
      <w:r>
        <w:rPr>
          <w:rFonts w:asciiTheme="minorEastAsia" w:hAnsiTheme="minorEastAsia" w:eastAsiaTheme="minorEastAsia"/>
        </w:rPr>
        <w:t>]，[</w:t>
      </w:r>
      <w:r>
        <w:rPr>
          <w:rFonts w:hint="eastAsia" w:asciiTheme="minorEastAsia" w:hAnsiTheme="minorEastAsia" w:eastAsiaTheme="minorEastAsia"/>
        </w:rPr>
        <w:t>第001版第3页</w:t>
      </w:r>
      <w:r>
        <w:rPr>
          <w:rFonts w:asciiTheme="minorEastAsia" w:hAnsiTheme="minorEastAsia" w:eastAsiaTheme="minorEastAsia"/>
        </w:rPr>
        <w:t>]。</w:t>
      </w:r>
    </w:p>
  </w:footnote>
  <w:footnote w:id="3">
    <w:p w14:paraId="614DB332">
      <w:pPr>
        <w:pStyle w:val="7"/>
        <w:ind w:firstLine="360"/>
        <w:rPr>
          <w:rFonts w:hint="eastAsia"/>
        </w:rPr>
      </w:pPr>
      <w:r>
        <w:rPr>
          <w:rStyle w:val="10"/>
          <w:rFonts w:hint="eastAsia"/>
        </w:rPr>
        <w:footnoteRef/>
      </w:r>
      <w:r>
        <w:rPr>
          <w:rFonts w:hint="eastAsia"/>
        </w:rPr>
        <w:t xml:space="preserve"> </w:t>
      </w:r>
      <w:r>
        <w:rPr>
          <w:rFonts w:hint="eastAsia" w:asciiTheme="minorEastAsia" w:hAnsiTheme="minorEastAsia" w:eastAsiaTheme="minorEastAsia"/>
        </w:rPr>
        <w:t>人民日报</w:t>
      </w:r>
      <w:r>
        <w:rPr>
          <w:rFonts w:asciiTheme="minorEastAsia" w:hAnsiTheme="minorEastAsia" w:eastAsiaTheme="minorEastAsia"/>
        </w:rPr>
        <w:t>，“</w:t>
      </w:r>
      <w:r>
        <w:rPr>
          <w:rFonts w:hint="eastAsia" w:asciiTheme="minorEastAsia" w:hAnsiTheme="minorEastAsia" w:eastAsiaTheme="minorEastAsia"/>
        </w:rPr>
        <w:t>为建设航天强国再立新功</w:t>
      </w:r>
      <w:r>
        <w:rPr>
          <w:rFonts w:asciiTheme="minorEastAsia" w:hAnsiTheme="minorEastAsia" w:eastAsiaTheme="minorEastAsia"/>
        </w:rPr>
        <w:t>”，[</w:t>
      </w:r>
      <w:r>
        <w:rPr>
          <w:rFonts w:hint="eastAsia" w:asciiTheme="minorEastAsia" w:hAnsiTheme="minorEastAsia" w:eastAsiaTheme="minorEastAsia"/>
        </w:rPr>
        <w:t>2024年9月25月</w:t>
      </w:r>
      <w:r>
        <w:rPr>
          <w:rFonts w:asciiTheme="minorEastAsia" w:hAnsiTheme="minorEastAsia" w:eastAsiaTheme="minorEastAsia"/>
        </w:rPr>
        <w:t>]，[</w:t>
      </w:r>
      <w:r>
        <w:rPr>
          <w:rFonts w:hint="eastAsia" w:asciiTheme="minorEastAsia" w:hAnsiTheme="minorEastAsia" w:eastAsiaTheme="minorEastAsia"/>
        </w:rPr>
        <w:t>第001版第1页</w:t>
      </w:r>
      <w:r>
        <w:rPr>
          <w:rFonts w:asciiTheme="minorEastAsia" w:hAnsiTheme="minorEastAsia" w:eastAsiaTheme="minorEastAsia"/>
        </w:rPr>
        <w:t>]。</w:t>
      </w:r>
    </w:p>
  </w:footnote>
  <w:footnote w:id="4">
    <w:p w14:paraId="6B0D15FC">
      <w:pPr>
        <w:pStyle w:val="7"/>
        <w:ind w:firstLine="360"/>
        <w:rPr>
          <w:rFonts w:hint="eastAsia"/>
        </w:rPr>
      </w:pPr>
      <w:r>
        <w:rPr>
          <w:rStyle w:val="10"/>
          <w:rFonts w:hint="eastAsia"/>
        </w:rPr>
        <w:footnoteRef/>
      </w:r>
      <w:r>
        <w:rPr>
          <w:rFonts w:hint="eastAsia"/>
        </w:rPr>
        <w:t xml:space="preserve"> </w:t>
      </w:r>
      <w:r>
        <w:rPr>
          <w:rFonts w:hint="eastAsia" w:asciiTheme="minorEastAsia" w:hAnsiTheme="minorEastAsia" w:eastAsiaTheme="minorEastAsia"/>
        </w:rPr>
        <w:t>科技日报</w:t>
      </w:r>
      <w:r>
        <w:rPr>
          <w:rFonts w:asciiTheme="minorEastAsia" w:hAnsiTheme="minorEastAsia" w:eastAsiaTheme="minorEastAsia"/>
        </w:rPr>
        <w:t>，“</w:t>
      </w:r>
      <w:r>
        <w:rPr>
          <w:rFonts w:hint="eastAsia" w:asciiTheme="minorEastAsia" w:hAnsiTheme="minorEastAsia" w:eastAsiaTheme="minorEastAsia"/>
        </w:rPr>
        <w:t>朝着建成科技强国的宏伟目标奋勇前进</w:t>
      </w:r>
      <w:r>
        <w:rPr>
          <w:rFonts w:asciiTheme="minorEastAsia" w:hAnsiTheme="minorEastAsia" w:eastAsiaTheme="minorEastAsia"/>
        </w:rPr>
        <w:t>”，[</w:t>
      </w:r>
      <w:r>
        <w:rPr>
          <w:rFonts w:hint="eastAsia" w:asciiTheme="minorEastAsia" w:hAnsiTheme="minorEastAsia" w:eastAsiaTheme="minorEastAsia"/>
        </w:rPr>
        <w:t>2024年10月1月</w:t>
      </w:r>
      <w:r>
        <w:rPr>
          <w:rFonts w:asciiTheme="minorEastAsia" w:hAnsiTheme="minorEastAsia" w:eastAsiaTheme="minorEastAsia"/>
        </w:rPr>
        <w:t>]，[</w:t>
      </w:r>
      <w:r>
        <w:rPr>
          <w:rFonts w:hint="eastAsia" w:asciiTheme="minorEastAsia" w:hAnsiTheme="minorEastAsia" w:eastAsiaTheme="minorEastAsia"/>
        </w:rPr>
        <w:t>第003版第1页</w:t>
      </w:r>
      <w:r>
        <w:rPr>
          <w:rFonts w:asciiTheme="minorEastAsia" w:hAnsiTheme="minorEastAsia" w:eastAsiaTheme="minorEastAsia"/>
        </w:rPr>
        <w:t>]。</w:t>
      </w:r>
    </w:p>
  </w:footnote>
  <w:footnote w:id="5">
    <w:p w14:paraId="7D8FA0E0">
      <w:pPr>
        <w:pStyle w:val="7"/>
        <w:ind w:firstLine="360"/>
        <w:rPr>
          <w:rFonts w:hint="eastAsia"/>
        </w:rPr>
      </w:pPr>
      <w:r>
        <w:rPr>
          <w:rStyle w:val="10"/>
          <w:rFonts w:hint="eastAsia"/>
        </w:rPr>
        <w:footnoteRef/>
      </w:r>
      <w:r>
        <w:rPr>
          <w:rFonts w:hint="eastAsia"/>
        </w:rPr>
        <w:t xml:space="preserve"> </w:t>
      </w:r>
      <w:r>
        <w:rPr>
          <w:rFonts w:hint="eastAsia" w:asciiTheme="minorEastAsia" w:hAnsiTheme="minorEastAsia" w:eastAsiaTheme="minorEastAsia"/>
        </w:rPr>
        <w:t>人民日报</w:t>
      </w:r>
      <w:r>
        <w:rPr>
          <w:rFonts w:asciiTheme="minorEastAsia" w:hAnsiTheme="minorEastAsia" w:eastAsiaTheme="minorEastAsia"/>
        </w:rPr>
        <w:t>，“</w:t>
      </w:r>
      <w:r>
        <w:rPr>
          <w:rFonts w:hint="eastAsia" w:asciiTheme="minorEastAsia" w:hAnsiTheme="minorEastAsia" w:eastAsiaTheme="minorEastAsia"/>
        </w:rPr>
        <w:t>为建设航天强国再立新功</w:t>
      </w:r>
      <w:r>
        <w:rPr>
          <w:rFonts w:asciiTheme="minorEastAsia" w:hAnsiTheme="minorEastAsia" w:eastAsiaTheme="minorEastAsia"/>
        </w:rPr>
        <w:t>”，[</w:t>
      </w:r>
      <w:r>
        <w:rPr>
          <w:rFonts w:hint="eastAsia" w:asciiTheme="minorEastAsia" w:hAnsiTheme="minorEastAsia" w:eastAsiaTheme="minorEastAsia"/>
        </w:rPr>
        <w:t>2024年9月25月</w:t>
      </w:r>
      <w:r>
        <w:rPr>
          <w:rFonts w:asciiTheme="minorEastAsia" w:hAnsiTheme="minorEastAsia" w:eastAsiaTheme="minorEastAsia"/>
        </w:rPr>
        <w:t>]，[</w:t>
      </w:r>
      <w:r>
        <w:rPr>
          <w:rFonts w:hint="eastAsia" w:asciiTheme="minorEastAsia" w:hAnsiTheme="minorEastAsia" w:eastAsiaTheme="minorEastAsia"/>
        </w:rPr>
        <w:t>第001版第3页</w:t>
      </w:r>
      <w:r>
        <w:rPr>
          <w:rFonts w:asciiTheme="minorEastAsia" w:hAnsiTheme="minorEastAsia" w:eastAsiaTheme="minorEastAsia"/>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9931">
    <w:pPr>
      <w:pStyle w:val="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952E0">
    <w:pPr>
      <w:pStyle w:val="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EEFE">
    <w:pPr>
      <w:pStyle w:val="6"/>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13"/>
  <w:drawingGridVerticalSpacing w:val="317"/>
  <w:displayHorizontalDrawingGridEvery w:val="0"/>
  <w:characterSpacingControl w:val="compressPunctuation"/>
  <w:footnotePr>
    <w:footnote w:id="12"/>
    <w:footnote w:id="1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1AA"/>
    <w:rsid w:val="000159B2"/>
    <w:rsid w:val="00026614"/>
    <w:rsid w:val="00041898"/>
    <w:rsid w:val="00052203"/>
    <w:rsid w:val="00053620"/>
    <w:rsid w:val="00086A5E"/>
    <w:rsid w:val="000B7CE1"/>
    <w:rsid w:val="000E520C"/>
    <w:rsid w:val="000F77E2"/>
    <w:rsid w:val="001133BA"/>
    <w:rsid w:val="00113B04"/>
    <w:rsid w:val="00136A7F"/>
    <w:rsid w:val="00141828"/>
    <w:rsid w:val="00141BB1"/>
    <w:rsid w:val="00157A37"/>
    <w:rsid w:val="00187CC3"/>
    <w:rsid w:val="00191A62"/>
    <w:rsid w:val="001A4AF6"/>
    <w:rsid w:val="001A6933"/>
    <w:rsid w:val="001D0174"/>
    <w:rsid w:val="001D3331"/>
    <w:rsid w:val="001E10F7"/>
    <w:rsid w:val="00202370"/>
    <w:rsid w:val="0023272E"/>
    <w:rsid w:val="00233B45"/>
    <w:rsid w:val="00234468"/>
    <w:rsid w:val="002732FC"/>
    <w:rsid w:val="00295317"/>
    <w:rsid w:val="002C5E81"/>
    <w:rsid w:val="002D2906"/>
    <w:rsid w:val="002F59E7"/>
    <w:rsid w:val="003134EF"/>
    <w:rsid w:val="00335D42"/>
    <w:rsid w:val="003466A7"/>
    <w:rsid w:val="00346B1B"/>
    <w:rsid w:val="00360322"/>
    <w:rsid w:val="00360436"/>
    <w:rsid w:val="00380E4E"/>
    <w:rsid w:val="003839AA"/>
    <w:rsid w:val="00390FD0"/>
    <w:rsid w:val="003A5F00"/>
    <w:rsid w:val="003B126A"/>
    <w:rsid w:val="003B1E97"/>
    <w:rsid w:val="003E475B"/>
    <w:rsid w:val="00410106"/>
    <w:rsid w:val="004154BA"/>
    <w:rsid w:val="004168E1"/>
    <w:rsid w:val="00430020"/>
    <w:rsid w:val="004408E6"/>
    <w:rsid w:val="0045376D"/>
    <w:rsid w:val="00455222"/>
    <w:rsid w:val="00466B19"/>
    <w:rsid w:val="00486B83"/>
    <w:rsid w:val="004B15B5"/>
    <w:rsid w:val="004B3ED5"/>
    <w:rsid w:val="004D0714"/>
    <w:rsid w:val="004E3A27"/>
    <w:rsid w:val="005030E7"/>
    <w:rsid w:val="00507C2A"/>
    <w:rsid w:val="00510C61"/>
    <w:rsid w:val="00513C9B"/>
    <w:rsid w:val="00515701"/>
    <w:rsid w:val="00533BF1"/>
    <w:rsid w:val="005443AD"/>
    <w:rsid w:val="005513AF"/>
    <w:rsid w:val="005B7685"/>
    <w:rsid w:val="005E02E6"/>
    <w:rsid w:val="00617D07"/>
    <w:rsid w:val="00644C1C"/>
    <w:rsid w:val="00646CEC"/>
    <w:rsid w:val="00647D8C"/>
    <w:rsid w:val="0067753F"/>
    <w:rsid w:val="00685409"/>
    <w:rsid w:val="00694E78"/>
    <w:rsid w:val="006B2D1C"/>
    <w:rsid w:val="006E45DF"/>
    <w:rsid w:val="0071701B"/>
    <w:rsid w:val="00727D66"/>
    <w:rsid w:val="00741955"/>
    <w:rsid w:val="00741CF2"/>
    <w:rsid w:val="00762878"/>
    <w:rsid w:val="00772174"/>
    <w:rsid w:val="00773929"/>
    <w:rsid w:val="007B22E5"/>
    <w:rsid w:val="007D7400"/>
    <w:rsid w:val="007D7F1F"/>
    <w:rsid w:val="00801155"/>
    <w:rsid w:val="00807D06"/>
    <w:rsid w:val="00820A48"/>
    <w:rsid w:val="00827035"/>
    <w:rsid w:val="008329B9"/>
    <w:rsid w:val="00860AAD"/>
    <w:rsid w:val="0087425B"/>
    <w:rsid w:val="008844DE"/>
    <w:rsid w:val="008E262D"/>
    <w:rsid w:val="008F1148"/>
    <w:rsid w:val="008F3FFB"/>
    <w:rsid w:val="00925C63"/>
    <w:rsid w:val="00926AF1"/>
    <w:rsid w:val="00953236"/>
    <w:rsid w:val="0097726F"/>
    <w:rsid w:val="009B1BF7"/>
    <w:rsid w:val="009B458D"/>
    <w:rsid w:val="009B531D"/>
    <w:rsid w:val="009C6A9D"/>
    <w:rsid w:val="009C6DC8"/>
    <w:rsid w:val="009C7C15"/>
    <w:rsid w:val="009F6C16"/>
    <w:rsid w:val="00A01244"/>
    <w:rsid w:val="00A12646"/>
    <w:rsid w:val="00A278F9"/>
    <w:rsid w:val="00A528F7"/>
    <w:rsid w:val="00A57583"/>
    <w:rsid w:val="00AB64E8"/>
    <w:rsid w:val="00AD1AB5"/>
    <w:rsid w:val="00AE384F"/>
    <w:rsid w:val="00B0495D"/>
    <w:rsid w:val="00B30ED2"/>
    <w:rsid w:val="00BA5E45"/>
    <w:rsid w:val="00BB71AA"/>
    <w:rsid w:val="00BD6297"/>
    <w:rsid w:val="00BD769A"/>
    <w:rsid w:val="00BE2C68"/>
    <w:rsid w:val="00C2740D"/>
    <w:rsid w:val="00C558D2"/>
    <w:rsid w:val="00C84B59"/>
    <w:rsid w:val="00CA7847"/>
    <w:rsid w:val="00CC25D8"/>
    <w:rsid w:val="00CD2EF0"/>
    <w:rsid w:val="00CE5EC5"/>
    <w:rsid w:val="00CE5F19"/>
    <w:rsid w:val="00D108F9"/>
    <w:rsid w:val="00D24271"/>
    <w:rsid w:val="00D3190D"/>
    <w:rsid w:val="00D376A0"/>
    <w:rsid w:val="00D77840"/>
    <w:rsid w:val="00D82E78"/>
    <w:rsid w:val="00D918C8"/>
    <w:rsid w:val="00D938F0"/>
    <w:rsid w:val="00DA6F84"/>
    <w:rsid w:val="00DB1C8E"/>
    <w:rsid w:val="00DB615C"/>
    <w:rsid w:val="00DC2C7E"/>
    <w:rsid w:val="00DE07E3"/>
    <w:rsid w:val="00DF2E1B"/>
    <w:rsid w:val="00DF3662"/>
    <w:rsid w:val="00E02AE5"/>
    <w:rsid w:val="00E10A85"/>
    <w:rsid w:val="00E160B3"/>
    <w:rsid w:val="00E21FEA"/>
    <w:rsid w:val="00E32805"/>
    <w:rsid w:val="00E512FD"/>
    <w:rsid w:val="00E770FE"/>
    <w:rsid w:val="00E81493"/>
    <w:rsid w:val="00E85C57"/>
    <w:rsid w:val="00E96698"/>
    <w:rsid w:val="00EA42C8"/>
    <w:rsid w:val="00EA7332"/>
    <w:rsid w:val="00EB16E3"/>
    <w:rsid w:val="00EE27EE"/>
    <w:rsid w:val="00EF5EFD"/>
    <w:rsid w:val="00EF6F50"/>
    <w:rsid w:val="00F03700"/>
    <w:rsid w:val="00F1137A"/>
    <w:rsid w:val="00F1345C"/>
    <w:rsid w:val="00F30818"/>
    <w:rsid w:val="00F33D8D"/>
    <w:rsid w:val="00F34F70"/>
    <w:rsid w:val="00F67A04"/>
    <w:rsid w:val="00F9667F"/>
    <w:rsid w:val="00F96E4E"/>
    <w:rsid w:val="00FB37AA"/>
    <w:rsid w:val="00FB63AE"/>
    <w:rsid w:val="00FE6451"/>
    <w:rsid w:val="00FF7AD5"/>
    <w:rsid w:val="32B62E16"/>
    <w:rsid w:val="65092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rFonts w:eastAsia="宋体" w:asciiTheme="minorHAnsi" w:hAnsiTheme="minorHAnsi" w:cstheme="minorBidi"/>
      <w:kern w:val="2"/>
      <w:sz w:val="24"/>
      <w:szCs w:val="22"/>
      <w:lang w:val="en-US" w:eastAsia="zh-CN" w:bidi="ar-SA"/>
      <w14:ligatures w14:val="standardContextual"/>
    </w:rPr>
  </w:style>
  <w:style w:type="paragraph" w:styleId="2">
    <w:name w:val="heading 1"/>
    <w:basedOn w:val="1"/>
    <w:next w:val="1"/>
    <w:link w:val="14"/>
    <w:qFormat/>
    <w:uiPriority w:val="9"/>
    <w:pPr>
      <w:keepNext/>
      <w:keepLines/>
      <w:snapToGrid w:val="0"/>
      <w:ind w:firstLine="0" w:firstLineChars="0"/>
      <w:jc w:val="center"/>
      <w:outlineLvl w:val="0"/>
    </w:pPr>
    <w:rPr>
      <w:rFonts w:eastAsia="黑体"/>
      <w:b/>
      <w:bCs/>
      <w:kern w:val="44"/>
      <w:sz w:val="32"/>
      <w:szCs w:val="44"/>
    </w:rPr>
  </w:style>
  <w:style w:type="paragraph" w:styleId="3">
    <w:name w:val="heading 2"/>
    <w:basedOn w:val="1"/>
    <w:next w:val="1"/>
    <w:link w:val="15"/>
    <w:unhideWhenUsed/>
    <w:qFormat/>
    <w:uiPriority w:val="9"/>
    <w:pPr>
      <w:keepNext/>
      <w:keepLines/>
      <w:ind w:firstLine="0" w:firstLineChars="0"/>
      <w:outlineLvl w:val="1"/>
    </w:pPr>
    <w:rPr>
      <w:rFonts w:asciiTheme="majorHAnsi" w:hAnsiTheme="majorHAnsi" w:cstheme="majorBidi"/>
      <w:b/>
      <w:bCs/>
      <w:szCs w:val="32"/>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tabs>
        <w:tab w:val="center" w:pos="4153"/>
        <w:tab w:val="right" w:pos="8306"/>
      </w:tabs>
      <w:snapToGrid w:val="0"/>
      <w:jc w:val="center"/>
    </w:pPr>
    <w:rPr>
      <w:sz w:val="18"/>
      <w:szCs w:val="18"/>
    </w:rPr>
  </w:style>
  <w:style w:type="paragraph" w:styleId="7">
    <w:name w:val="footnote text"/>
    <w:basedOn w:val="1"/>
    <w:link w:val="16"/>
    <w:semiHidden/>
    <w:unhideWhenUsed/>
    <w:qFormat/>
    <w:uiPriority w:val="99"/>
    <w:pPr>
      <w:snapToGrid w:val="0"/>
      <w:jc w:val="left"/>
    </w:pPr>
    <w:rPr>
      <w:sz w:val="18"/>
      <w:szCs w:val="18"/>
    </w:r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6"/>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pPr>
  </w:style>
  <w:style w:type="character" w:customStyle="1" w:styleId="14">
    <w:name w:val="标题 1 字符"/>
    <w:basedOn w:val="9"/>
    <w:link w:val="2"/>
    <w:qFormat/>
    <w:uiPriority w:val="9"/>
    <w:rPr>
      <w:rFonts w:eastAsia="黑体"/>
      <w:b/>
      <w:bCs/>
      <w:kern w:val="44"/>
      <w:sz w:val="32"/>
      <w:szCs w:val="44"/>
    </w:rPr>
  </w:style>
  <w:style w:type="character" w:customStyle="1" w:styleId="15">
    <w:name w:val="标题 2 字符"/>
    <w:basedOn w:val="9"/>
    <w:link w:val="3"/>
    <w:qFormat/>
    <w:uiPriority w:val="9"/>
    <w:rPr>
      <w:rFonts w:eastAsia="宋体" w:asciiTheme="majorHAnsi" w:hAnsiTheme="majorHAnsi" w:cstheme="majorBidi"/>
      <w:b/>
      <w:bCs/>
      <w:sz w:val="24"/>
      <w:szCs w:val="32"/>
    </w:rPr>
  </w:style>
  <w:style w:type="character" w:customStyle="1" w:styleId="16">
    <w:name w:val="脚注文本 字符"/>
    <w:basedOn w:val="9"/>
    <w:link w:val="7"/>
    <w:semiHidden/>
    <w:qFormat/>
    <w:uiPriority w:val="99"/>
    <w:rPr>
      <w:rFonts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microsoft.com/office/2006/relationships/keyMapCustomizations" Target="customizations.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chart" Target="charts/chart2.xml"/><Relationship Id="rId14" Type="http://schemas.openxmlformats.org/officeDocument/2006/relationships/image" Target="media/image2.png"/><Relationship Id="rId13" Type="http://schemas.openxmlformats.org/officeDocument/2006/relationships/chart" Target="charts/chart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t>2006-2018</a:t>
            </a:r>
            <a:r>
              <a:rPr lang="zh-CN"/>
              <a:t>年中国航天发射次数情况</a:t>
            </a:r>
            <a:endParaRPr lang="zh-CN"/>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系列1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Sheet1!$A$2:$A$14</c:f>
              <c:numCache>
                <c:formatCode>General</c:formatCode>
                <c:ptCount val="13"/>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numCache>
            </c:numRef>
          </c:cat>
          <c:val>
            <c:numRef>
              <c:f>Sheet1!$B$2:$B$14</c:f>
              <c:numCache>
                <c:formatCode>General</c:formatCode>
                <c:ptCount val="13"/>
                <c:pt idx="0">
                  <c:v>6</c:v>
                </c:pt>
                <c:pt idx="1">
                  <c:v>10</c:v>
                </c:pt>
                <c:pt idx="2">
                  <c:v>11</c:v>
                </c:pt>
                <c:pt idx="3">
                  <c:v>6</c:v>
                </c:pt>
                <c:pt idx="4">
                  <c:v>15</c:v>
                </c:pt>
                <c:pt idx="5">
                  <c:v>19</c:v>
                </c:pt>
                <c:pt idx="6">
                  <c:v>19</c:v>
                </c:pt>
                <c:pt idx="7">
                  <c:v>15</c:v>
                </c:pt>
                <c:pt idx="8">
                  <c:v>16</c:v>
                </c:pt>
                <c:pt idx="9">
                  <c:v>19</c:v>
                </c:pt>
                <c:pt idx="10">
                  <c:v>22</c:v>
                </c:pt>
                <c:pt idx="11">
                  <c:v>18</c:v>
                </c:pt>
                <c:pt idx="12">
                  <c:v>39</c:v>
                </c:pt>
              </c:numCache>
            </c:numRef>
          </c:val>
        </c:ser>
        <c:dLbls>
          <c:showLegendKey val="0"/>
          <c:showVal val="1"/>
          <c:showCatName val="0"/>
          <c:showSerName val="0"/>
          <c:showPercent val="0"/>
          <c:showBubbleSize val="0"/>
        </c:dLbls>
        <c:gapWidth val="219"/>
        <c:overlap val="-27"/>
        <c:axId val="602514335"/>
        <c:axId val="602511455"/>
      </c:barChart>
      <c:catAx>
        <c:axId val="602514335"/>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资料来源：爱航天网</a:t>
                </a:r>
                <a:endParaRPr lang="zh-CN" altLang="en-US"/>
              </a:p>
            </c:rich>
          </c:tx>
          <c:layout>
            <c:manualLayout>
              <c:xMode val="edge"/>
              <c:yMode val="edge"/>
              <c:x val="0.0257429838985185"/>
              <c:y val="0.860371517027864"/>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2514335"/>
        <c:crosses val="autoZero"/>
        <c:crossBetween val="between"/>
      </c:valAx>
      <c:spPr>
        <a:noFill/>
        <a:ln>
          <a:noFill/>
        </a:ln>
        <a:effectLst/>
      </c:spPr>
    </c:plotArea>
    <c:plotVisOnly val="1"/>
    <c:dispBlanksAs val="gap"/>
    <c:showDLblsOverMax val="0"/>
    <c:extLst>
      <c:ext uri="{0b15fc19-7d7d-44ad-8c2d-2c3a37ce22c3}">
        <chartProps xmlns="https://web.wps.cn/et/2018/main" chartId="{1e01e909-cba7-4360-9796-ef865c86617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lang="zh-CN" sz="1600" b="1" i="0" u="none" strike="noStrike" kern="1200" baseline="0">
                <a:ln>
                  <a:noFill/>
                </a:ln>
                <a:solidFill>
                  <a:schemeClr val="tx2"/>
                </a:solidFill>
                <a:latin typeface="+mn-lt"/>
                <a:ea typeface="+mn-ea"/>
                <a:cs typeface="+mn-cs"/>
              </a:defRPr>
            </a:pPr>
            <a:r>
              <a:rPr lang="en-US"/>
              <a:t>2023</a:t>
            </a:r>
            <a:r>
              <a:rPr lang="zh-CN"/>
              <a:t>年全球商业船舶产量</a:t>
            </a:r>
            <a:endParaRPr lang="zh-CN"/>
          </a:p>
        </c:rich>
      </c:tx>
      <c:layout/>
      <c:overlay val="0"/>
      <c:spPr>
        <a:noFill/>
        <a:ln>
          <a:noFill/>
        </a:ln>
        <a:effectLst/>
      </c:spPr>
    </c:title>
    <c:autoTitleDeleted val="0"/>
    <c:plotArea>
      <c:layout/>
      <c:pieChart>
        <c:varyColors val="1"/>
        <c:ser>
          <c:idx val="0"/>
          <c:order val="0"/>
          <c:tx>
            <c:strRef>
              <c:f>Sheet1!$B$1</c:f>
              <c:strCache>
                <c:ptCount val="1"/>
                <c:pt idx="0">
                  <c:v>系列1</c:v>
                </c:pt>
              </c:strCache>
            </c:strRef>
          </c:tx>
          <c:spPr/>
          <c:explosion val="0"/>
          <c:dPt>
            <c:idx val="0"/>
            <c:bubble3D val="0"/>
            <c:spPr>
              <a:gradFill rotWithShape="1">
                <a:gsLst>
                  <a:gs pos="0">
                    <a:schemeClr val="accent4">
                      <a:tint val="54000"/>
                      <a:satMod val="103000"/>
                      <a:lumMod val="102000"/>
                      <a:tint val="94000"/>
                    </a:schemeClr>
                  </a:gs>
                  <a:gs pos="50000">
                    <a:schemeClr val="accent4">
                      <a:tint val="54000"/>
                      <a:satMod val="110000"/>
                      <a:lumMod val="100000"/>
                      <a:shade val="100000"/>
                    </a:schemeClr>
                  </a:gs>
                  <a:gs pos="100000">
                    <a:schemeClr val="accent4">
                      <a:tint val="54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1"/>
            <c:bubble3D val="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3"/>
            <c:bubble3D val="0"/>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4"/>
            <c:bubble3D val="0"/>
            <c:spPr>
              <a:gradFill rotWithShape="1">
                <a:gsLst>
                  <a:gs pos="0">
                    <a:schemeClr val="accent4">
                      <a:shade val="53000"/>
                      <a:satMod val="103000"/>
                      <a:lumMod val="102000"/>
                      <a:tint val="94000"/>
                    </a:schemeClr>
                  </a:gs>
                  <a:gs pos="50000">
                    <a:schemeClr val="accent4">
                      <a:shade val="53000"/>
                      <a:satMod val="110000"/>
                      <a:lumMod val="100000"/>
                      <a:shade val="100000"/>
                    </a:schemeClr>
                  </a:gs>
                  <a:gs pos="100000">
                    <a:schemeClr val="accent4">
                      <a:shade val="53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ln>
                      <a:noFill/>
                    </a:ln>
                    <a:solidFill>
                      <a:schemeClr val="tx2"/>
                    </a:solidFill>
                    <a:latin typeface="+mn-lt"/>
                    <a:ea typeface="+mn-ea"/>
                    <a:cs typeface="+mn-cs"/>
                  </a:defRPr>
                </a:pPr>
              </a:p>
            </c:txPr>
            <c:dLblPos val="bestFit"/>
            <c:showLegendKey val="0"/>
            <c:showVal val="0"/>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China</c:v>
                </c:pt>
                <c:pt idx="1">
                  <c:v>South Koren</c:v>
                </c:pt>
                <c:pt idx="2">
                  <c:v>Japan</c:v>
                </c:pt>
                <c:pt idx="3">
                  <c:v>Europe</c:v>
                </c:pt>
                <c:pt idx="4">
                  <c:v>Other</c:v>
                </c:pt>
              </c:strCache>
            </c:strRef>
          </c:cat>
          <c:val>
            <c:numRef>
              <c:f>Sheet1!$B$2:$B$6</c:f>
              <c:numCache>
                <c:formatCode>0%</c:formatCode>
                <c:ptCount val="5"/>
                <c:pt idx="0">
                  <c:v>0.51</c:v>
                </c:pt>
                <c:pt idx="1">
                  <c:v>0.26</c:v>
                </c:pt>
                <c:pt idx="2">
                  <c:v>0.14</c:v>
                </c:pt>
                <c:pt idx="3">
                  <c:v>0.05</c:v>
                </c:pt>
                <c:pt idx="4">
                  <c:v>0.04</c:v>
                </c:pt>
              </c:numCache>
            </c:numRef>
          </c:val>
        </c:ser>
        <c:ser>
          <c:idx val="1"/>
          <c:order val="1"/>
          <c:tx>
            <c:strRef>
              <c:f>Sheet1!$C$1</c:f>
              <c:strCache>
                <c:ptCount val="1"/>
                <c:pt idx="0">
                  <c:v>系列2</c:v>
                </c:pt>
              </c:strCache>
            </c:strRef>
          </c:tx>
          <c:spPr/>
          <c:explosion val="0"/>
          <c:dPt>
            <c:idx val="0"/>
            <c:bubble3D val="0"/>
            <c:spPr>
              <a:gradFill rotWithShape="1">
                <a:gsLst>
                  <a:gs pos="0">
                    <a:schemeClr val="accent4">
                      <a:tint val="54000"/>
                      <a:satMod val="103000"/>
                      <a:lumMod val="102000"/>
                      <a:tint val="94000"/>
                    </a:schemeClr>
                  </a:gs>
                  <a:gs pos="50000">
                    <a:schemeClr val="accent4">
                      <a:tint val="54000"/>
                      <a:satMod val="110000"/>
                      <a:lumMod val="100000"/>
                      <a:shade val="100000"/>
                    </a:schemeClr>
                  </a:gs>
                  <a:gs pos="100000">
                    <a:schemeClr val="accent4">
                      <a:tint val="54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1"/>
            <c:bubble3D val="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3"/>
            <c:bubble3D val="0"/>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4"/>
            <c:bubble3D val="0"/>
            <c:spPr>
              <a:gradFill rotWithShape="1">
                <a:gsLst>
                  <a:gs pos="0">
                    <a:schemeClr val="accent4">
                      <a:shade val="53000"/>
                      <a:satMod val="103000"/>
                      <a:lumMod val="102000"/>
                      <a:tint val="94000"/>
                    </a:schemeClr>
                  </a:gs>
                  <a:gs pos="50000">
                    <a:schemeClr val="accent4">
                      <a:shade val="53000"/>
                      <a:satMod val="110000"/>
                      <a:lumMod val="100000"/>
                      <a:shade val="100000"/>
                    </a:schemeClr>
                  </a:gs>
                  <a:gs pos="100000">
                    <a:schemeClr val="accent4">
                      <a:shade val="53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ln>
                      <a:noFill/>
                    </a:ln>
                    <a:solidFill>
                      <a:schemeClr val="tx2"/>
                    </a:solidFill>
                    <a:latin typeface="+mn-lt"/>
                    <a:ea typeface="+mn-ea"/>
                    <a:cs typeface="+mn-cs"/>
                  </a:defRPr>
                </a:pPr>
              </a:p>
            </c:txPr>
            <c:dLblPos val="bestFit"/>
            <c:showLegendKey val="0"/>
            <c:showVal val="0"/>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China</c:v>
                </c:pt>
                <c:pt idx="1">
                  <c:v>South Koren</c:v>
                </c:pt>
                <c:pt idx="2">
                  <c:v>Japan</c:v>
                </c:pt>
                <c:pt idx="3">
                  <c:v>Europe</c:v>
                </c:pt>
                <c:pt idx="4">
                  <c:v>Other</c:v>
                </c:pt>
              </c:strCache>
            </c:strRef>
          </c:cat>
          <c:val>
            <c:numRef>
              <c:f>Sheet1!$C$2:$C$6</c:f>
              <c:numCache>
                <c:formatCode>General</c:formatCode>
                <c:ptCount val="5"/>
                <c:pt idx="0">
                  <c:v>2.4</c:v>
                </c:pt>
                <c:pt idx="1">
                  <c:v>4.4</c:v>
                </c:pt>
                <c:pt idx="2">
                  <c:v>1.8</c:v>
                </c:pt>
                <c:pt idx="3">
                  <c:v>2.8</c:v>
                </c:pt>
              </c:numCache>
            </c:numRef>
          </c:val>
        </c:ser>
        <c:ser>
          <c:idx val="2"/>
          <c:order val="2"/>
          <c:tx>
            <c:strRef>
              <c:f>Sheet1!$D$1</c:f>
              <c:strCache>
                <c:ptCount val="1"/>
                <c:pt idx="0">
                  <c:v>系列3</c:v>
                </c:pt>
              </c:strCache>
            </c:strRef>
          </c:tx>
          <c:spPr/>
          <c:explosion val="0"/>
          <c:dPt>
            <c:idx val="0"/>
            <c:bubble3D val="0"/>
            <c:spPr>
              <a:gradFill rotWithShape="1">
                <a:gsLst>
                  <a:gs pos="0">
                    <a:schemeClr val="accent4">
                      <a:tint val="54000"/>
                      <a:satMod val="103000"/>
                      <a:lumMod val="102000"/>
                      <a:tint val="94000"/>
                    </a:schemeClr>
                  </a:gs>
                  <a:gs pos="50000">
                    <a:schemeClr val="accent4">
                      <a:tint val="54000"/>
                      <a:satMod val="110000"/>
                      <a:lumMod val="100000"/>
                      <a:shade val="100000"/>
                    </a:schemeClr>
                  </a:gs>
                  <a:gs pos="100000">
                    <a:schemeClr val="accent4">
                      <a:tint val="54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1"/>
            <c:bubble3D val="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3"/>
            <c:bubble3D val="0"/>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Pt>
            <c:idx val="4"/>
            <c:bubble3D val="0"/>
            <c:spPr>
              <a:gradFill rotWithShape="1">
                <a:gsLst>
                  <a:gs pos="0">
                    <a:schemeClr val="accent4">
                      <a:shade val="53000"/>
                      <a:satMod val="103000"/>
                      <a:lumMod val="102000"/>
                      <a:tint val="94000"/>
                    </a:schemeClr>
                  </a:gs>
                  <a:gs pos="50000">
                    <a:schemeClr val="accent4">
                      <a:shade val="53000"/>
                      <a:satMod val="110000"/>
                      <a:lumMod val="100000"/>
                      <a:shade val="100000"/>
                    </a:schemeClr>
                  </a:gs>
                  <a:gs pos="100000">
                    <a:schemeClr val="accent4">
                      <a:shade val="53000"/>
                      <a:lumMod val="99000"/>
                      <a:satMod val="120000"/>
                      <a:shade val="78000"/>
                    </a:schemeClr>
                  </a:gs>
                </a:gsLst>
                <a:lin ang="5400000" scaled="0"/>
              </a:gradFill>
              <a:ln>
                <a:noFill/>
              </a:ln>
              <a:effectLst>
                <a:outerShdw blurRad="57150" dist="19050" dir="5400000" algn="ctr" rotWithShape="0">
                  <a:srgbClr val="000000">
                    <a:alpha val="63000"/>
                  </a:srgbClr>
                </a:outerShdw>
              </a:effectLst>
            </c:spPr>
          </c:dPt>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ln>
                      <a:noFill/>
                    </a:ln>
                    <a:solidFill>
                      <a:schemeClr val="tx2"/>
                    </a:solidFill>
                    <a:latin typeface="+mn-lt"/>
                    <a:ea typeface="+mn-ea"/>
                    <a:cs typeface="+mn-cs"/>
                  </a:defRPr>
                </a:pPr>
              </a:p>
            </c:txPr>
            <c:dLblPos val="bestFit"/>
            <c:showLegendKey val="0"/>
            <c:showVal val="0"/>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China</c:v>
                </c:pt>
                <c:pt idx="1">
                  <c:v>South Koren</c:v>
                </c:pt>
                <c:pt idx="2">
                  <c:v>Japan</c:v>
                </c:pt>
                <c:pt idx="3">
                  <c:v>Europe</c:v>
                </c:pt>
                <c:pt idx="4">
                  <c:v>Other</c:v>
                </c:pt>
              </c:strCache>
            </c:strRef>
          </c:cat>
          <c:val>
            <c:numRef>
              <c:f>Sheet1!$D$2:$D$6</c:f>
              <c:numCache>
                <c:formatCode>General</c:formatCode>
                <c:ptCount val="5"/>
                <c:pt idx="0">
                  <c:v>2</c:v>
                </c:pt>
                <c:pt idx="1">
                  <c:v>2</c:v>
                </c:pt>
                <c:pt idx="2">
                  <c:v>3</c:v>
                </c:pt>
                <c:pt idx="3">
                  <c:v>5</c:v>
                </c:pt>
              </c:numCache>
            </c:numRef>
          </c:val>
        </c:ser>
        <c:dLbls>
          <c:showLegendKey val="0"/>
          <c:showVal val="0"/>
          <c:showCatName val="1"/>
          <c:showSerName val="0"/>
          <c:showPercent val="1"/>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ln>
                <a:noFill/>
              </a:ln>
              <a:solidFill>
                <a:schemeClr val="tx2"/>
              </a:solidFill>
              <a:latin typeface="+mn-lt"/>
              <a:ea typeface="+mn-ea"/>
              <a:cs typeface="+mn-cs"/>
            </a:defRPr>
          </a:pPr>
        </a:p>
      </c:txPr>
    </c:legend>
    <c:plotVisOnly val="1"/>
    <c:dispBlanksAs val="gap"/>
    <c:showDLblsOverMax val="0"/>
    <c:extLst>
      <c:ext uri="{0b15fc19-7d7d-44ad-8c2d-2c3a37ce22c3}">
        <chartProps xmlns="https://web.wps.cn/et/2018/main" chartId="{ffd616d6-55ec-4b15-b43f-c21c3a9d7365}"/>
      </c:ext>
    </c:extLst>
  </c:chart>
  <c:spPr>
    <a:solidFill>
      <a:schemeClr val="bg1"/>
    </a:solidFill>
    <a:ln w="9525" cap="flat" cmpd="sng" algn="ctr">
      <a:noFill/>
      <a:round/>
    </a:ln>
    <a:effectLst/>
  </c:spPr>
  <c:txPr>
    <a:bodyPr/>
    <a:lstStyle/>
    <a:p>
      <a:pPr>
        <a:defRPr lang="zh-CN">
          <a:ln>
            <a:noFill/>
          </a:ln>
          <a:solidFill>
            <a:schemeClr val="tx2"/>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4">
  <a:schemeClr val="accent4"/>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7E0F2E-2651-41F0-8FB4-454FC5B57C9C}">
  <ds:schemaRefs/>
</ds:datastoreItem>
</file>

<file path=docProps/app.xml><?xml version="1.0" encoding="utf-8"?>
<Properties xmlns="http://schemas.openxmlformats.org/officeDocument/2006/extended-properties" xmlns:vt="http://schemas.openxmlformats.org/officeDocument/2006/docPropsVTypes">
  <Template>Normal</Template>
  <Pages>5</Pages>
  <Words>3389</Words>
  <Characters>3439</Characters>
  <Lines>25</Lines>
  <Paragraphs>7</Paragraphs>
  <TotalTime>1</TotalTime>
  <ScaleCrop>false</ScaleCrop>
  <LinksUpToDate>false</LinksUpToDate>
  <CharactersWithSpaces>3466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2024-10-17T15:17:00Z</dcterms:created>
  <dc:creator>星 刘</dc:creator>
  <cp:lastModifiedBy>跃跃~</cp:lastModifiedBy>
  <dcterms:modified xsi:type="dcterms:W3CDTF">2025-09-21T08:24:40Z</dcterms:modified>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eyJoZGlkIjoiODViY2JkMjU3NGYzZTEwMzZmMGFkZWViYmNkYWU3NDIiLCJ1c2VySWQiOiI2NzUzNjU1MDQifQ==</vt:lpwstr>
  </property>
  <property fmtid="{D5CDD505-2E9C-101B-9397-08002B2CF9AE}" pid="3" name="KSOProductBuildVer">
    <vt:lpwstr>2052-12.1.0.22529</vt:lpwstr>
  </property>
  <property fmtid="{D5CDD505-2E9C-101B-9397-08002B2CF9AE}" pid="4" name="ICV">
    <vt:lpwstr>E45A4A7395B6410B86A7197DFD4164F5_12</vt:lpwstr>
  </property>
</Properties>
</file>