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 de projet — Tableau de bord de prospérité des employeurs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d1a93ff435dd803fc7e5eeebf7b263217c104f8"/>
    <w:p>
      <w:pPr>
        <w:pStyle w:val="Heading1"/>
      </w:pPr>
      <w:r>
        <w:t xml:space="preserve">Rapport de projet — Tableau de bord de prospérité des employeurs</w:t>
      </w:r>
    </w:p>
    <w:p>
      <w:pPr>
        <w:pStyle w:val="FirstParagraph"/>
      </w:pPr>
      <w:r>
        <w:rPr>
          <w:b/>
          <w:bCs/>
        </w:rPr>
        <w:t xml:space="preserve">VAST Challenge 2022 — Mini-challenge Économique (Q1)</w:t>
      </w:r>
    </w:p>
    <w:p>
      <w:pPr>
        <w:pStyle w:val="BodyText"/>
      </w:pPr>
      <w:r>
        <w:rPr>
          <w:i/>
          <w:iCs/>
        </w:rPr>
        <w:t xml:space="preserve">Cours : Visualisation de données</w:t>
      </w:r>
      <w:r>
        <w:t xml:space="preserve"> </w:t>
      </w:r>
      <w:r>
        <w:rPr>
          <w:i/>
          <w:iCs/>
        </w:rPr>
        <w:t xml:space="preserve">M2 IHM, 2026</w:t>
      </w:r>
    </w:p>
    <w:p>
      <w:pPr>
        <w:pStyle w:val="BodyText"/>
      </w:pPr>
      <w:r>
        <w:t xml:space="preserve">Charaf Eddine Benerrazam, Aurélien Mathis, Lynn Carla Maniboda Ngouanat, Adrian Maraj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Le présent rapport décrit la conception et l’implémentation d’un tableau de bord interactif</w:t>
      </w:r>
      <w:r>
        <w:t xml:space="preserve"> </w:t>
      </w:r>
      <w:r>
        <w:t xml:space="preserve">répondant à la Question 1 (Q1) du mini-challenge économique du VAST Challenge 2022 :</w:t>
      </w:r>
    </w:p>
    <w:p>
      <w:pPr>
        <w:pStyle w:val="BlockText"/>
      </w:pPr>
      <w:r>
        <w:rPr>
          <w:i/>
          <w:iCs/>
        </w:rPr>
        <w:t xml:space="preserve">« Over the period covered by the dataset, which businesses appear to be more prosperous?</w:t>
      </w:r>
      <w:r>
        <w:rPr>
          <w:i/>
          <w:iCs/>
        </w:rPr>
        <w:t xml:space="preserve"> </w:t>
      </w:r>
      <w:r>
        <w:rPr>
          <w:i/>
          <w:iCs/>
        </w:rPr>
        <w:t xml:space="preserve">Which appear to be struggling? Describe your rationale. »</w:t>
      </w:r>
    </w:p>
    <w:p>
      <w:pPr>
        <w:pStyle w:val="FirstParagraph"/>
      </w:pPr>
      <w:r>
        <w:t xml:space="preserve">Le jeu de données simule la vie quotidienne d’environ 1 011 résidents de la ville fictive d’Engagement, Ohio, sur une période de 15 mois (mars 2022 – mai 2023). Ces données sont</w:t>
      </w:r>
      <w:r>
        <w:t xml:space="preserve"> </w:t>
      </w:r>
      <w:r>
        <w:t xml:space="preserve">collectées via une application municipale d’urbanisme participatif. La municipalité souhaite</w:t>
      </w:r>
      <w:r>
        <w:t xml:space="preserve"> </w:t>
      </w:r>
      <w:r>
        <w:t xml:space="preserve">exploiter ces informations pour orienter l’allocation d’une subvention de renouvellement urbain.</w:t>
      </w:r>
    </w:p>
    <w:p>
      <w:pPr>
        <w:pStyle w:val="BodyText"/>
      </w:pPr>
      <w:r>
        <w:t xml:space="preserve">Nous nous concentrons exclusivement sur les 253 employeurs, qui représentent les entreprises</w:t>
      </w:r>
      <w:r>
        <w:t xml:space="preserve"> </w:t>
      </w:r>
      <w:r>
        <w:t xml:space="preserve">dans ce jeu de données. En l’absence de chiffre d’affaires directement disponible, nous</w:t>
      </w:r>
      <w:r>
        <w:t xml:space="preserve"> </w:t>
      </w:r>
      <w:r>
        <w:t xml:space="preserve">définissons deux indicateurs indirects de santé économique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Prospérité</w:t>
      </w:r>
      <w:r>
        <w:t xml:space="preserve"> </w:t>
      </w:r>
      <w:r>
        <w:t xml:space="preserve">: croissance ou stabilité des effectifs accompagnée d’une masse salariale</w:t>
      </w:r>
      <w:r>
        <w:t xml:space="preserve"> </w:t>
      </w:r>
      <w:r>
        <w:t xml:space="preserve">constante ou croissante — signe que l’entreprise génère assez de revenus pour recruter et</w:t>
      </w:r>
      <w:r>
        <w:t xml:space="preserve"> </w:t>
      </w:r>
      <w:r>
        <w:t xml:space="preserve">rémunérer ses salariés.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Difficulté</w:t>
      </w:r>
      <w:r>
        <w:t xml:space="preserve"> </w:t>
      </w:r>
      <w:r>
        <w:t xml:space="preserve">: baisse du nombre d’employés ou diminution drastique des salaires versés —</w:t>
      </w:r>
      <w:r>
        <w:t xml:space="preserve"> </w:t>
      </w:r>
      <w:r>
        <w:t xml:space="preserve">signal que l’entreprise n’a plus les moyens de soutenir son activité.</w:t>
      </w:r>
    </w:p>
    <w:p>
      <w:pPr>
        <w:pStyle w:val="FirstParagraph"/>
      </w:pPr>
      <w:r>
        <w:t xml:space="preserve">Notre approche s’inscrit dans le modèle imbriqué de Munzner (2014), qui structure la conception</w:t>
      </w:r>
      <w:r>
        <w:t xml:space="preserve"> </w:t>
      </w:r>
      <w:r>
        <w:t xml:space="preserve">d’une visualisation en quatre niveaux : caractérisation du domaine, abstraction des données et</w:t>
      </w:r>
      <w:r>
        <w:t xml:space="preserve"> </w:t>
      </w:r>
      <w:r>
        <w:t xml:space="preserve">des tâches, encodage visuel et interaction, et choix algorithmiques et d’implémentation. Le</w:t>
      </w:r>
      <w:r>
        <w:t xml:space="preserve"> </w:t>
      </w:r>
      <w:r>
        <w:t xml:space="preserve">rapport suit cette progression.</w:t>
      </w:r>
    </w:p>
    <w:p>
      <w:pPr>
        <w:pStyle w:val="BodyText"/>
      </w:pPr>
      <w:r>
        <w:t xml:space="preserve">Le tableau de bord se compose de trois vues coordonnées — une série temporelle, un diagramme</w:t>
      </w:r>
      <w:r>
        <w:t xml:space="preserve"> </w:t>
      </w:r>
      <w:r>
        <w:t xml:space="preserve">en barres divergent et un nuage de points multi-encodé — synchronisées par un état partagé,</w:t>
      </w:r>
      <w:r>
        <w:t xml:space="preserve"> </w:t>
      </w:r>
      <w:r>
        <w:t xml:space="preserve">permettant à l’utilisateur de passer d’une vue d’ensemble à l’examen détaillé de chaque</w:t>
      </w:r>
      <w:r>
        <w:t xml:space="preserve"> </w:t>
      </w:r>
      <w:r>
        <w:t xml:space="preserve">employeur selon le mantra de Shneiderman (1996) :</w:t>
      </w:r>
      <w:r>
        <w:t xml:space="preserve"> </w:t>
      </w:r>
      <w:r>
        <w:rPr>
          <w:i/>
          <w:iCs/>
        </w:rPr>
        <w:t xml:space="preserve">overview first, zoom and filter, then</w:t>
      </w:r>
      <w:r>
        <w:rPr>
          <w:i/>
          <w:iCs/>
        </w:rPr>
        <w:t xml:space="preserve"> </w:t>
      </w:r>
      <w:r>
        <w:rPr>
          <w:i/>
          <w:iCs/>
        </w:rPr>
        <w:t xml:space="preserve">details-on-demand</w:t>
      </w:r>
      <w:r>
        <w:t xml:space="preserve">.</w:t>
      </w:r>
    </w:p>
    <w:p>
      <w:pPr>
        <w:pStyle w:val="BodyText"/>
      </w:pPr>
      <w:r>
        <w:t xml:space="preserve">Ce rapport fait suite au rapport de conception de données (Benerrazam, Mathis, Ngouanat &amp; Maraj, 2025) soumis</w:t>
      </w:r>
      <w:r>
        <w:t xml:space="preserve"> </w:t>
      </w:r>
      <w:r>
        <w:t xml:space="preserve">en amont de l’implémentation, dont il reprend et approfondit l’analyse.</w:t>
      </w:r>
    </w:p>
    <w:p>
      <w:r>
        <w:pict>
          <v:rect style="width:0;height:1.5pt" o:hralign="center" o:hrstd="t" o:hr="t"/>
        </w:pict>
      </w:r>
    </w:p>
    <w:bookmarkEnd w:id="9"/>
    <w:bookmarkStart w:id="10" w:name="analyse-du-domaine-munzner-niveau-1"/>
    <w:p>
      <w:pPr>
        <w:pStyle w:val="Heading2"/>
      </w:pPr>
      <w:r>
        <w:t xml:space="preserve">2. Analyse du domaine (Munzner — niveau 1)</w:t>
      </w:r>
    </w:p>
    <w:p>
      <w:pPr>
        <w:pStyle w:val="FirstParagraph"/>
      </w:pPr>
      <w:r>
        <w:t xml:space="preserve">Le premier niveau du modèle imbriqué de Munzner (2014) consiste à caractériser le problème de</w:t>
      </w:r>
      <w:r>
        <w:t xml:space="preserve"> </w:t>
      </w:r>
      <w:r>
        <w:t xml:space="preserve">domaine : qui sont les utilisateurs cibles, quelles décisions doivent-ils prendre, et quelles</w:t>
      </w:r>
      <w:r>
        <w:t xml:space="preserve"> </w:t>
      </w:r>
      <w:r>
        <w:t xml:space="preserve">questions se posent-ils ?</w:t>
      </w:r>
    </w:p>
    <w:p>
      <w:pPr>
        <w:pStyle w:val="Body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Le VAST Challenge 2022 simule la ville fictive d’Engagement, Ohio, dont la</w:t>
      </w:r>
      <w:r>
        <w:t xml:space="preserve"> </w:t>
      </w:r>
      <w:r>
        <w:t xml:space="preserve">municipalité dispose de données issues d’une application d’urbanisme participatif. Ces données</w:t>
      </w:r>
      <w:r>
        <w:t xml:space="preserve"> </w:t>
      </w:r>
      <w:r>
        <w:t xml:space="preserve">couvrent les activités quotidiennes de 1 011 résidents sur 15 mois. La municipalité souhaite</w:t>
      </w:r>
      <w:r>
        <w:t xml:space="preserve"> </w:t>
      </w:r>
      <w:r>
        <w:t xml:space="preserve">allouer une subvention de renouvellement urbain aux entreprises qui en ont le plus besoin.</w:t>
      </w:r>
    </w:p>
    <w:p>
      <w:pPr>
        <w:pStyle w:val="BodyText"/>
      </w:pPr>
      <w:r>
        <w:rPr>
          <w:b/>
          <w:bCs/>
        </w:rPr>
        <w:t xml:space="preserve">Utilisateurs cibles.</w:t>
      </w:r>
      <w:r>
        <w:t xml:space="preserve"> </w:t>
      </w:r>
      <w:r>
        <w:t xml:space="preserve">Les décideurs municipaux chargés de l’allocation de cette subvention.</w:t>
      </w:r>
      <w:r>
        <w:t xml:space="preserve"> </w:t>
      </w:r>
      <w:r>
        <w:t xml:space="preserve">Ils n’ont pas d’expertise en analyse de données et ont besoin d’un outil visuel leur permettant</w:t>
      </w:r>
      <w:r>
        <w:t xml:space="preserve"> </w:t>
      </w:r>
      <w:r>
        <w:t xml:space="preserve">d’identifier rapidement quelles entreprises prospèrent et lesquelles sont en difficulté.</w:t>
      </w:r>
    </w:p>
    <w:p>
      <w:pPr>
        <w:pStyle w:val="BodyText"/>
      </w:pPr>
      <w:r>
        <w:rPr>
          <w:b/>
          <w:bCs/>
        </w:rPr>
        <w:t xml:space="preserve">Question analytique (Q1).</w:t>
      </w:r>
      <w:r>
        <w:t xml:space="preserve"> </w:t>
      </w:r>
      <w:r>
        <w:rPr>
          <w:i/>
          <w:iCs/>
        </w:rPr>
        <w:t xml:space="preserve">Quelles entreprises semblent prospères ? Lesquelles semblent en</w:t>
      </w:r>
      <w:r>
        <w:rPr>
          <w:i/>
          <w:iCs/>
        </w:rPr>
        <w:t xml:space="preserve"> </w:t>
      </w:r>
      <w:r>
        <w:rPr>
          <w:i/>
          <w:iCs/>
        </w:rPr>
        <w:t xml:space="preserve">difficulté ?</w:t>
      </w:r>
      <w:r>
        <w:t xml:space="preserve"> </w:t>
      </w:r>
      <w:r>
        <w:t xml:space="preserve">L’utilisateur doit pouvoir répondre à cette question en explorant visuellement la</w:t>
      </w:r>
      <w:r>
        <w:t xml:space="preserve"> </w:t>
      </w:r>
      <w:r>
        <w:t xml:space="preserve">dynamique économique des 253 employeurs du jeu de données.</w:t>
      </w:r>
    </w:p>
    <w:p>
      <w:pPr>
        <w:pStyle w:val="BodyText"/>
      </w:pPr>
      <w:r>
        <w:rPr>
          <w:b/>
          <w:bCs/>
        </w:rPr>
        <w:t xml:space="preserve">Objectifs analytiques.</w:t>
      </w:r>
      <w:r>
        <w:t xml:space="preserve"> </w:t>
      </w:r>
      <w:r>
        <w:t xml:space="preserve">La question Q1 se décompose en objectifs concrets :</w:t>
      </w:r>
    </w:p>
    <w:p>
      <w:pPr>
        <w:pStyle w:val="Compact"/>
        <w:numPr>
          <w:ilvl w:val="0"/>
          <w:numId w:val="1002"/>
        </w:numPr>
      </w:pPr>
      <w:r>
        <w:t xml:space="preserve">Observer l’évolution temporelle de la santé financière de chaque employeur.</w:t>
      </w:r>
    </w:p>
    <w:p>
      <w:pPr>
        <w:pStyle w:val="Compact"/>
        <w:numPr>
          <w:ilvl w:val="0"/>
          <w:numId w:val="1002"/>
        </w:numPr>
      </w:pPr>
      <w:r>
        <w:t xml:space="preserve">Comparer les trajectoires des employeurs entre eux pour distinguer les performants des</w:t>
      </w:r>
      <w:r>
        <w:t xml:space="preserve"> </w:t>
      </w:r>
      <w:r>
        <w:t xml:space="preserve">défaillants.</w:t>
      </w:r>
    </w:p>
    <w:p>
      <w:pPr>
        <w:pStyle w:val="Compact"/>
        <w:numPr>
          <w:ilvl w:val="0"/>
          <w:numId w:val="1002"/>
        </w:numPr>
      </w:pPr>
      <w:r>
        <w:t xml:space="preserve">Identifier les cas extrêmes — les employeurs les plus prospères et les plus en difficulté.</w:t>
      </w:r>
    </w:p>
    <w:p>
      <w:pPr>
        <w:pStyle w:val="Compact"/>
        <w:numPr>
          <w:ilvl w:val="0"/>
          <w:numId w:val="1002"/>
        </w:numPr>
      </w:pPr>
      <w:r>
        <w:t xml:space="preserve">Vérifier si les indicateurs convergent (un employeur qui gagne en effectif gagne-t-il aussi</w:t>
      </w:r>
      <w:r>
        <w:t xml:space="preserve"> </w:t>
      </w:r>
      <w:r>
        <w:t xml:space="preserve">en masse salariale ?).</w:t>
      </w:r>
    </w:p>
    <w:p>
      <w:pPr>
        <w:pStyle w:val="FirstParagraph"/>
      </w:pPr>
      <w:r>
        <w:t xml:space="preserve">Le risque principal au niveau 1 est la menace de non-adoption à long terme (Munzner, 2014,</w:t>
      </w:r>
      <w:r>
        <w:t xml:space="preserve"> </w:t>
      </w:r>
      <w:r>
        <w:t xml:space="preserve">ch. 2) : si l’outil ne répond pas aux véritables besoins des décideurs, il ne sera pas utilisé.</w:t>
      </w:r>
      <w:r>
        <w:t xml:space="preserve"> </w:t>
      </w:r>
      <w:r>
        <w:t xml:space="preserve">Nous atténuons ce risque en ancrant chaque vue du tableau de bord dans un objectif analytique</w:t>
      </w:r>
      <w:r>
        <w:t xml:space="preserve"> </w:t>
      </w:r>
      <w:r>
        <w:t xml:space="preserve">précis, identifié ci-dessus.</w:t>
      </w:r>
    </w:p>
    <w:p>
      <w:r>
        <w:pict>
          <v:rect style="width:0;height:1.5pt" o:hralign="center" o:hrstd="t" o:hr="t"/>
        </w:pict>
      </w:r>
    </w:p>
    <w:bookmarkEnd w:id="10"/>
    <w:bookmarkStart w:id="16" w:name="X6d4e1487d37c541077dba7a83d13163e022c66a"/>
    <w:p>
      <w:pPr>
        <w:pStyle w:val="Heading2"/>
      </w:pPr>
      <w:r>
        <w:t xml:space="preserve">3. Abstraction des données et des tâches (Munzner — niveau 2)</w:t>
      </w:r>
    </w:p>
    <w:p>
      <w:pPr>
        <w:pStyle w:val="FirstParagraph"/>
      </w:pPr>
      <w:r>
        <w:t xml:space="preserve">Le deuxième niveau du modèle imbriqué traduit le problème de domaine en termes abstraits :</w:t>
      </w:r>
      <w:r>
        <w:t xml:space="preserve"> </w:t>
      </w:r>
      <w:r>
        <w:t xml:space="preserve">quelles sont les structures de données manipulées, quels types d’attributs portent-elles, et</w:t>
      </w:r>
      <w:r>
        <w:t xml:space="preserve"> </w:t>
      </w:r>
      <w:r>
        <w:t xml:space="preserve">quelles opérations abstraites l’utilisateur doit-il effectuer ?</w:t>
      </w:r>
    </w:p>
    <w:bookmarkStart w:id="11" w:name="tables-et-chemin-de-jointure"/>
    <w:p>
      <w:pPr>
        <w:pStyle w:val="Heading3"/>
      </w:pPr>
      <w:r>
        <w:t xml:space="preserve">3.1. Tables et chemin de jointure</w:t>
      </w:r>
    </w:p>
    <w:p>
      <w:pPr>
        <w:pStyle w:val="FirstParagraph"/>
      </w:pPr>
      <w:r>
        <w:t xml:space="preserve">Pour répondre à Q1, nous mobilisons quatre sources de données (Benerrazam, Mathis, Ngouanat &amp; Maraj, 2025,</w:t>
      </w:r>
      <w:r>
        <w:t xml:space="preserve"> </w:t>
      </w:r>
      <w:r>
        <w:t xml:space="preserve">sec. 1.1)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640"/>
        <w:gridCol w:w="19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Fichier(s)</w:t>
            </w:r>
          </w:p>
        </w:tc>
        <w:tc>
          <w:tcPr/>
          <w:p>
            <w:pPr>
              <w:pStyle w:val="Compact"/>
            </w:pPr>
            <w:r>
              <w:t xml:space="preserve">Lignes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ParticipantStatusLogs{1..72}.csv</w:t>
            </w:r>
          </w:p>
        </w:tc>
        <w:tc>
          <w:tcPr/>
          <w:p>
            <w:pPr>
              <w:pStyle w:val="Compact"/>
            </w:pPr>
            <w:r>
              <w:t xml:space="preserve">113 923 735</w:t>
            </w:r>
          </w:p>
        </w:tc>
        <w:tc>
          <w:tcPr/>
          <w:p>
            <w:pPr>
              <w:pStyle w:val="Compact"/>
            </w:pPr>
            <w:r>
              <w:t xml:space="preserve">Table de faits principale : relie chaque participant à son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à chaque instant (pas de 5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Attributes/Jobs.csv</w:t>
            </w:r>
          </w:p>
        </w:tc>
        <w:tc>
          <w:tcPr/>
          <w:p>
            <w:pPr>
              <w:pStyle w:val="Compact"/>
            </w:pPr>
            <w:r>
              <w:t xml:space="preserve">1 328</w:t>
            </w:r>
          </w:p>
        </w:tc>
        <w:tc>
          <w:tcPr/>
          <w:p>
            <w:pPr>
              <w:pStyle w:val="Compact"/>
            </w:pPr>
            <w:r>
              <w:t xml:space="preserve">Table de dimension : relie chaque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à un</w:t>
            </w:r>
            <w:r>
              <w:t xml:space="preserve"> </w:t>
            </w:r>
            <w:r>
              <w:rPr>
                <w:rStyle w:val="VerbatimChar"/>
              </w:rPr>
              <w:t xml:space="preserve">employerId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Attributes/Employers.csv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Table de dimension : liste des 253 employeurs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Journal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FinancialJournal.csv</w:t>
            </w:r>
          </w:p>
        </w:tc>
        <w:tc>
          <w:tcPr/>
          <w:p>
            <w:pPr>
              <w:pStyle w:val="Compact"/>
            </w:pPr>
            <w:r>
              <w:t xml:space="preserve">1 856 330</w:t>
            </w:r>
          </w:p>
        </w:tc>
        <w:tc>
          <w:tcPr/>
          <w:p>
            <w:pPr>
              <w:pStyle w:val="Compact"/>
            </w:pPr>
            <w:r>
              <w:t xml:space="preserve">Table de faits : transactions de type « Wage » (salaires versés)</w:t>
            </w:r>
          </w:p>
        </w:tc>
      </w:tr>
    </w:tbl>
    <w:p>
      <w:pPr>
        <w:pStyle w:val="BodyText"/>
      </w:pPr>
      <w:r>
        <w:t xml:space="preserve">Le chemin de jointure qui relie un participant à son employeur traverse deux clés étrangères :</w:t>
      </w:r>
    </w:p>
    <w:p>
      <w:pPr>
        <w:pStyle w:val="BlockText"/>
      </w:pPr>
      <w:r>
        <w:rPr>
          <w:b/>
          <w:bCs/>
        </w:rPr>
        <w:t xml:space="preserve">Activity 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participantId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) →</w:t>
      </w:r>
      <w:r>
        <w:t xml:space="preserve"> </w:t>
      </w:r>
      <w:r>
        <w:rPr>
          <w:b/>
          <w:bCs/>
        </w:rPr>
        <w:t xml:space="preserve">Jobs</w:t>
      </w:r>
      <w:r>
        <w:t xml:space="preserve"> </w:t>
      </w:r>
      <w:r>
        <w:t xml:space="preserve">(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employerId</w:t>
      </w:r>
      <w:r>
        <w:t xml:space="preserve">) →</w:t>
      </w:r>
      <w:r>
        <w:t xml:space="preserve"> </w:t>
      </w:r>
      <w:r>
        <w:rPr>
          <w:b/>
          <w:bCs/>
        </w:rPr>
        <w:t xml:space="preserve">Employers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employerId</w:t>
      </w:r>
      <w:r>
        <w:t xml:space="preserve">)</w:t>
      </w:r>
    </w:p>
    <w:p>
      <w:pPr>
        <w:pStyle w:val="FirstParagraph"/>
      </w:pPr>
      <w:r>
        <w:t xml:space="preserve">L’intégrité référentielle a été vérifiée : zéro clé orpheline entre ces trois tables. De même,</w:t>
      </w:r>
      <w:r>
        <w:t xml:space="preserve"> </w:t>
      </w:r>
      <w:r>
        <w:t xml:space="preserve">le Financial Journal est croisé avec Jobs via</w:t>
      </w:r>
      <w:r>
        <w:t xml:space="preserve"> </w:t>
      </w:r>
      <w:r>
        <w:rPr>
          <w:rStyle w:val="VerbatimChar"/>
        </w:rPr>
        <w:t xml:space="preserve">participantId</w:t>
      </w:r>
      <w:r>
        <w:t xml:space="preserve"> </w:t>
      </w:r>
      <w:r>
        <w:t xml:space="preserve">pour associer chaque salaire au</w:t>
      </w:r>
      <w:r>
        <w:t xml:space="preserve"> </w:t>
      </w:r>
      <w:r>
        <w:t xml:space="preserve">bon employeur.</w:t>
      </w:r>
    </w:p>
    <w:bookmarkEnd w:id="11"/>
    <w:bookmarkStart w:id="12" w:name="attributs-et-types-de-données"/>
    <w:p>
      <w:pPr>
        <w:pStyle w:val="Heading3"/>
      </w:pPr>
      <w:r>
        <w:t xml:space="preserve">3.2. Attributs et types de données</w:t>
      </w:r>
    </w:p>
    <w:p>
      <w:pPr>
        <w:pStyle w:val="FirstParagraph"/>
      </w:pPr>
      <w:r>
        <w:t xml:space="preserve">La classification suit la taxonomie de Munzner (2014, ch. 2) telle que présentée dans le cours</w:t>
      </w:r>
      <w:r>
        <w:t xml:space="preserve"> </w:t>
      </w:r>
      <w:r>
        <w:t xml:space="preserve">(Ghoniem &amp; Médoc, 2026,</w:t>
      </w:r>
      <w:r>
        <w:t xml:space="preserve"> </w:t>
      </w:r>
      <w:r>
        <w:rPr>
          <w:i/>
          <w:iCs/>
        </w:rPr>
        <w:t xml:space="preserve">Introduction</w:t>
      </w:r>
      <w:r>
        <w:t xml:space="preserve">, p. 32)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4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Volumétrie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Quantitatif ordonné (séquentiel)</w:t>
            </w:r>
          </w:p>
        </w:tc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t xml:space="preserve">15 mois, pas de 5 min (~112 775 instants distincts)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participantId</w:t>
            </w:r>
          </w:p>
        </w:tc>
        <w:tc>
          <w:tcPr/>
          <w:p>
            <w:pPr>
              <w:pStyle w:val="Compact"/>
            </w:pPr>
            <w:r>
              <w:t xml:space="preserve">Catégoriel (identifiant)</w:t>
            </w:r>
          </w:p>
        </w:tc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t xml:space="preserve">1 011 participants distincts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jobId</w:t>
            </w:r>
          </w:p>
        </w:tc>
        <w:tc>
          <w:tcPr/>
          <w:p>
            <w:pPr>
              <w:pStyle w:val="Compact"/>
            </w:pPr>
            <w:r>
              <w:t xml:space="preserve">Catégoriel (clé étrangère → Jobs)</w:t>
            </w:r>
          </w:p>
        </w:tc>
        <w:tc>
          <w:tcPr/>
          <w:p>
            <w:pPr>
              <w:pStyle w:val="Compact"/>
            </w:pPr>
            <w:r>
              <w:t xml:space="preserve">Activity Logs + Jobs</w:t>
            </w:r>
          </w:p>
        </w:tc>
        <w:tc>
          <w:tcPr/>
          <w:p>
            <w:pPr>
              <w:pStyle w:val="Compact"/>
            </w:pPr>
            <w:r>
              <w:t xml:space="preserve">1 190 emplois distincts utilisés (sur 1 328)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employerId</w:t>
            </w:r>
          </w:p>
        </w:tc>
        <w:tc>
          <w:tcPr/>
          <w:p>
            <w:pPr>
              <w:pStyle w:val="Compact"/>
            </w:pPr>
            <w:r>
              <w:t xml:space="preserve">Catégoriel (identifiant)</w:t>
            </w:r>
          </w:p>
        </w:tc>
        <w:tc>
          <w:tcPr/>
          <w:p>
            <w:pPr>
              <w:pStyle w:val="Compact"/>
            </w:pPr>
            <w:r>
              <w:t xml:space="preserve">Jobs + Employers</w:t>
            </w:r>
          </w:p>
        </w:tc>
        <w:tc>
          <w:tcPr/>
          <w:p>
            <w:pPr>
              <w:pStyle w:val="Compact"/>
            </w:pPr>
            <w:r>
              <w:t xml:space="preserve">253 employeurs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Financial Journal</w:t>
            </w:r>
          </w:p>
        </w:tc>
        <w:tc>
          <w:tcPr/>
          <w:p>
            <w:pPr>
              <w:pStyle w:val="Compact"/>
            </w:pPr>
            <w:r>
              <w:t xml:space="preserve">Valeur des salaires versés (catégorie « Wage »)</w:t>
            </w:r>
          </w:p>
        </w:tc>
      </w:tr>
    </w:tbl>
    <w:bookmarkEnd w:id="12"/>
    <w:bookmarkStart w:id="13" w:name="attributs-dérivés"/>
    <w:p>
      <w:pPr>
        <w:pStyle w:val="Heading3"/>
      </w:pPr>
      <w:r>
        <w:t xml:space="preserve">3.3. Attributs dérivés</w:t>
      </w:r>
    </w:p>
    <w:p>
      <w:pPr>
        <w:pStyle w:val="FirstParagraph"/>
      </w:pPr>
      <w:r>
        <w:t xml:space="preserve">Les indicateurs que nous mesurons ne sont pas stockés directement ; ils résultent d’opérations</w:t>
      </w:r>
      <w:r>
        <w:t xml:space="preserve"> </w:t>
      </w:r>
      <w:r>
        <w:t xml:space="preserve">d’agrégation sur les données brutes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6"/>
        <w:gridCol w:w="1584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 dérivé</w:t>
            </w:r>
          </w:p>
        </w:tc>
        <w:tc>
          <w:tcPr/>
          <w:p>
            <w:pPr>
              <w:pStyle w:val="Compact"/>
            </w:pPr>
            <w:r>
              <w:t xml:space="preserve">Calcul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Effectif mensuel par employeur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COUNT(DISTINCT participantId)</w:t>
            </w:r>
            <w:r>
              <w:t xml:space="preserve"> </w:t>
            </w:r>
            <w:r>
              <w:t xml:space="preserve">par</w:t>
            </w:r>
            <w:r>
              <w:t xml:space="preserve"> </w:t>
            </w:r>
            <w:r>
              <w:rPr>
                <w:rStyle w:val="VerbatimChar"/>
              </w:rPr>
              <w:t xml:space="preserve">employerId</w:t>
            </w:r>
            <w:r>
              <w:t xml:space="preserve"> </w:t>
            </w:r>
            <w:r>
              <w:t xml:space="preserve">et par mois, via jointure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employerId</w:t>
            </w:r>
          </w:p>
        </w:tc>
        <w:tc>
          <w:tcPr/>
          <w:p>
            <w:pPr>
              <w:pStyle w:val="Compact"/>
            </w:pPr>
            <w:r>
              <w:t xml:space="preserve">Nombre d’employés actifs chez un employeur pour un mois donné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salariale mensuelle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SUM(amount)</w:t>
            </w:r>
            <w:r>
              <w:t xml:space="preserve"> </w:t>
            </w:r>
            <w:r>
              <w:t xml:space="preserve">des lignes « Wage » par</w:t>
            </w:r>
            <w:r>
              <w:t xml:space="preserve"> </w:t>
            </w:r>
            <w:r>
              <w:rPr>
                <w:rStyle w:val="VerbatimChar"/>
              </w:rPr>
              <w:t xml:space="preserve">employerId</w:t>
            </w:r>
            <w:r>
              <w:t xml:space="preserve"> </w:t>
            </w:r>
            <w:r>
              <w:t xml:space="preserve">et par mois</w:t>
            </w:r>
          </w:p>
        </w:tc>
        <w:tc>
          <w:tcPr/>
          <w:p>
            <w:pPr>
              <w:pStyle w:val="Compact"/>
            </w:pPr>
            <w:r>
              <w:t xml:space="preserve">Puissance financière de l’entreprise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salariale (</w:t>
            </w:r>
            <w:r>
              <w:rPr>
                <w:rStyle w:val="VerbatimChar"/>
              </w:rPr>
              <w:t xml:space="preserve">wage_slope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Régression linéaire de la masse salariale sur les 15 mois</w:t>
            </w:r>
          </w:p>
        </w:tc>
        <w:tc>
          <w:tcPr/>
          <w:p>
            <w:pPr>
              <w:pStyle w:val="Compact"/>
            </w:pPr>
            <w:r>
              <w:t xml:space="preserve">Direction de la tendance : positive (croissance), nulle (stabilité) ou négative (déclin)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d’effectif (</w:t>
            </w:r>
            <w:r>
              <w:rPr>
                <w:rStyle w:val="VerbatimChar"/>
              </w:rPr>
              <w:t xml:space="preserve">employee_slope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Régression linéaire de l’effectif sur les 15 mois</w:t>
            </w:r>
          </w:p>
        </w:tc>
        <w:tc>
          <w:tcPr/>
          <w:p>
            <w:pPr>
              <w:pStyle w:val="Compact"/>
            </w:pPr>
            <w:r>
              <w:t xml:space="preserve">Même interprétation que ci-dessus, pour le nombre d’employés</w:t>
            </w:r>
          </w:p>
        </w:tc>
      </w:tr>
    </w:tbl>
    <w:p>
      <w:pPr>
        <w:pStyle w:val="BodyText"/>
      </w:pPr>
      <w:r>
        <w:t xml:space="preserve">La structure cible est une table agrégée de 253 employeurs × 15 mois = jusqu’à 3 795 lignes,</w:t>
      </w:r>
      <w:r>
        <w:t xml:space="preserve"> </w:t>
      </w:r>
      <w:r>
        <w:t xml:space="preserve">complétée par un résumé de 253 lignes contenant les pentes et les totaux par employeur.</w:t>
      </w:r>
    </w:p>
    <w:bookmarkEnd w:id="13"/>
    <w:bookmarkStart w:id="14" w:name="abstraction-des-tâches"/>
    <w:p>
      <w:pPr>
        <w:pStyle w:val="Heading3"/>
      </w:pPr>
      <w:r>
        <w:t xml:space="preserve">3.4. Abstraction des tâches</w:t>
      </w:r>
    </w:p>
    <w:p>
      <w:pPr>
        <w:pStyle w:val="FirstParagraph"/>
      </w:pPr>
      <w:r>
        <w:t xml:space="preserve">Suivant la taxonomie des actions et des cibles de Munzner (2014, ch. 3), telle qu’enseignée</w:t>
      </w:r>
      <w:r>
        <w:t xml:space="preserve"> </w:t>
      </w:r>
      <w:r>
        <w:t xml:space="preserve">dans le cours (Ghoniem &amp; Médoc, 2026,</w:t>
      </w:r>
      <w:r>
        <w:t xml:space="preserve"> </w:t>
      </w:r>
      <w:r>
        <w:rPr>
          <w:i/>
          <w:iCs/>
        </w:rPr>
        <w:t xml:space="preserve">Introduction</w:t>
      </w:r>
      <w:r>
        <w:t xml:space="preserve">, p. 70–72), la question Q1 se traduit en</w:t>
      </w:r>
      <w:r>
        <w:t xml:space="preserve"> </w:t>
      </w:r>
      <w:r>
        <w:t xml:space="preserve">quatre tâches abstraites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4476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Action → Cible (Munzner)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Analyser les tendances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Summarize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Trends</w:t>
            </w:r>
          </w:p>
        </w:tc>
        <w:tc>
          <w:tcPr/>
          <w:p>
            <w:pPr>
              <w:pStyle w:val="Compact"/>
            </w:pPr>
            <w:r>
              <w:t xml:space="preserve">Observer l’évolution de l’effectif et de la masse salariale sur l’axe du temps pour chaque employeur. L’utilisateur doit percevoir la direction de la pente.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Comparer les employeurs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Compare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Trends</w:t>
            </w:r>
          </w:p>
        </w:tc>
        <w:tc>
          <w:tcPr/>
          <w:p>
            <w:pPr>
              <w:pStyle w:val="Compact"/>
            </w:pPr>
            <w:r>
              <w:t xml:space="preserve">Juxtaposer les trajectoires de plusieurs entreprises pour distinguer celles qui surperforment de celles qui déclinent.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 les cas extrêmes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Discover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Repérer les entreprises aux extrêmes : plus forte croissance (prospères) et pertes les plus brutales (en difficulté).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 les corrélations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Identify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Vérifier si la croissance des effectifs est confirmée par une hausse proportionnelle de la masse salariale — ou si les deux indicateurs divergent.</w:t>
            </w:r>
          </w:p>
        </w:tc>
      </w:tr>
    </w:tbl>
    <w:bookmarkEnd w:id="14"/>
    <w:bookmarkStart w:id="15" w:name="opérations-sur-les-données"/>
    <w:p>
      <w:pPr>
        <w:pStyle w:val="Heading3"/>
      </w:pPr>
      <w:r>
        <w:t xml:space="preserve">3.5. Opérations sur les données</w:t>
      </w:r>
    </w:p>
    <w:p>
      <w:pPr>
        <w:pStyle w:val="FirstParagraph"/>
      </w:pPr>
      <w:r>
        <w:t xml:space="preserve">Pour réaliser ces tâches, le pipeline de transformation applique les opérations suivantes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Jointure</w:t>
      </w:r>
      <w:r>
        <w:t xml:space="preserve"> </w:t>
      </w:r>
      <w:r>
        <w:t xml:space="preserve">: relier chaque participant à son employeur via Activity Logs ⋈ Jobs (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employerId</w:t>
      </w:r>
      <w:r>
        <w:t xml:space="preserve">), puis croiser avec le Financial Journal pour associer chaque salaire versé au bon employeur.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Filtrage</w:t>
      </w:r>
      <w:r>
        <w:t xml:space="preserve"> </w:t>
      </w:r>
      <w:r>
        <w:t xml:space="preserve">: isoler les transactions de catégorie « Wage » dans le Financial Journal.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Agrégation temporelle</w:t>
      </w:r>
      <w:r>
        <w:t xml:space="preserve"> </w:t>
      </w:r>
      <w:r>
        <w:t xml:space="preserve">: grouper par mois (</w:t>
      </w:r>
      <w:r>
        <w:rPr>
          <w:rStyle w:val="VerbatimChar"/>
        </w:rPr>
        <w:t xml:space="preserve">date_trunc</w:t>
      </w:r>
      <w:r>
        <w:t xml:space="preserve">) et par</w:t>
      </w:r>
      <w:r>
        <w:t xml:space="preserve"> </w:t>
      </w:r>
      <w:r>
        <w:rPr>
          <w:rStyle w:val="VerbatimChar"/>
        </w:rPr>
        <w:t xml:space="preserve">employerId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Calculs d’agrégat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COUNT(DISTINCT participantId)</w:t>
      </w:r>
      <w:r>
        <w:t xml:space="preserve"> </w:t>
      </w:r>
      <w:r>
        <w:t xml:space="preserve">pour l’effectif,</w:t>
      </w:r>
      <w:r>
        <w:t xml:space="preserve"> </w:t>
      </w:r>
      <w:r>
        <w:rPr>
          <w:rStyle w:val="VerbatimChar"/>
        </w:rPr>
        <w:t xml:space="preserve">SUM(amount)</w:t>
      </w:r>
      <w:r>
        <w:t xml:space="preserve"> </w:t>
      </w:r>
      <w:r>
        <w:t xml:space="preserve">pour la masse salariale.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Calcul de pente</w:t>
      </w:r>
      <w:r>
        <w:t xml:space="preserve"> </w:t>
      </w:r>
      <w:r>
        <w:t xml:space="preserve">: régression linéaire sur les 15 mois pour déterminer la tendance de chaque indicateur.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 et classement</w:t>
      </w:r>
      <w:r>
        <w:t xml:space="preserve"> </w:t>
      </w:r>
      <w:r>
        <w:t xml:space="preserve">: trier les employeurs par pente pour identifier les leaders et les entités à risque.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8d6a9360dd5fa98bd658ab25f9f68da88b2a574"/>
    <w:p>
      <w:pPr>
        <w:pStyle w:val="Heading2"/>
      </w:pPr>
      <w:r>
        <w:t xml:space="preserve">4. Encodage visuel et interaction (Munzner — niveau 3)</w:t>
      </w:r>
    </w:p>
    <w:p>
      <w:pPr>
        <w:pStyle w:val="FirstParagraph"/>
      </w:pPr>
      <w:r>
        <w:t xml:space="preserve">Le troisième niveau du modèle imbriqué concerne les choix d’encodage visuel : quelles marques</w:t>
      </w:r>
      <w:r>
        <w:t xml:space="preserve"> </w:t>
      </w:r>
      <w:r>
        <w:t xml:space="preserve">graphiques utiliser, quels canaux visuels leur associer, et comment articuler les vues entre</w:t>
      </w:r>
      <w:r>
        <w:t xml:space="preserve"> </w:t>
      </w:r>
      <w:r>
        <w:t xml:space="preserve">elles. La menace à ce niveau est le choix d’un encodage inefficace (Munzner, 2014, ch. 5) :</w:t>
      </w:r>
      <w:r>
        <w:t xml:space="preserve"> </w:t>
      </w:r>
      <w:r>
        <w:t xml:space="preserve">un canal mal choisi rend les données illisibles, même si l’abstraction est correcte.</w:t>
      </w:r>
    </w:p>
    <w:p>
      <w:pPr>
        <w:pStyle w:val="BodyText"/>
      </w:pPr>
      <w:r>
        <w:t xml:space="preserve">Nos choix s’appuient sur le principe d’efficacité des canaux visuels enseigné dans le cours</w:t>
      </w:r>
      <w:r>
        <w:t xml:space="preserve"> </w:t>
      </w:r>
      <w:r>
        <w:t xml:space="preserve">(Ghoniem &amp; Médoc, 2026,</w:t>
      </w:r>
      <w:r>
        <w:t xml:space="preserve"> </w:t>
      </w:r>
      <w:r>
        <w:rPr>
          <w:i/>
          <w:iCs/>
        </w:rPr>
        <w:t xml:space="preserve">Introduction</w:t>
      </w:r>
      <w:r>
        <w:t xml:space="preserve">, p. 34) : pour les données quantitatives, la position</w:t>
      </w:r>
      <w:r>
        <w:t xml:space="preserve"> </w:t>
      </w:r>
      <w:r>
        <w:t xml:space="preserve">est le canal le plus précis, suivi de la longueur, puis de la taille ; pour les données</w:t>
      </w:r>
      <w:r>
        <w:t xml:space="preserve"> </w:t>
      </w:r>
      <w:r>
        <w:t xml:space="preserve">catégorielles, la teinte est le canal le plus efficace. La perception pré-attentive</w:t>
      </w:r>
      <w:r>
        <w:t xml:space="preserve"> </w:t>
      </w:r>
      <w:r>
        <w:t xml:space="preserve">(</w:t>
      </w:r>
      <w:r>
        <w:rPr>
          <w:i/>
          <w:iCs/>
        </w:rPr>
        <w:t xml:space="preserve">Introduction</w:t>
      </w:r>
      <w:r>
        <w:t xml:space="preserve">, p. 18) guide le choix des encodages redondants qui permettent une détection</w:t>
      </w:r>
      <w:r>
        <w:t xml:space="preserve"> </w:t>
      </w:r>
      <w:r>
        <w:t xml:space="preserve">rapide et parallèle des motifs visuels.</w:t>
      </w:r>
    </w:p>
    <w:bookmarkStart w:id="17" w:name="Xc1a63c19ad03a75e9d8570c4700b232ba516c8a"/>
    <w:p>
      <w:pPr>
        <w:pStyle w:val="Heading3"/>
      </w:pPr>
      <w:r>
        <w:t xml:space="preserve">4.1. Panneau A — Séries temporelles de l’évolution financière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Summarize → Trends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Compare → Trends</w:t>
      </w:r>
      <w:r>
        <w:t xml:space="preserve">. Il affiche</w:t>
      </w:r>
      <w:r>
        <w:t xml:space="preserve"> </w:t>
      </w:r>
      <w:r>
        <w:t xml:space="preserve">l’évolution de la masse salariale mensuelle sous forme de courbes polylignes, une par</w:t>
      </w:r>
      <w:r>
        <w:t xml:space="preserve"> </w:t>
      </w:r>
      <w:r>
        <w:t xml:space="preserve">employeur.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Mois</w:t>
            </w:r>
          </w:p>
        </w:tc>
        <w:tc>
          <w:tcPr/>
          <w:p>
            <w:pPr>
              <w:pStyle w:val="Compact"/>
            </w:pPr>
            <w:r>
              <w:t xml:space="preserve">Quantitatif ordonné</w:t>
            </w:r>
          </w:p>
        </w:tc>
        <w:tc>
          <w:tcPr/>
          <w:p>
            <w:pPr>
              <w:pStyle w:val="Compact"/>
            </w:pPr>
            <w:r>
              <w:t xml:space="preserve">Position X</w:t>
            </w:r>
          </w:p>
        </w:tc>
        <w:tc>
          <w:tcPr/>
          <w:p>
            <w:pPr>
              <w:pStyle w:val="Compact"/>
            </w:pPr>
            <w:r>
              <w:t xml:space="preserve">Canal le plus précis pour les données ordonnées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salariale mensuelle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Position Y</w:t>
            </w:r>
          </w:p>
        </w:tc>
        <w:tc>
          <w:tcPr/>
          <w:p>
            <w:pPr>
              <w:pStyle w:val="Compact"/>
            </w:pPr>
            <w:r>
              <w:t xml:space="preserve">Canal le plus précis pour les quantités financières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d’employés moyen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Épaisseur de la ligne</w:t>
            </w:r>
          </w:p>
        </w:tc>
        <w:tc>
          <w:tcPr/>
          <w:p>
            <w:pPr>
              <w:pStyle w:val="Compact"/>
            </w:pPr>
            <w:r>
              <w:t xml:space="preserve">Double encodage : renforce la perception de la taille de l’entreprise sans ajouter de dimension spatiale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Catégorie (top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/ bottom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Catégoriel binaire</w:t>
            </w:r>
          </w:p>
        </w:tc>
        <w:tc>
          <w:tcPr/>
          <w:p>
            <w:pPr>
              <w:pStyle w:val="Compact"/>
            </w:pPr>
            <w:r>
              <w:t xml:space="preserve">Teinte (vert / rouge)</w:t>
            </w:r>
          </w:p>
        </w:tc>
        <w:tc>
          <w:tcPr/>
          <w:p>
            <w:pPr>
              <w:pStyle w:val="Compact"/>
            </w:pPr>
            <w:r>
              <w:t xml:space="preserve">Canal le plus efficace pour le nominal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53). Vert = croissance, rouge = déclin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Identité de l’employeur</w:t>
            </w:r>
          </w:p>
        </w:tc>
        <w:tc>
          <w:tcPr/>
          <w:p>
            <w:pPr>
              <w:pStyle w:val="Compact"/>
            </w:pPr>
            <w:r>
              <w:t xml:space="preserve">Catégoriel nominal</w:t>
            </w:r>
          </w:p>
        </w:tc>
        <w:tc>
          <w:tcPr/>
          <w:p>
            <w:pPr>
              <w:pStyle w:val="Compact"/>
            </w:pPr>
            <w:r>
              <w:t xml:space="preserve">Polyligne individuelle</w:t>
            </w:r>
          </w:p>
        </w:tc>
        <w:tc>
          <w:tcPr/>
          <w:p>
            <w:pPr>
              <w:pStyle w:val="Compact"/>
            </w:pPr>
            <w:r>
              <w:t xml:space="preserve">Chaque ligne = un employeur, suivi dans le temps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ligne (</w:t>
      </w:r>
      <w:r>
        <w:rPr>
          <w:i/>
          <w:iCs/>
        </w:rPr>
        <w:t xml:space="preserve">line mark</w:t>
      </w:r>
      <w:r>
        <w:t xml:space="preserve">), la marque la plus naturelle pour les séries</w:t>
      </w:r>
      <w:r>
        <w:t xml:space="preserve"> </w:t>
      </w:r>
      <w:r>
        <w:t xml:space="preserve">temporelles car elle exprime visuellement la continuité et la direction de la tendance.</w:t>
      </w:r>
    </w:p>
    <w:p>
      <w:pPr>
        <w:pStyle w:val="BodyText"/>
      </w:pPr>
      <w:r>
        <w:t xml:space="preserve">Les employeurs qui ne font partie ni du top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ni du bottom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sont tracés en gris clair</w:t>
      </w:r>
      <w:r>
        <w:t xml:space="preserve"> </w:t>
      </w:r>
      <w:r>
        <w:t xml:space="preserve">(opacité réduite) pour fournir un contexte de référence sans surcharger la vue. Ce choix</w:t>
      </w:r>
      <w:r>
        <w:t xml:space="preserve"> </w:t>
      </w:r>
      <w:r>
        <w:t xml:space="preserve">s’inscrit dans la technique du</w:t>
      </w:r>
      <w:r>
        <w:t xml:space="preserve"> </w:t>
      </w:r>
      <w:r>
        <w:rPr>
          <w:i/>
          <w:iCs/>
        </w:rPr>
        <w:t xml:space="preserve">focus + context</w:t>
      </w:r>
      <w:r>
        <w:t xml:space="preserve"> </w:t>
      </w:r>
      <w:r>
        <w:t xml:space="preserve">: les lignes colorées attirent l’attention</w:t>
      </w:r>
      <w:r>
        <w:t xml:space="preserve"> </w:t>
      </w:r>
      <w:r>
        <w:t xml:space="preserve">pré-attentive tandis que le fond gris donne l’échelle.</w:t>
      </w:r>
    </w:p>
    <w:bookmarkEnd w:id="17"/>
    <w:bookmarkStart w:id="18" w:name="X963e1de2bbec55044abe590b030e5add336abbb"/>
    <w:p>
      <w:pPr>
        <w:pStyle w:val="Heading3"/>
      </w:pPr>
      <w:r>
        <w:t xml:space="preserve">4.2. Panneau B — Classement en barres horizontales divergentes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Discover → Outliers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Compare → Trends</w:t>
      </w:r>
      <w:r>
        <w:t xml:space="preserve">. Il classe les</w:t>
      </w:r>
      <w:r>
        <w:t xml:space="preserve"> </w:t>
      </w:r>
      <w:r>
        <w:t xml:space="preserve">employeurs du top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et du bottom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selon leur pente salariale.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de la masse salariale</w:t>
            </w:r>
          </w:p>
        </w:tc>
        <w:tc>
          <w:tcPr/>
          <w:p>
            <w:pPr>
              <w:pStyle w:val="Compact"/>
            </w:pPr>
            <w:r>
              <w:t xml:space="preserve">Quantitatif divergent</w:t>
            </w:r>
          </w:p>
        </w:tc>
        <w:tc>
          <w:tcPr/>
          <w:p>
            <w:pPr>
              <w:pStyle w:val="Compact"/>
            </w:pPr>
            <w:r>
              <w:t xml:space="preserve">Longueur de la barre (position X)</w:t>
            </w:r>
          </w:p>
        </w:tc>
        <w:tc>
          <w:tcPr/>
          <w:p>
            <w:pPr>
              <w:pStyle w:val="Compact"/>
            </w:pPr>
            <w:r>
              <w:t xml:space="preserve">Position = canal le plus précis. La barre horizontale laisse la place aux labels d’employeurs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Employeur</w:t>
            </w:r>
          </w:p>
        </w:tc>
        <w:tc>
          <w:tcPr/>
          <w:p>
            <w:pPr>
              <w:pStyle w:val="Compact"/>
            </w:pPr>
            <w:r>
              <w:t xml:space="preserve">Catégoriel nominal</w:t>
            </w:r>
          </w:p>
        </w:tc>
        <w:tc>
          <w:tcPr/>
          <w:p>
            <w:pPr>
              <w:pStyle w:val="Compact"/>
            </w:pPr>
            <w:r>
              <w:t xml:space="preserve">Position Y (trié par pente)</w:t>
            </w:r>
          </w:p>
        </w:tc>
        <w:tc>
          <w:tcPr/>
          <w:p>
            <w:pPr>
              <w:pStyle w:val="Compact"/>
            </w:pPr>
            <w:r>
              <w:t xml:space="preserve">Classement visuel : croissance en haut, déclin en 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 de la pente</w:t>
            </w:r>
          </w:p>
        </w:tc>
        <w:tc>
          <w:tcPr/>
          <w:p>
            <w:pPr>
              <w:pStyle w:val="Compact"/>
            </w:pPr>
            <w:r>
              <w:t xml:space="preserve">Catégoriel binaire</w:t>
            </w:r>
          </w:p>
        </w:tc>
        <w:tc>
          <w:tcPr/>
          <w:p>
            <w:pPr>
              <w:pStyle w:val="Compact"/>
            </w:pPr>
            <w:r>
              <w:t xml:space="preserve">Teinte (vert / rouge)</w:t>
            </w:r>
          </w:p>
        </w:tc>
        <w:tc>
          <w:tcPr/>
          <w:p>
            <w:pPr>
              <w:pStyle w:val="Compact"/>
            </w:pPr>
            <w:r>
              <w:t xml:space="preserve">Cohérence chromatique avec le panneau A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rectangle (</w:t>
      </w:r>
      <w:r>
        <w:rPr>
          <w:i/>
          <w:iCs/>
        </w:rPr>
        <w:t xml:space="preserve">bar mark</w:t>
      </w:r>
      <w:r>
        <w:t xml:space="preserve">), la marque la plus appropriée pour comparer des</w:t>
      </w:r>
      <w:r>
        <w:t xml:space="preserve"> </w:t>
      </w:r>
      <w:r>
        <w:t xml:space="preserve">quantités entre catégories. L’orientation horizontale est choisie pour que les labels</w:t>
      </w:r>
      <w:r>
        <w:t xml:space="preserve"> </w:t>
      </w:r>
      <w:r>
        <w:t xml:space="preserve">d’employeurs soient lisibles sans rotation de texte.</w:t>
      </w:r>
    </w:p>
    <w:p>
      <w:pPr>
        <w:pStyle w:val="BodyText"/>
      </w:pPr>
      <w:r>
        <w:t xml:space="preserve">Une ligne de référence à zéro matérialise la frontière entre croissance et déclin. Les barres</w:t>
      </w:r>
      <w:r>
        <w:t xml:space="preserve"> </w:t>
      </w:r>
      <w:r>
        <w:t xml:space="preserve">qui s’étendent vers la droite (pente positive) indiquent la croissance ; celles vers la gauche</w:t>
      </w:r>
      <w:r>
        <w:t xml:space="preserve"> </w:t>
      </w:r>
      <w:r>
        <w:t xml:space="preserve">(pente négative) signalent le déclin. Cette divergence est immédiatement perceptible grâce au</w:t>
      </w:r>
      <w:r>
        <w:t xml:space="preserve"> </w:t>
      </w:r>
      <w:r>
        <w:t xml:space="preserve">double encodage longueur + teinte.</w:t>
      </w:r>
    </w:p>
    <w:bookmarkEnd w:id="18"/>
    <w:bookmarkStart w:id="19" w:name="panneau-c-nuage-de-points-multi-encodé"/>
    <w:p>
      <w:pPr>
        <w:pStyle w:val="Heading3"/>
      </w:pPr>
      <w:r>
        <w:t xml:space="preserve">4.3. Panneau C — Nuage de points multi-encodé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Identify → Correlation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Discover → Outliers</w:t>
      </w:r>
      <w:r>
        <w:t xml:space="preserve">. Il représente</w:t>
      </w:r>
      <w:r>
        <w:t xml:space="preserve"> </w:t>
      </w:r>
      <w:r>
        <w:t xml:space="preserve">les 253 employeurs dans un espace bidimensionnel qui croise les deux indicateurs de tendance,</w:t>
      </w:r>
      <w:r>
        <w:t xml:space="preserve"> </w:t>
      </w:r>
      <w:r>
        <w:t xml:space="preserve">suivant l’approche du scatterplot pour données multidimensionnelles enseignée dans le cours</w:t>
      </w:r>
      <w:r>
        <w:t xml:space="preserve"> </w:t>
      </w:r>
      <w:r>
        <w:t xml:space="preserve">(Ghoniem &amp; Médoc, 2026,</w:t>
      </w:r>
      <w:r>
        <w:t xml:space="preserve"> </w:t>
      </w:r>
      <w:r>
        <w:rPr>
          <w:i/>
          <w:iCs/>
        </w:rPr>
        <w:t xml:space="preserve">Multidimensionnelles</w:t>
      </w:r>
      <w:r>
        <w:t xml:space="preserve">) et mise en pratique dans le tutoriel Tuto5</w:t>
      </w:r>
      <w:r>
        <w:t xml:space="preserve"> </w:t>
      </w:r>
      <w:r>
        <w:t xml:space="preserve">(Médoc, 2026).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de tendance des effectifs</w:t>
            </w:r>
          </w:p>
        </w:tc>
        <w:tc>
          <w:tcPr/>
          <w:p>
            <w:pPr>
              <w:pStyle w:val="Compact"/>
            </w:pPr>
            <w:r>
              <w:t xml:space="preserve">Quantitatif divergent</w:t>
            </w:r>
          </w:p>
        </w:tc>
        <w:tc>
          <w:tcPr/>
          <w:p>
            <w:pPr>
              <w:pStyle w:val="Compact"/>
            </w:pPr>
            <w:r>
              <w:t xml:space="preserve">Position X</w:t>
            </w:r>
          </w:p>
        </w:tc>
        <w:tc>
          <w:tcPr/>
          <w:p>
            <w:pPr>
              <w:pStyle w:val="Compact"/>
            </w:pPr>
            <w:r>
              <w:t xml:space="preserve">Dimension clé → canal le plus précis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de la masse salariale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Position Y</w:t>
            </w:r>
          </w:p>
        </w:tc>
        <w:tc>
          <w:tcPr/>
          <w:p>
            <w:pPr>
              <w:pStyle w:val="Compact"/>
            </w:pPr>
            <w:r>
              <w:t xml:space="preserve">Deuxième canal positionnel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salariale totale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Taille du cercle (</w:t>
            </w:r>
            <w:r>
              <w:rPr>
                <w:rStyle w:val="VerbatimChar"/>
              </w:rPr>
              <w:t xml:space="preserve">scaleSqrt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Troisième canal le plus efficace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34). L’échelle en racine carrée assure une perception proportionnelle des 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de performance global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Couleur (palette séquentielle RdYlGn)</w:t>
            </w:r>
          </w:p>
        </w:tc>
        <w:tc>
          <w:tcPr/>
          <w:p>
            <w:pPr>
              <w:pStyle w:val="Compact"/>
            </w:pPr>
            <w:r>
              <w:t xml:space="preserve">Double encodage justifié : renforce la perception pré-attentive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18)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point (</w:t>
      </w:r>
      <w:r>
        <w:rPr>
          <w:i/>
          <w:iCs/>
        </w:rPr>
        <w:t xml:space="preserve">dot mark</w:t>
      </w:r>
      <w:r>
        <w:t xml:space="preserve">), la marque canonique du nuage de points. Quatre</w:t>
      </w:r>
      <w:r>
        <w:t xml:space="preserve"> </w:t>
      </w:r>
      <w:r>
        <w:t xml:space="preserve">attributs de données sont encodés simultanément (position X, position Y, taille, couleur),</w:t>
      </w:r>
      <w:r>
        <w:t xml:space="preserve"> </w:t>
      </w:r>
      <w:r>
        <w:t xml:space="preserve">exploitant la capacité du scatterplot à représenter des données multidimensionnelles.</w:t>
      </w:r>
    </w:p>
    <w:p>
      <w:pPr>
        <w:pStyle w:val="BodyText"/>
      </w:pPr>
      <w:r>
        <w:t xml:space="preserve">Deux lignes de référence en pointillés matérialisent les axes à zéro, divisant l’espace en</w:t>
      </w:r>
      <w:r>
        <w:t xml:space="preserve"> </w:t>
      </w:r>
      <w:r>
        <w:t xml:space="preserve">quatre quadrants sémantiques. Le quadrant supérieur droit (pentes positives sur les deux axes)</w:t>
      </w:r>
      <w:r>
        <w:t xml:space="preserve"> </w:t>
      </w:r>
      <w:r>
        <w:t xml:space="preserve">correspond aux employeurs prospères ; le quadrant inférieur gauche (pentes négatives) signale</w:t>
      </w:r>
      <w:r>
        <w:t xml:space="preserve"> </w:t>
      </w:r>
      <w:r>
        <w:t xml:space="preserve">les entreprises en difficulté. Les quadrants mixtes révèlent des situations ambiguës — par</w:t>
      </w:r>
      <w:r>
        <w:t xml:space="preserve"> </w:t>
      </w:r>
      <w:r>
        <w:t xml:space="preserve">exemple un employeur dont la masse salariale croît mais qui perd des employés.</w:t>
      </w:r>
    </w:p>
    <w:bookmarkEnd w:id="19"/>
    <w:bookmarkStart w:id="20" w:name="vues-coordonnées-et-interaction"/>
    <w:p>
      <w:pPr>
        <w:pStyle w:val="Heading3"/>
      </w:pPr>
      <w:r>
        <w:t xml:space="preserve">4.4. Vues coordonnées et interaction</w:t>
      </w:r>
    </w:p>
    <w:p>
      <w:pPr>
        <w:pStyle w:val="FirstParagraph"/>
      </w:pPr>
      <w:r>
        <w:t xml:space="preserve">Les trois panneaux fonctionnent comme un système de vues coordonnées multiples (</w:t>
      </w:r>
      <w:r>
        <w:rPr>
          <w:i/>
          <w:iCs/>
        </w:rPr>
        <w:t xml:space="preserve">coordinated</w:t>
      </w:r>
      <w:r>
        <w:rPr>
          <w:i/>
          <w:iCs/>
        </w:rPr>
        <w:t xml:space="preserve"> </w:t>
      </w:r>
      <w:r>
        <w:rPr>
          <w:i/>
          <w:iCs/>
        </w:rPr>
        <w:t xml:space="preserve">multiple views</w:t>
      </w:r>
      <w:r>
        <w:t xml:space="preserve">), concept central du cours sur les données multidimensionnelles (Ghoniem &amp;</w:t>
      </w:r>
      <w:r>
        <w:t xml:space="preserve"> </w:t>
      </w:r>
      <w:r>
        <w:t xml:space="preserve">Médoc, 2026,</w:t>
      </w:r>
      <w:r>
        <w:t xml:space="preserve"> </w:t>
      </w:r>
      <w:r>
        <w:rPr>
          <w:i/>
          <w:iCs/>
        </w:rPr>
        <w:t xml:space="preserve">Multidimensionnelles</w:t>
      </w:r>
      <w:r>
        <w:t xml:space="preserve">) et mis en œuvre dans les tutoriels Tuto5 et Tuto6</w:t>
      </w:r>
      <w:r>
        <w:t xml:space="preserve"> </w:t>
      </w:r>
      <w:r>
        <w:t xml:space="preserve">(Médoc, 2026).</w:t>
      </w:r>
    </w:p>
    <w:p>
      <w:pPr>
        <w:pStyle w:val="BodyText"/>
      </w:pPr>
      <w:r>
        <w:t xml:space="preserve">La coordination repose sur un état partagé (</w:t>
      </w:r>
      <w:r>
        <w:rPr>
          <w:i/>
          <w:iCs/>
        </w:rPr>
        <w:t xml:space="preserve">store</w:t>
      </w:r>
      <w:r>
        <w:t xml:space="preserve"> </w:t>
      </w:r>
      <w:r>
        <w:t xml:space="preserve">Redux) qui maintient deux variables</w:t>
      </w:r>
      <w:r>
        <w:t xml:space="preserve"> </w:t>
      </w:r>
      <w:r>
        <w:t xml:space="preserve">d’interaction 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hoveredEmployerId</w:t>
      </w:r>
      <w:r>
        <w:t xml:space="preserve"> </w:t>
      </w:r>
      <w:r>
        <w:t xml:space="preserve">: l’identifiant de l’employeur survolé par le curseur.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selectedEmployerIds</w:t>
      </w:r>
      <w:r>
        <w:t xml:space="preserve"> </w:t>
      </w:r>
      <w:r>
        <w:t xml:space="preserve">: la liste des employeurs sélectionnés par clic.</w:t>
      </w:r>
    </w:p>
    <w:p>
      <w:pPr>
        <w:pStyle w:val="FirstParagraph"/>
      </w:pPr>
      <w:r>
        <w:t xml:space="preserve">Lorsque l’utilisateur survole un employeur dans n’importe quel panneau, les trois vues</w:t>
      </w:r>
      <w:r>
        <w:t xml:space="preserve"> </w:t>
      </w:r>
      <w:r>
        <w:t xml:space="preserve">réagissent simultanément : l’élément survolé est mis en relief (opacité et épaisseur de</w:t>
      </w:r>
      <w:r>
        <w:t xml:space="preserve"> </w:t>
      </w:r>
      <w:r>
        <w:t xml:space="preserve">contour accrues) tandis que les autres éléments sont atténués. Ce mécanisme de</w:t>
      </w:r>
      <w:r>
        <w:t xml:space="preserve"> </w:t>
      </w:r>
      <w:r>
        <w:rPr>
          <w:i/>
          <w:iCs/>
        </w:rPr>
        <w:t xml:space="preserve">brushing and</w:t>
      </w:r>
      <w:r>
        <w:rPr>
          <w:i/>
          <w:iCs/>
        </w:rPr>
        <w:t xml:space="preserve"> </w:t>
      </w:r>
      <w:r>
        <w:rPr>
          <w:i/>
          <w:iCs/>
        </w:rPr>
        <w:t xml:space="preserve">linking</w:t>
      </w:r>
      <w:r>
        <w:t xml:space="preserve"> </w:t>
      </w:r>
      <w:r>
        <w:t xml:space="preserve">permet de suivre un même employeur à travers les trois représentations visuelles</w:t>
      </w:r>
      <w:r>
        <w:t xml:space="preserve"> </w:t>
      </w:r>
      <w:r>
        <w:t xml:space="preserve">complémentaires.</w:t>
      </w:r>
    </w:p>
    <w:p>
      <w:pPr>
        <w:pStyle w:val="BodyText"/>
      </w:pPr>
      <w:r>
        <w:t xml:space="preserve">L’ensemble du tableau de bord suit le mantra de Shneiderman (1996)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Vue d’ensemble</w:t>
      </w:r>
      <w:r>
        <w:t xml:space="preserve"> </w:t>
      </w:r>
      <w:r>
        <w:t xml:space="preserve">(</w:t>
      </w:r>
      <w:r>
        <w:rPr>
          <w:i/>
          <w:iCs/>
        </w:rPr>
        <w:t xml:space="preserve">overview</w:t>
      </w:r>
      <w:r>
        <w:t xml:space="preserve">) : les trois panneaux affichent simultanément les données de</w:t>
      </w:r>
      <w:r>
        <w:t xml:space="preserve"> </w:t>
      </w:r>
      <w:r>
        <w:t xml:space="preserve">l’ensemble des 253 employeurs (panneau C) ou des top/bottom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(panneaux A et B).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Zoom et filtrage</w:t>
      </w:r>
      <w:r>
        <w:t xml:space="preserve"> </w:t>
      </w:r>
      <w:r>
        <w:t xml:space="preserve">(</w:t>
      </w:r>
      <w:r>
        <w:rPr>
          <w:i/>
          <w:iCs/>
        </w:rPr>
        <w:t xml:space="preserve">zoom and filter</w:t>
      </w:r>
      <w:r>
        <w:t xml:space="preserve">) : le contrôle</w:t>
      </w:r>
      <w:r>
        <w:t xml:space="preserve"> </w:t>
      </w:r>
      <w:r>
        <w:rPr>
          <w:rStyle w:val="VerbatimChar"/>
        </w:rPr>
        <w:t xml:space="preserve">topN</w:t>
      </w:r>
      <w:r>
        <w:t xml:space="preserve"> </w:t>
      </w:r>
      <w:r>
        <w:t xml:space="preserve">dans la barre de commande</w:t>
      </w:r>
      <w:r>
        <w:t xml:space="preserve"> </w:t>
      </w:r>
      <w:r>
        <w:t xml:space="preserve">permet de restreindre le nombre d’employeurs mis en avant dans les panneaux A et 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Détails à la demande</w:t>
      </w:r>
      <w:r>
        <w:t xml:space="preserve"> </w:t>
      </w:r>
      <w:r>
        <w:t xml:space="preserve">(</w:t>
      </w:r>
      <w:r>
        <w:rPr>
          <w:i/>
          <w:iCs/>
        </w:rPr>
        <w:t xml:space="preserve">details-on-demand</w:t>
      </w:r>
      <w:r>
        <w:t xml:space="preserve">) : le survol d’un employeur affiche une</w:t>
      </w:r>
      <w:r>
        <w:t xml:space="preserve"> </w:t>
      </w:r>
      <w:r>
        <w:t xml:space="preserve">infobulle contextuelle indiquant son identifiant, son effectif moyen, sa pente salariale,</w:t>
      </w:r>
      <w:r>
        <w:t xml:space="preserve"> </w:t>
      </w:r>
      <w:r>
        <w:t xml:space="preserve">sa pente d’effectif et sa masse salariale totale.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architecture-technique-munzner-niveau-4"/>
    <w:p>
      <w:pPr>
        <w:pStyle w:val="Heading2"/>
      </w:pPr>
      <w:r>
        <w:t xml:space="preserve">5. Architecture technique (Munzner — niveau 4)</w:t>
      </w:r>
    </w:p>
    <w:p>
      <w:pPr>
        <w:pStyle w:val="FirstParagraph"/>
      </w:pPr>
      <w:r>
        <w:t xml:space="preserve">Le quatrième niveau du modèle imbriqué concerne les choix algorithmiques et d’implémentation.</w:t>
      </w:r>
      <w:r>
        <w:t xml:space="preserve"> </w:t>
      </w:r>
      <w:r>
        <w:t xml:space="preserve">La menace à ce niveau est la lenteur de rendu (Munzner, 2014, ch. 14) : si l’interface ne</w:t>
      </w:r>
      <w:r>
        <w:t xml:space="preserve"> </w:t>
      </w:r>
      <w:r>
        <w:t xml:space="preserve">réagit pas en temps interactif, l’utilisateur ne peut pas explorer les données de manière</w:t>
      </w:r>
      <w:r>
        <w:t xml:space="preserve"> </w:t>
      </w:r>
      <w:r>
        <w:t xml:space="preserve">fluide.</w:t>
      </w:r>
    </w:p>
    <w:p>
      <w:pPr>
        <w:pStyle w:val="BodyText"/>
      </w:pPr>
      <w:r>
        <w:t xml:space="preserve">Notre architecture suit le patron d’architecture Modèle-Vue-Contrôleur (MVC) tel qu’enseigné</w:t>
      </w:r>
      <w:r>
        <w:t xml:space="preserve"> </w:t>
      </w:r>
      <w:r>
        <w:t xml:space="preserve">dans les tutoriels du cours (Médoc, 2026, Tuto4,</w:t>
      </w:r>
      <w:r>
        <w:t xml:space="preserve"> </w:t>
      </w:r>
      <w:r>
        <w:rPr>
          <w:i/>
          <w:iCs/>
        </w:rPr>
        <w:t xml:space="preserve">D3js in React</w:t>
      </w:r>
      <w:r>
        <w:t xml:space="preserve">) et étendu avec Redux</w:t>
      </w:r>
      <w:r>
        <w:t xml:space="preserve"> </w:t>
      </w:r>
      <w:r>
        <w:t xml:space="preserve">(Tuto5,</w:t>
      </w:r>
      <w:r>
        <w:t xml:space="preserve"> </w:t>
      </w:r>
      <w:r>
        <w:rPr>
          <w:i/>
          <w:iCs/>
        </w:rPr>
        <w:t xml:space="preserve">MultiDim Redux</w:t>
      </w:r>
      <w:r>
        <w:t xml:space="preserve">). Ce patron assure la séparation des responsabilités entre les</w:t>
      </w:r>
      <w:r>
        <w:t xml:space="preserve"> </w:t>
      </w:r>
      <w:r>
        <w:t xml:space="preserve">composants.</w:t>
      </w:r>
    </w:p>
    <w:bookmarkStart w:id="22" w:name="architecture-client-serveur"/>
    <w:p>
      <w:pPr>
        <w:pStyle w:val="Heading3"/>
      </w:pPr>
      <w:r>
        <w:t xml:space="preserve">5.1. Architecture client-serveur</w:t>
      </w:r>
    </w:p>
    <w:p>
      <w:pPr>
        <w:pStyle w:val="FirstParagraph"/>
      </w:pPr>
      <w:r>
        <w:t xml:space="preserve">L’application se décompose en deux modules 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Serveur</w:t>
      </w:r>
      <w:r>
        <w:t xml:space="preserve"> </w:t>
      </w:r>
      <w:r>
        <w:t xml:space="preserve">(Python + Flask) : prétraitement des 17 Go de données brutes via DuckDB</w:t>
      </w:r>
      <w:r>
        <w:t xml:space="preserve"> </w:t>
      </w:r>
      <w:r>
        <w:t xml:space="preserve">(requêtes SQL en mémoire), puis exposition d’un unique point d’accès REST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/api/data</w:t>
      </w:r>
      <w:r>
        <w:t xml:space="preserve">) qui sert les deux fichiers JSON agrégés (</w:t>
      </w:r>
      <w:r>
        <w:rPr>
          <w:rStyle w:val="VerbatimChar"/>
        </w:rPr>
        <w:t xml:space="preserve">monthly.json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employers.json</w:t>
      </w:r>
      <w:r>
        <w:t xml:space="preserve">). Ce choix est inspiré de l’architecture client-serveur des tutoriels</w:t>
      </w:r>
      <w:r>
        <w:t xml:space="preserve"> </w:t>
      </w:r>
      <w:r>
        <w:t xml:space="preserve">Tuto6 et Tuto7 (Médoc, 2026), où un serveur Flask avec CORS fournit les données</w:t>
      </w:r>
      <w:r>
        <w:t xml:space="preserve"> </w:t>
      </w:r>
      <w:r>
        <w:t xml:space="preserve">traitées au client React.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(React 19 + Vite + D3.js 7.9 + Redux Toolkit) : application</w:t>
      </w:r>
      <w:r>
        <w:t xml:space="preserve"> </w:t>
      </w:r>
      <w:r>
        <w:t xml:space="preserve">monopage qui charge les données au démarrage, les stocke dans un</w:t>
      </w:r>
      <w:r>
        <w:t xml:space="preserve"> </w:t>
      </w:r>
      <w:r>
        <w:rPr>
          <w:i/>
          <w:iCs/>
        </w:rPr>
        <w:t xml:space="preserve">store</w:t>
      </w:r>
      <w:r>
        <w:t xml:space="preserve"> </w:t>
      </w:r>
      <w:r>
        <w:t xml:space="preserve">Redux, et rend</w:t>
      </w:r>
      <w:r>
        <w:t xml:space="preserve"> </w:t>
      </w:r>
      <w:r>
        <w:t xml:space="preserve">les trois panneaux de visualisation.</w:t>
      </w:r>
    </w:p>
    <w:bookmarkEnd w:id="22"/>
    <w:bookmarkStart w:id="23" w:name="patron-mvc-avec-redux"/>
    <w:p>
      <w:pPr>
        <w:pStyle w:val="Heading3"/>
      </w:pPr>
      <w:r>
        <w:t xml:space="preserve">5.2. Patron MVC avec Redux</w:t>
      </w:r>
    </w:p>
    <w:p>
      <w:pPr>
        <w:pStyle w:val="FirstParagraph"/>
      </w:pPr>
      <w:r>
        <w:t xml:space="preserve">Le tableau ci-dessous montre la correspondance entre les rôles MVC, nos fichiers, et les</w:t>
      </w:r>
      <w:r>
        <w:t xml:space="preserve"> </w:t>
      </w:r>
      <w:r>
        <w:t xml:space="preserve">concepts des tutoriels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292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 MVC</w:t>
            </w:r>
          </w:p>
        </w:tc>
        <w:tc>
          <w:tcPr/>
          <w:p>
            <w:pPr>
              <w:pStyle w:val="Compact"/>
            </w:pPr>
            <w:r>
              <w:t xml:space="preserve">Fichier(s)</w:t>
            </w:r>
          </w:p>
        </w:tc>
        <w:tc>
          <w:tcPr/>
          <w:p>
            <w:pPr>
              <w:pStyle w:val="Compact"/>
            </w:pPr>
            <w:r>
              <w:t xml:space="preserve">Patron tutoriel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Modèle</w:t>
            </w:r>
            <w:r>
              <w:t xml:space="preserve"> </w:t>
            </w:r>
            <w:r>
              <w:t xml:space="preserve">(données)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store/DataSetSlice.js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slice</w:t>
            </w:r>
            <w:r>
              <w:t xml:space="preserve"> </w:t>
            </w:r>
            <w:r>
              <w:t xml:space="preserve">Redux avec</w:t>
            </w:r>
            <w:r>
              <w:t xml:space="preserve"> </w:t>
            </w:r>
            <w:r>
              <w:rPr>
                <w:rStyle w:val="VerbatimChar"/>
              </w:rPr>
              <w:t xml:space="preserve">createAsyncThunk</w:t>
            </w:r>
            <w:r>
              <w:t xml:space="preserve"> </w:t>
            </w:r>
            <w:r>
              <w:t xml:space="preserve">pour le chargement asynchrone et</w:t>
            </w:r>
            <w:r>
              <w:t xml:space="preserve"> </w:t>
            </w:r>
            <w:r>
              <w:rPr>
                <w:rStyle w:val="VerbatimChar"/>
              </w:rPr>
              <w:t xml:space="preserve">extraReducers</w:t>
            </w:r>
            <w:r>
              <w:t xml:space="preserve"> </w:t>
            </w:r>
            <w:r>
              <w:t xml:space="preserve">pour gérer les états</w:t>
            </w:r>
            <w:r>
              <w:t xml:space="preserve"> </w:t>
            </w:r>
            <w:r>
              <w:rPr>
                <w:i/>
                <w:iCs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fulfilled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DataSetSlice.js</w:t>
            </w:r>
            <w:r>
              <w:t xml:space="preserve"> </w:t>
            </w:r>
            <w:r>
              <w:t xml:space="preserve">(Tuto5)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Modèle</w:t>
            </w:r>
            <w:r>
              <w:t xml:space="preserve"> </w:t>
            </w:r>
            <w:r>
              <w:t xml:space="preserve">(interaction)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store/InteractionSlice.js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slice</w:t>
            </w:r>
            <w:r>
              <w:t xml:space="preserve"> </w:t>
            </w:r>
            <w:r>
              <w:t xml:space="preserve">Redux avec les</w:t>
            </w:r>
            <w:r>
              <w:t xml:space="preserve"> </w:t>
            </w:r>
            <w:r>
              <w:rPr>
                <w:i/>
                <w:iCs/>
              </w:rPr>
              <w:t xml:space="preserve">reducers</w:t>
            </w:r>
            <w:r>
              <w:t xml:space="preserve"> </w:t>
            </w:r>
            <w:r>
              <w:rPr>
                <w:rStyle w:val="VerbatimChar"/>
              </w:rPr>
              <w:t xml:space="preserve">setHoveredEmployer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toggleSelectedEmployer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setTopN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ItemInteractionSlice.js</w:t>
            </w:r>
            <w:r>
              <w:t xml:space="preserve"> </w:t>
            </w:r>
            <w:r>
              <w:t xml:space="preserve">(Tuto6)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Contrôleur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TimeSeriesContainer.jsx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BarChartContainer.jsx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ScatterplotContainer.jsx</w:t>
            </w:r>
            <w:r>
              <w:t xml:space="preserve"> </w:t>
            </w:r>
            <w:r>
              <w:t xml:space="preserve">— composants React qui lisent le</w:t>
            </w:r>
            <w:r>
              <w:t xml:space="preserve"> </w:t>
            </w:r>
            <w:r>
              <w:rPr>
                <w:i/>
                <w:iCs/>
              </w:rPr>
              <w:t xml:space="preserve">store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useSelector</w:t>
            </w:r>
            <w:r>
              <w:t xml:space="preserve"> </w:t>
            </w:r>
            <w:r>
              <w:t xml:space="preserve">et transmettent les données et les méthodes de contrôle à la vue 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ScatterplotContainer.js</w:t>
            </w:r>
            <w:r>
              <w:t xml:space="preserve"> </w:t>
            </w:r>
            <w:r>
              <w:t xml:space="preserve">(Tuto5)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TimeSeriesD3.js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BarChartD3.js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ScatterplotD3.js</w:t>
            </w:r>
            <w:r>
              <w:t xml:space="preserve"> </w:t>
            </w:r>
            <w:r>
              <w:t xml:space="preserve">— classes ES6 encapsulant tout le code D3, instanciées via</w:t>
            </w:r>
            <w:r>
              <w:t xml:space="preserve"> </w:t>
            </w:r>
            <w:r>
              <w:rPr>
                <w:rStyle w:val="VerbatimChar"/>
              </w:rPr>
              <w:t xml:space="preserve">useRef</w:t>
            </w:r>
            <w:r>
              <w:t xml:space="preserve"> </w:t>
            </w:r>
            <w:r>
              <w:t xml:space="preserve">et pilotées par les</w:t>
            </w:r>
            <w:r>
              <w:t xml:space="preserve"> </w:t>
            </w:r>
            <w:r>
              <w:rPr>
                <w:i/>
                <w:iCs/>
              </w:rPr>
              <w:t xml:space="preserve">hooks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du contrôleur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Matrix-d3.js</w:t>
            </w:r>
            <w:r>
              <w:t xml:space="preserve"> </w:t>
            </w:r>
            <w:r>
              <w:t xml:space="preserve">(Tuto4),</w:t>
            </w:r>
            <w:r>
              <w:t xml:space="preserve"> </w:t>
            </w:r>
            <w:r>
              <w:rPr>
                <w:rStyle w:val="VerbatimChar"/>
              </w:rPr>
              <w:t xml:space="preserve">Scatterplot-d3.js</w:t>
            </w:r>
            <w:r>
              <w:t xml:space="preserve"> </w:t>
            </w:r>
            <w:r>
              <w:t xml:space="preserve">(Tuto5)</w:t>
            </w:r>
          </w:p>
        </w:tc>
      </w:tr>
    </w:tbl>
    <w:bookmarkEnd w:id="23"/>
    <w:bookmarkStart w:id="24" w:name="cycle-de-vie-des-composants"/>
    <w:p>
      <w:pPr>
        <w:pStyle w:val="Heading3"/>
      </w:pPr>
      <w:r>
        <w:t xml:space="preserve">5.3. Cycle de vie des composants</w:t>
      </w:r>
    </w:p>
    <w:p>
      <w:pPr>
        <w:pStyle w:val="FirstParagraph"/>
      </w:pPr>
      <w:r>
        <w:t xml:space="preserve">Chaque panneau de visualisation suit un cycle de vie en trois temps, conforme au patron</w:t>
      </w:r>
      <w:r>
        <w:t xml:space="preserve"> </w:t>
      </w:r>
      <w:r>
        <w:t xml:space="preserve">introduit dans le tutoriel Tuto4 (Médoc, 2026,</w:t>
      </w:r>
      <w:r>
        <w:t xml:space="preserve"> </w:t>
      </w:r>
      <w:r>
        <w:rPr>
          <w:i/>
          <w:iCs/>
        </w:rPr>
        <w:t xml:space="preserve">D3js in React</w:t>
      </w:r>
      <w:r>
        <w:t xml:space="preserve">) :</w:t>
      </w:r>
    </w:p>
    <w:p>
      <w:pPr>
        <w:numPr>
          <w:ilvl w:val="0"/>
          <w:numId w:val="1007"/>
        </w:numPr>
      </w:pPr>
      <w:r>
        <w:rPr>
          <w:rStyle w:val="VerbatimChar"/>
          <w:b/>
          <w:bCs/>
        </w:rPr>
        <w:t xml:space="preserve">create()</w:t>
      </w:r>
      <w:r>
        <w:t xml:space="preserve"> </w:t>
      </w:r>
      <w:r>
        <w:t xml:space="preserve">: appelé une seule fois au montage du composant React (via le</w:t>
      </w:r>
      <w:r>
        <w:t xml:space="preserve"> </w:t>
      </w:r>
      <w:r>
        <w:rPr>
          <w:i/>
          <w:iCs/>
        </w:rPr>
        <w:t xml:space="preserve">hook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avec un tableau de dépendances vide). Crée l’élément SVG, les groupes</w:t>
      </w:r>
      <w:r>
        <w:t xml:space="preserve"> </w:t>
      </w:r>
      <w:r>
        <w:rPr>
          <w:rStyle w:val="VerbatimChar"/>
        </w:rPr>
        <w:t xml:space="preserve">&lt;g&gt;</w:t>
      </w:r>
      <w:r>
        <w:t xml:space="preserve"> </w:t>
      </w:r>
      <w:r>
        <w:t xml:space="preserve">pour les axes, les données et les éléments de fond. Aucune donnée n’est bindée à ce stade.</w:t>
      </w:r>
    </w:p>
    <w:p>
      <w:pPr>
        <w:numPr>
          <w:ilvl w:val="0"/>
          <w:numId w:val="1007"/>
        </w:numPr>
      </w:pPr>
      <w:r>
        <w:rPr>
          <w:rStyle w:val="VerbatimChar"/>
          <w:b/>
          <w:bCs/>
        </w:rPr>
        <w:t xml:space="preserve">update()</w:t>
      </w:r>
      <w:r>
        <w:t xml:space="preserve"> </w:t>
      </w:r>
      <w:r>
        <w:t xml:space="preserve">: appelé à chaque changement de données (via un second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qui</w:t>
      </w:r>
      <w:r>
        <w:t xml:space="preserve"> </w:t>
      </w:r>
      <w:r>
        <w:t xml:space="preserve">observe les sélecteurs Redux). Applique le</w:t>
      </w:r>
      <w:r>
        <w:t xml:space="preserve"> </w:t>
      </w:r>
      <w:r>
        <w:rPr>
          <w:i/>
          <w:iCs/>
        </w:rPr>
        <w:t xml:space="preserve">pattern update</w:t>
      </w:r>
      <w:r>
        <w:t xml:space="preserve"> </w:t>
      </w:r>
      <w:r>
        <w:t xml:space="preserve">de D3 avec la méthode</w:t>
      </w:r>
      <w:r>
        <w:t xml:space="preserve"> </w:t>
      </w:r>
      <w:r>
        <w:rPr>
          <w:rStyle w:val="VerbatimChar"/>
        </w:rPr>
        <w:t xml:space="preserve">.join(enter, update, exit)</w:t>
      </w:r>
      <w:r>
        <w:t xml:space="preserve"> </w:t>
      </w:r>
      <w:r>
        <w:t xml:space="preserve">: les nouveaux éléments sont créés (</w:t>
      </w:r>
      <w:r>
        <w:rPr>
          <w:i/>
          <w:iCs/>
        </w:rPr>
        <w:t xml:space="preserve">enter</w:t>
      </w:r>
      <w:r>
        <w:t xml:space="preserve">), les éléments</w:t>
      </w:r>
      <w:r>
        <w:t xml:space="preserve"> </w:t>
      </w:r>
      <w:r>
        <w:t xml:space="preserve">existants sont mis à jour (</w:t>
      </w:r>
      <w:r>
        <w:rPr>
          <w:i/>
          <w:iCs/>
        </w:rPr>
        <w:t xml:space="preserve">update</w:t>
      </w:r>
      <w:r>
        <w:t xml:space="preserve">) avec des transitions animées, et les éléments obsolètes</w:t>
      </w:r>
      <w:r>
        <w:t xml:space="preserve"> </w:t>
      </w:r>
      <w:r>
        <w:t xml:space="preserve">sont supprimés (</w:t>
      </w:r>
      <w:r>
        <w:rPr>
          <w:i/>
          <w:iCs/>
        </w:rPr>
        <w:t xml:space="preserve">exit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rStyle w:val="VerbatimChar"/>
          <w:b/>
          <w:bCs/>
        </w:rPr>
        <w:t xml:space="preserve">clear()</w:t>
      </w:r>
      <w:r>
        <w:t xml:space="preserve"> </w:t>
      </w:r>
      <w:r>
        <w:t xml:space="preserve">: appelé au démontage du composant React (via la fonction de nettoyage du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). Supprime le SVG pour éviter les fuites mémoire.</w:t>
      </w:r>
    </w:p>
    <w:p>
      <w:pPr>
        <w:pStyle w:val="FirstParagraph"/>
      </w:pPr>
      <w:r>
        <w:t xml:space="preserve">Pour éviter les effets de bord (</w:t>
      </w:r>
      <w:r>
        <w:rPr>
          <w:i/>
          <w:iCs/>
        </w:rPr>
        <w:t xml:space="preserve">side effects</w:t>
      </w:r>
      <w:r>
        <w:t xml:space="preserve">), la référence à l’instance D3 est maintenue</w:t>
      </w:r>
      <w:r>
        <w:t xml:space="preserve"> </w:t>
      </w:r>
      <w:r>
        <w:t xml:space="preserve">via le</w:t>
      </w:r>
      <w:r>
        <w:t xml:space="preserve"> </w:t>
      </w:r>
      <w:r>
        <w:rPr>
          <w:i/>
          <w:iCs/>
        </w:rPr>
        <w:t xml:space="preserve">hook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t xml:space="preserve">— la classe D3 vit en dehors du cycle de rendu de React, conformément</w:t>
      </w:r>
      <w:r>
        <w:t xml:space="preserve"> </w:t>
      </w:r>
      <w:r>
        <w:t xml:space="preserve">au principe de séparation des responsabilités enseigné dans le tutoriel Tuto4.</w:t>
      </w:r>
    </w:p>
    <w:bookmarkEnd w:id="24"/>
    <w:bookmarkStart w:id="25" w:name="séparation-update-updatehighlighting"/>
    <w:p>
      <w:pPr>
        <w:pStyle w:val="Heading3"/>
      </w:pPr>
      <w:r>
        <w:t xml:space="preserve">5.4. Séparation update / updateHighlighting</w:t>
      </w:r>
    </w:p>
    <w:p>
      <w:pPr>
        <w:pStyle w:val="FirstParagraph"/>
      </w:pPr>
      <w:r>
        <w:t xml:space="preserve">Nous avons introduit une optimisation non présente dans les tutoriels : chaque classe D3</w:t>
      </w:r>
      <w:r>
        <w:t xml:space="preserve"> </w:t>
      </w:r>
      <w:r>
        <w:t xml:space="preserve">expose une méthode</w:t>
      </w:r>
      <w:r>
        <w:t xml:space="preserve"> </w:t>
      </w:r>
      <w:r>
        <w:rPr>
          <w:rStyle w:val="VerbatimChar"/>
        </w:rPr>
        <w:t xml:space="preserve">updateHighlighting(hoveredId, selectedIds)</w:t>
      </w:r>
      <w:r>
        <w:t xml:space="preserve"> </w:t>
      </w:r>
      <w:r>
        <w:t xml:space="preserve">distincte de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. Cette</w:t>
      </w:r>
      <w:r>
        <w:t xml:space="preserve"> </w:t>
      </w:r>
      <w:r>
        <w:t xml:space="preserve">séparation des responsabilités garantit que les changements d’état d’interaction (survol, clic)</w:t>
      </w:r>
      <w:r>
        <w:t xml:space="preserve"> </w:t>
      </w:r>
      <w:r>
        <w:t xml:space="preserve">ne déclenchent pas un rebindage complet des données — seules les propriétés visuelles</w:t>
      </w:r>
      <w:r>
        <w:t xml:space="preserve"> </w:t>
      </w:r>
      <w:r>
        <w:t xml:space="preserve">(opacité, épaisseur de contour, couleur de surbrillance) sont modifiées. Cela assure une</w:t>
      </w:r>
      <w:r>
        <w:t xml:space="preserve"> </w:t>
      </w:r>
      <w:r>
        <w:t xml:space="preserve">réactivité fluide même avec 253 éléments simultanés.</w:t>
      </w:r>
    </w:p>
    <w:bookmarkEnd w:id="25"/>
    <w:bookmarkStart w:id="26" w:name="méthodes-du-contrôleur"/>
    <w:p>
      <w:pPr>
        <w:pStyle w:val="Heading3"/>
      </w:pPr>
      <w:r>
        <w:t xml:space="preserve">5.5. Méthodes du contrôleur</w:t>
      </w:r>
    </w:p>
    <w:p>
      <w:pPr>
        <w:pStyle w:val="FirstParagraph"/>
      </w:pPr>
      <w:r>
        <w:t xml:space="preserve">Chaque composant conteneur définit un objet</w:t>
      </w:r>
      <w:r>
        <w:t xml:space="preserve"> </w:t>
      </w:r>
      <w:r>
        <w:rPr>
          <w:rStyle w:val="VerbatimChar"/>
        </w:rPr>
        <w:t xml:space="preserve">controllerMethods</w:t>
      </w:r>
      <w:r>
        <w:t xml:space="preserve"> </w:t>
      </w:r>
      <w:r>
        <w:t xml:space="preserve">transmis à la classe D3 lors</w:t>
      </w:r>
      <w:r>
        <w:t xml:space="preserve"> </w:t>
      </w:r>
      <w:r>
        <w:t xml:space="preserve">de sa construction, suivant exactement le patron des tutoriels Tuto5 et Tuto6 (Médoc, 2026)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controllerMethods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handleHover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(employerId)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setHoveredEmployer</w:t>
      </w:r>
      <w:r>
        <w:rPr>
          <w:rStyle w:val="NormalTok"/>
        </w:rPr>
        <w:t xml:space="preserve">(employerId))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handleUnhover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         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setHoveredEmployer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handleClick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(employerId)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toggleSelectedEmployer</w:t>
      </w:r>
      <w:r>
        <w:rPr>
          <w:rStyle w:val="NormalTok"/>
        </w:rPr>
        <w:t xml:space="preserve">(employerId))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classe D3 attache ces méthodes aux événements</w:t>
      </w:r>
      <w:r>
        <w:t xml:space="preserve"> </w:t>
      </w:r>
      <w:r>
        <w:rPr>
          <w:rStyle w:val="VerbatimChar"/>
        </w:rPr>
        <w:t xml:space="preserve">mouseenter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mouseleave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de</w:t>
      </w:r>
      <w:r>
        <w:t xml:space="preserve"> </w:t>
      </w:r>
      <w:r>
        <w:t xml:space="preserve">chaque élément SVG. Ainsi, l’interaction utilisateur remonte du DOM vers le</w:t>
      </w:r>
      <w:r>
        <w:t xml:space="preserve"> </w:t>
      </w:r>
      <w:r>
        <w:rPr>
          <w:i/>
          <w:iCs/>
        </w:rPr>
        <w:t xml:space="preserve">store</w:t>
      </w:r>
      <w:r>
        <w:t xml:space="preserve"> </w:t>
      </w:r>
      <w:r>
        <w:t xml:space="preserve">Redux via</w:t>
      </w:r>
      <w:r>
        <w:t xml:space="preserve"> </w:t>
      </w:r>
      <w:r>
        <w:t xml:space="preserve">le contrôleur, puis redescend vers les trois vues coordonnées — boucle MVC complète.</w:t>
      </w:r>
    </w:p>
    <w:bookmarkEnd w:id="26"/>
    <w:bookmarkStart w:id="27" w:name="pipeline-de-prétraitement"/>
    <w:p>
      <w:pPr>
        <w:pStyle w:val="Heading3"/>
      </w:pPr>
      <w:r>
        <w:t xml:space="preserve">5.6. Pipeline de prétraitement</w:t>
      </w:r>
    </w:p>
    <w:p>
      <w:pPr>
        <w:pStyle w:val="FirstParagraph"/>
      </w:pPr>
      <w:r>
        <w:t xml:space="preserve">Le serveur exécute un pipeline SQL via DuckDB qui transforme les 113 millions de lignes</w:t>
      </w:r>
      <w:r>
        <w:t xml:space="preserve"> </w:t>
      </w:r>
      <w:r>
        <w:t xml:space="preserve">d’Activity Logs et les 1,8 million de transactions du Financial Journal en deux fichiers JSON</w:t>
      </w:r>
      <w:r>
        <w:t xml:space="preserve"> </w:t>
      </w:r>
      <w:r>
        <w:t xml:space="preserve">compacts 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Jointure temporelle</w:t>
      </w:r>
      <w:r>
        <w:t xml:space="preserve"> </w:t>
      </w:r>
      <w:r>
        <w:t xml:space="preserve">: pour chaque participant et chaque mois, identifier le dernier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observé dans les Activity Logs, puis résoudre l’</w:t>
      </w:r>
      <w:r>
        <w:rPr>
          <w:rStyle w:val="VerbatimChar"/>
        </w:rPr>
        <w:t xml:space="preserve">employerId</w:t>
      </w:r>
      <w:r>
        <w:t xml:space="preserve"> </w:t>
      </w:r>
      <w:r>
        <w:t xml:space="preserve">correspondant via</w:t>
      </w:r>
      <w:r>
        <w:t xml:space="preserve"> </w:t>
      </w:r>
      <w:r>
        <w:t xml:space="preserve">la table Jobs.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Agrégation des salaires</w:t>
      </w:r>
      <w:r>
        <w:t xml:space="preserve"> </w:t>
      </w:r>
      <w:r>
        <w:t xml:space="preserve">: sommer les montants « Wage » du Financial Journal par</w:t>
      </w:r>
      <w:r>
        <w:t xml:space="preserve"> </w:t>
      </w:r>
      <w:r>
        <w:rPr>
          <w:rStyle w:val="VerbatimChar"/>
        </w:rPr>
        <w:t xml:space="preserve">employerId</w:t>
      </w:r>
      <w:r>
        <w:t xml:space="preserve"> </w:t>
      </w:r>
      <w:r>
        <w:t xml:space="preserve">et par mois, compter les participants distincts.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Calcul des pentes</w:t>
      </w:r>
      <w:r>
        <w:t xml:space="preserve"> </w:t>
      </w:r>
      <w:r>
        <w:t xml:space="preserve">: pour chaque employeur, calculer la régression linéaire de la masse</w:t>
      </w:r>
      <w:r>
        <w:t xml:space="preserve"> </w:t>
      </w:r>
      <w:r>
        <w:t xml:space="preserve">salariale et de l’effectif sur les 15 mois.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 JSON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monthly.json</w:t>
      </w:r>
      <w:r>
        <w:t xml:space="preserve"> </w:t>
      </w:r>
      <w:r>
        <w:t xml:space="preserve">(séries temporelles) et</w:t>
      </w:r>
      <w:r>
        <w:t xml:space="preserve"> </w:t>
      </w:r>
      <w:r>
        <w:rPr>
          <w:rStyle w:val="VerbatimChar"/>
        </w:rPr>
        <w:t xml:space="preserve">employers.json</w:t>
      </w:r>
      <w:r>
        <w:t xml:space="preserve"> </w:t>
      </w:r>
      <w:r>
        <w:t xml:space="preserve">(résumé par</w:t>
      </w:r>
      <w:r>
        <w:t xml:space="preserve"> </w:t>
      </w:r>
      <w:r>
        <w:t xml:space="preserve">employeur avec pentes et totaux).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uide-dutilisation"/>
    <w:p>
      <w:pPr>
        <w:pStyle w:val="Heading2"/>
      </w:pPr>
      <w:r>
        <w:t xml:space="preserve">6. Guide d’utilisation</w:t>
      </w:r>
    </w:p>
    <w:p>
      <w:pPr>
        <w:pStyle w:val="FirstParagraph"/>
      </w:pPr>
      <w:r>
        <w:t xml:space="preserve">Le tableau de bord s’utilise selon le mantra de Shneiderman (1996) : vue d’ensemble d’abord,</w:t>
      </w:r>
      <w:r>
        <w:t xml:space="preserve"> </w:t>
      </w:r>
      <w:r>
        <w:t xml:space="preserve">zoom et filtrage ensuite, détails à la demande enfin.</w:t>
      </w:r>
    </w:p>
    <w:p>
      <w:pPr>
        <w:pStyle w:val="BodyText"/>
      </w:pPr>
      <w:r>
        <w:rPr>
          <w:b/>
          <w:bCs/>
        </w:rPr>
        <w:t xml:space="preserve">1. Vue d’ensemble.</w:t>
      </w:r>
      <w:r>
        <w:t xml:space="preserve"> </w:t>
      </w:r>
      <w:r>
        <w:t xml:space="preserve">Au chargement, les trois panneaux s’affichent simultanément. Le</w:t>
      </w:r>
      <w:r>
        <w:t xml:space="preserve"> </w:t>
      </w:r>
      <w:r>
        <w:t xml:space="preserve">panneau A (séries temporelles) montre les 10 employeurs les plus prospères en vert et les 10</w:t>
      </w:r>
      <w:r>
        <w:t xml:space="preserve"> </w:t>
      </w:r>
      <w:r>
        <w:t xml:space="preserve">plus en difficulté en rouge, sur fond de l’ensemble des 253 courbes en gris. Le panneau B</w:t>
      </w:r>
      <w:r>
        <w:t xml:space="preserve"> </w:t>
      </w:r>
      <w:r>
        <w:t xml:space="preserve">(barres divergentes) classe ces 20 employeurs par pente salariale. Le panneau C (nuage de</w:t>
      </w:r>
      <w:r>
        <w:t xml:space="preserve"> </w:t>
      </w:r>
      <w:r>
        <w:t xml:space="preserve">points) positionne les 253 employeurs dans l’espace des deux pentes.</w:t>
      </w:r>
    </w:p>
    <w:p>
      <w:pPr>
        <w:pStyle w:val="BodyText"/>
      </w:pPr>
      <w:r>
        <w:rPr>
          <w:b/>
          <w:bCs/>
        </w:rPr>
        <w:t xml:space="preserve">2. Zoom et filtrage.</w:t>
      </w:r>
      <w:r>
        <w:t xml:space="preserve"> </w:t>
      </w:r>
      <w:r>
        <w:t xml:space="preserve">La barre de contrôle en haut du tableau de bord contient un champ</w:t>
      </w:r>
      <w:r>
        <w:t xml:space="preserve"> </w:t>
      </w:r>
      <w:r>
        <w:t xml:space="preserve">numérique « Show top/bottom » qui permet d’ajuster la valeur</w:t>
      </w:r>
      <w:r>
        <w:t xml:space="preserve"> </w:t>
      </w:r>
      <w:r>
        <w:rPr>
          <w:i/>
          <w:iCs/>
        </w:rPr>
        <w:t xml:space="preserve">N</w:t>
      </w:r>
      <w:r>
        <w:t xml:space="preserve">. Augmenter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révèle</w:t>
      </w:r>
      <w:r>
        <w:t xml:space="preserve"> </w:t>
      </w:r>
      <w:r>
        <w:t xml:space="preserve">davantage d’employeurs dans les panneaux A et B ; le réduire concentre l’attention sur les</w:t>
      </w:r>
      <w:r>
        <w:t xml:space="preserve"> </w:t>
      </w:r>
      <w:r>
        <w:t xml:space="preserve">cas les plus extrêmes.</w:t>
      </w:r>
    </w:p>
    <w:p>
      <w:pPr>
        <w:pStyle w:val="BodyText"/>
      </w:pPr>
      <w:r>
        <w:rPr>
          <w:b/>
          <w:bCs/>
        </w:rPr>
        <w:t xml:space="preserve">3. Sélection.</w:t>
      </w:r>
      <w:r>
        <w:t xml:space="preserve"> </w:t>
      </w:r>
      <w:r>
        <w:t xml:space="preserve">Un clic sur un employeur dans n’importe quel panneau le sélectionne : il</w:t>
      </w:r>
      <w:r>
        <w:t xml:space="preserve"> </w:t>
      </w:r>
      <w:r>
        <w:t xml:space="preserve">est mis en surbrillance dans les trois vues simultanément. Plusieurs employeurs peuvent être</w:t>
      </w:r>
      <w:r>
        <w:t xml:space="preserve"> </w:t>
      </w:r>
      <w:r>
        <w:t xml:space="preserve">sélectionnés successivement. Un second clic sur un employeur déjà sélectionné le</w:t>
      </w:r>
      <w:r>
        <w:t xml:space="preserve"> </w:t>
      </w:r>
      <w:r>
        <w:t xml:space="preserve">désélectionne. Le bouton « Clear selection » réinitialise la sélection.</w:t>
      </w:r>
    </w:p>
    <w:p>
      <w:pPr>
        <w:pStyle w:val="BodyText"/>
      </w:pPr>
      <w:r>
        <w:rPr>
          <w:b/>
          <w:bCs/>
        </w:rPr>
        <w:t xml:space="preserve">4. Exploration par survol.</w:t>
      </w:r>
      <w:r>
        <w:t xml:space="preserve"> </w:t>
      </w:r>
      <w:r>
        <w:t xml:space="preserve">Le passage du curseur sur un élément (ligne, barre ou point)</w:t>
      </w:r>
      <w:r>
        <w:t xml:space="preserve"> </w:t>
      </w:r>
      <w:r>
        <w:t xml:space="preserve">met en relief l’employeur correspondant dans les trois panneaux et affiche une infobulle</w:t>
      </w:r>
      <w:r>
        <w:t xml:space="preserve"> </w:t>
      </w:r>
      <w:r>
        <w:t xml:space="preserve">indiquant : l’identifiant de l’employeur, son effectif moyen, sa pente salariale, sa pente</w:t>
      </w:r>
      <w:r>
        <w:t xml:space="preserve"> </w:t>
      </w:r>
      <w:r>
        <w:t xml:space="preserve">d’effectif et sa masse salariale totale.</w:t>
      </w:r>
    </w:p>
    <w:p>
      <w:pPr>
        <w:pStyle w:val="BodyText"/>
      </w:pPr>
      <w:r>
        <w:rPr>
          <w:b/>
          <w:bCs/>
        </w:rPr>
        <w:t xml:space="preserve">5. Lecture des quadrants (panneau C).</w:t>
      </w:r>
      <w:r>
        <w:t xml:space="preserve"> </w:t>
      </w:r>
      <w:r>
        <w:t xml:space="preserve">Les lignes de référence en pointillés à zéro</w:t>
      </w:r>
      <w:r>
        <w:t xml:space="preserve"> </w:t>
      </w:r>
      <w:r>
        <w:t xml:space="preserve">divisent le nuage de points en quatre quadrants. Le quadrant supérieur droit regroupe les</w:t>
      </w:r>
      <w:r>
        <w:t xml:space="preserve"> </w:t>
      </w:r>
      <w:r>
        <w:t xml:space="preserve">employeurs dont les deux indicateurs croissent (prospères) ; le quadrant inférieur gauche</w:t>
      </w:r>
      <w:r>
        <w:t xml:space="preserve"> </w:t>
      </w:r>
      <w:r>
        <w:t xml:space="preserve">regroupe ceux dont les deux indicateurs déclinent (en difficulté). Les quadrants mixtes</w:t>
      </w:r>
      <w:r>
        <w:t xml:space="preserve"> </w:t>
      </w:r>
      <w:r>
        <w:t xml:space="preserve">signalent des situations ambiguës méritant une investigation plus fine via les panneaux A et B.</w:t>
      </w:r>
    </w:p>
    <w:p>
      <w:r>
        <w:pict>
          <v:rect style="width:0;height:1.5pt" o:hralign="center" o:hrstd="t" o:hr="t"/>
        </w:pict>
      </w:r>
    </w:p>
    <w:bookmarkEnd w:id="29"/>
    <w:bookmarkStart w:id="30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Ce rapport a présenté la conception et l’implémentation d’un tableau de bord interactif</w:t>
      </w:r>
      <w:r>
        <w:t xml:space="preserve"> </w:t>
      </w:r>
      <w:r>
        <w:t xml:space="preserve">permettant d’évaluer la prospérité des 253 employeurs du jeu de données VAST Challenge 2022.</w:t>
      </w:r>
      <w:r>
        <w:t xml:space="preserve"> </w:t>
      </w:r>
      <w:r>
        <w:t xml:space="preserve">L’approche est structurée selon les quatre niveaux du modèle imbriqué de Munzner (2014) :</w:t>
      </w:r>
    </w:p>
    <w:p>
      <w:pPr>
        <w:pStyle w:val="Compact"/>
        <w:numPr>
          <w:ilvl w:val="0"/>
          <w:numId w:val="1009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niveau 1</w:t>
      </w:r>
      <w:r>
        <w:t xml:space="preserve"> </w:t>
      </w:r>
      <w:r>
        <w:t xml:space="preserve">(domaine), nous avons identifié les besoins des décideurs municipaux et</w:t>
      </w:r>
      <w:r>
        <w:t xml:space="preserve"> </w:t>
      </w:r>
      <w:r>
        <w:t xml:space="preserve">formulé quatre objectifs analytiques découlant de la question Q1.</w:t>
      </w:r>
    </w:p>
    <w:p>
      <w:pPr>
        <w:pStyle w:val="Compact"/>
        <w:numPr>
          <w:ilvl w:val="0"/>
          <w:numId w:val="1009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niveau 2</w:t>
      </w:r>
      <w:r>
        <w:t xml:space="preserve"> </w:t>
      </w:r>
      <w:r>
        <w:t xml:space="preserve">(abstraction), nous avons caractérisé les données (tables, types d’attributs,</w:t>
      </w:r>
      <w:r>
        <w:t xml:space="preserve"> </w:t>
      </w:r>
      <w:r>
        <w:t xml:space="preserve">chemin de jointure) et traduit les objectifs en tâches abstraites selon la taxonomie de</w:t>
      </w:r>
      <w:r>
        <w:t xml:space="preserve"> </w:t>
      </w:r>
      <w:r>
        <w:t xml:space="preserve">Munzner.</w:t>
      </w:r>
    </w:p>
    <w:p>
      <w:pPr>
        <w:pStyle w:val="Compact"/>
        <w:numPr>
          <w:ilvl w:val="0"/>
          <w:numId w:val="1009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niveau 3</w:t>
      </w:r>
      <w:r>
        <w:t xml:space="preserve"> </w:t>
      </w:r>
      <w:r>
        <w:t xml:space="preserve">(encodage), nous avons conçu trois vues coordonnées — série temporelle,</w:t>
      </w:r>
      <w:r>
        <w:t xml:space="preserve"> </w:t>
      </w:r>
      <w:r>
        <w:t xml:space="preserve">barres divergentes et nuage de points — dont chaque canal visuel est justifié par le</w:t>
      </w:r>
      <w:r>
        <w:t xml:space="preserve"> </w:t>
      </w:r>
      <w:r>
        <w:t xml:space="preserve">principe d’efficacité des canaux enseigné dans le cours.</w:t>
      </w:r>
    </w:p>
    <w:p>
      <w:pPr>
        <w:pStyle w:val="Compact"/>
        <w:numPr>
          <w:ilvl w:val="0"/>
          <w:numId w:val="1009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niveau 4</w:t>
      </w:r>
      <w:r>
        <w:t xml:space="preserve"> </w:t>
      </w:r>
      <w:r>
        <w:t xml:space="preserve">(implémentation), nous avons réalisé le tableau de bord en suivant le patron</w:t>
      </w:r>
      <w:r>
        <w:t xml:space="preserve"> </w:t>
      </w:r>
      <w:r>
        <w:t xml:space="preserve">MVC avec séparation des responsabilités (classe D3 encapsulée + conteneur React +</w:t>
      </w:r>
      <w:r>
        <w:t xml:space="preserve"> </w:t>
      </w:r>
      <w:r>
        <w:rPr>
          <w:i/>
          <w:iCs/>
        </w:rPr>
        <w:t xml:space="preserve">store</w:t>
      </w:r>
      <w:r>
        <w:t xml:space="preserve"> </w:t>
      </w:r>
      <w:r>
        <w:t xml:space="preserve">Redux), conformément à l’architecture des tutoriels du cours.</w:t>
      </w:r>
    </w:p>
    <w:p>
      <w:pPr>
        <w:pStyle w:val="FirstParagraph"/>
      </w:pPr>
      <w:r>
        <w:rPr>
          <w:b/>
          <w:bCs/>
        </w:rPr>
        <w:t xml:space="preserve">Limites.</w:t>
      </w:r>
      <w:r>
        <w:t xml:space="preserve"> </w:t>
      </w:r>
      <w:r>
        <w:t xml:space="preserve">Notre approche repose sur un indicateur indirect de prospérité — effectif et</w:t>
      </w:r>
      <w:r>
        <w:t xml:space="preserve"> </w:t>
      </w:r>
      <w:r>
        <w:t xml:space="preserve">masse salariale — en l’absence de chiffre d’affaires dans le jeu de données. La pente</w:t>
      </w:r>
      <w:r>
        <w:t xml:space="preserve"> </w:t>
      </w:r>
      <w:r>
        <w:t xml:space="preserve">linéaire utilisée comme mesure de tendance ne capte pas les ruptures brutales ni les variations</w:t>
      </w:r>
      <w:r>
        <w:t xml:space="preserve"> </w:t>
      </w:r>
      <w:r>
        <w:t xml:space="preserve">saisonnières. Enfin, le jeu de données étant tabulaire, les cours sur la visualisation de</w:t>
      </w:r>
      <w:r>
        <w:t xml:space="preserve"> </w:t>
      </w:r>
      <w:r>
        <w:t xml:space="preserve">graphes et de données hiérarchiques n’ont pas été directement mobilisés.</w:t>
      </w:r>
    </w:p>
    <w:p>
      <w:pPr>
        <w:pStyle w:val="BodyText"/>
      </w:pPr>
      <w:r>
        <w:rPr>
          <w:b/>
          <w:bCs/>
        </w:rPr>
        <w:t xml:space="preserve">Perspectives.</w:t>
      </w:r>
      <w:r>
        <w:t xml:space="preserve"> </w:t>
      </w:r>
      <w:r>
        <w:t xml:space="preserve">Le tableau de bord pourrait être enrichi par un regroupement automatique des</w:t>
      </w:r>
      <w:r>
        <w:t xml:space="preserve"> </w:t>
      </w:r>
      <w:r>
        <w:t xml:space="preserve">employeurs par clustering (</w:t>
      </w:r>
      <w:r>
        <w:rPr>
          <w:i/>
          <w:iCs/>
        </w:rPr>
        <w:t xml:space="preserve">k</w:t>
      </w:r>
      <w:r>
        <w:t xml:space="preserve">-means ou DBSCAN) pour faire émerger des profils de prospérité.</w:t>
      </w:r>
      <w:r>
        <w:t xml:space="preserve"> </w:t>
      </w:r>
      <w:r>
        <w:t xml:space="preserve">Une animation temporelle (</w:t>
      </w:r>
      <w:r>
        <w:rPr>
          <w:i/>
          <w:iCs/>
        </w:rPr>
        <w:t xml:space="preserve">small multiples</w:t>
      </w:r>
      <w:r>
        <w:t xml:space="preserve"> </w:t>
      </w:r>
      <w:r>
        <w:t xml:space="preserve">ou curseur de temps) permettrait d’observer les</w:t>
      </w:r>
      <w:r>
        <w:t xml:space="preserve"> </w:t>
      </w:r>
      <w:r>
        <w:t xml:space="preserve">transitions mois par mois. L’ajout de données de fréquentation (CheckinJournal) pourrait</w:t>
      </w:r>
      <w:r>
        <w:t xml:space="preserve"> </w:t>
      </w:r>
      <w:r>
        <w:t xml:space="preserve">élargir la définition de prospérité aux commerces de détail (restaurants, pubs).</w:t>
      </w:r>
    </w:p>
    <w:p>
      <w:pPr>
        <w:pStyle w:val="BodyText"/>
      </w:pPr>
      <w:r>
        <w:rPr>
          <w:b/>
          <w:bCs/>
        </w:rPr>
        <w:t xml:space="preserve">Note.</w:t>
      </w:r>
      <w:r>
        <w:t xml:space="preserve"> </w:t>
      </w:r>
      <w:r>
        <w:t xml:space="preserve">Certaines métriques techniques et statistiques de volumétrie ont été extraites et</w:t>
      </w:r>
      <w:r>
        <w:t xml:space="preserve"> </w:t>
      </w:r>
      <w:r>
        <w:t xml:space="preserve">vérifiées à l’aide d’une intelligence artificielle, notamment le décompte précis des lignes</w:t>
      </w:r>
      <w:r>
        <w:t xml:space="preserve"> </w:t>
      </w:r>
      <w:r>
        <w:t xml:space="preserve">des jeux de données, le nombre exact d’identifiants uniques ainsi que la validation des calculs</w:t>
      </w:r>
      <w:r>
        <w:t xml:space="preserve"> </w:t>
      </w:r>
      <w:r>
        <w:t xml:space="preserve">d’agrégation pour la structure cible.</w:t>
      </w:r>
    </w:p>
    <w:p>
      <w:r>
        <w:pict>
          <v:rect style="width:0;height:1.5pt" o:hralign="center" o:hrstd="t" o:hr="t"/>
        </w:pict>
      </w:r>
    </w:p>
    <w:bookmarkEnd w:id="30"/>
    <w:bookmarkStart w:id="31" w:name="références"/>
    <w:p>
      <w:pPr>
        <w:pStyle w:val="Heading2"/>
      </w:pPr>
      <w:r>
        <w:t xml:space="preserve">8. Références</w:t>
      </w:r>
    </w:p>
    <w:p>
      <w:pPr>
        <w:pStyle w:val="Compact"/>
        <w:numPr>
          <w:ilvl w:val="0"/>
          <w:numId w:val="1010"/>
        </w:numPr>
      </w:pPr>
      <w:r>
        <w:t xml:space="preserve">Munzner, T. (2014).</w:t>
      </w:r>
      <w:r>
        <w:t xml:space="preserve"> </w:t>
      </w:r>
      <w:r>
        <w:rPr>
          <w:i/>
          <w:iCs/>
        </w:rPr>
        <w:t xml:space="preserve">Visualization Analysis and Design</w:t>
      </w:r>
      <w:r>
        <w:t xml:space="preserve">. A K Peters Visualization Series, CRC Press.</w:t>
      </w:r>
    </w:p>
    <w:p>
      <w:pPr>
        <w:pStyle w:val="Compact"/>
        <w:numPr>
          <w:ilvl w:val="0"/>
          <w:numId w:val="1010"/>
        </w:numPr>
      </w:pPr>
      <w:r>
        <w:t xml:space="preserve">Shneiderman, B. (1996). « The Eyes Have It: A Task by Data Type Taxonomy for Information Visualizations ».</w:t>
      </w:r>
      <w:r>
        <w:t xml:space="preserve"> </w:t>
      </w:r>
      <w:r>
        <w:rPr>
          <w:i/>
          <w:iCs/>
        </w:rPr>
        <w:t xml:space="preserve">Proceedings of the IEEE Symposium on Visual Languages</w:t>
      </w:r>
      <w:r>
        <w:t xml:space="preserve">, pp. 336–343.</w:t>
      </w:r>
    </w:p>
    <w:p>
      <w:pPr>
        <w:pStyle w:val="Compact"/>
        <w:numPr>
          <w:ilvl w:val="0"/>
          <w:numId w:val="1010"/>
        </w:numPr>
      </w:pPr>
      <w:r>
        <w:t xml:space="preserve">Ghoniem, M. &amp; Médoc, N. (2026).</w:t>
      </w:r>
      <w:r>
        <w:t xml:space="preserve"> </w:t>
      </w:r>
      <w:r>
        <w:rPr>
          <w:i/>
          <w:iCs/>
        </w:rPr>
        <w:t xml:space="preserve">Introduction à la visualisation d’information</w:t>
      </w:r>
      <w:r>
        <w:t xml:space="preserve"> </w:t>
      </w:r>
      <w:r>
        <w:t xml:space="preserve">[support de cours]. M2 IHM.</w:t>
      </w:r>
    </w:p>
    <w:p>
      <w:pPr>
        <w:pStyle w:val="Compact"/>
        <w:numPr>
          <w:ilvl w:val="0"/>
          <w:numId w:val="1010"/>
        </w:numPr>
      </w:pPr>
      <w:r>
        <w:t xml:space="preserve">Ghoniem, M. &amp; Médoc, N. (2026).</w:t>
      </w:r>
      <w:r>
        <w:t xml:space="preserve"> </w:t>
      </w:r>
      <w:r>
        <w:rPr>
          <w:i/>
          <w:iCs/>
        </w:rPr>
        <w:t xml:space="preserve">Visualisation de données multidimensionnelles</w:t>
      </w:r>
      <w:r>
        <w:t xml:space="preserve"> </w:t>
      </w:r>
      <w:r>
        <w:t xml:space="preserve">[support de cours]. M2 IHM.</w:t>
      </w:r>
    </w:p>
    <w:p>
      <w:pPr>
        <w:pStyle w:val="Compact"/>
        <w:numPr>
          <w:ilvl w:val="0"/>
          <w:numId w:val="1010"/>
        </w:numPr>
      </w:pPr>
      <w:r>
        <w:t xml:space="preserve">Médoc, N. (2026). Tutoriels Tuto1–Tuto7 [dépôts GitHub]. https://github.com/nicolasmedoc</w:t>
      </w:r>
    </w:p>
    <w:p>
      <w:pPr>
        <w:pStyle w:val="Compact"/>
        <w:numPr>
          <w:ilvl w:val="0"/>
          <w:numId w:val="1010"/>
        </w:numPr>
      </w:pPr>
      <w:r>
        <w:t xml:space="preserve">VAST Challenge 2022, Mini-Challenge 3 — Economic Q1. https://vast-challenge.github.io/2022/</w:t>
      </w:r>
    </w:p>
    <w:p>
      <w:pPr>
        <w:pStyle w:val="Compact"/>
        <w:numPr>
          <w:ilvl w:val="0"/>
          <w:numId w:val="1010"/>
        </w:numPr>
      </w:pPr>
      <w:r>
        <w:t xml:space="preserve">Benerrazam, C. E., Mathis, A., Maniboda Ngouanat, L. C. &amp; Maraj, A. (2025).</w:t>
      </w:r>
      <w:r>
        <w:t xml:space="preserve"> </w:t>
      </w:r>
      <w:r>
        <w:rPr>
          <w:i/>
          <w:iCs/>
        </w:rPr>
        <w:t xml:space="preserve">Rapport de conception de données — VAST Challenge 2022, Mini-challenge Économique (Q1)</w:t>
      </w:r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b/>
      <w:color w:val="1f1c1b"/>
      <w:shd w:val="clear" w:fill="ffffff"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b/>
      <w:color w:val="1f1c1b"/>
      <w:shd w:val="clear" w:fill="ffffff"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b/>
      <w:color w:val="644a9b"/>
      <w:shd w:val="clear" w:fill="ffffff"/>
    </w:rPr>
  </w:style>
  <w:style w:type="character" w:customStyle="1" w:styleId="ExtensionTok">
    <w:name w:val="ExtensionTok"/>
    <w:basedOn w:val="VerbatimChar"/>
    <w:rPr>
      <w:b/>
      <w:color w:val="0095ff"/>
      <w:shd w:val="clear" w:fill="ffffff"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b/>
      <w:color w:val="bf0303"/>
      <w:shd w:val="clear" w:fill="f7e6e6"/>
    </w:rPr>
  </w:style>
  <w:style w:type="character" w:customStyle="1" w:styleId="ErrorTok">
    <w:name w:val="ErrorTok"/>
    <w:basedOn w:val="VerbatimChar"/>
    <w:rPr>
      <w:color w:val="bf0303"/>
      <w:u/>
      <w:shd w:val="clear" w:fill="ffffff"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 — Tableau de bord de prospérité des employeurs</dc:title>
  <dc:creator/>
  <dc:language>fr-FR</dc:language>
  <cp:keywords/>
  <dcterms:created xsi:type="dcterms:W3CDTF">2026-03-11T00:06:54Z</dcterms:created>
  <dcterms:modified xsi:type="dcterms:W3CDTF">2026-03-11T00:06:54Z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