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2" w:name="X4a457298dc8b9d90896bc133a99435fcf0dcbe3"/>
    <w:p>
      <w:pPr>
        <w:pStyle w:val="Heading1"/>
      </w:pPr>
      <w:r>
        <w:t xml:space="preserve">Rapport de projet — Tableau de bord interactif VAST Challenge 2022</w:t>
      </w:r>
    </w:p>
    <w:p>
      <w:pPr>
        <w:pStyle w:val="FirstParagraph"/>
      </w:pPr>
      <w:r>
        <w:rPr>
          <w:b/>
          <w:bCs/>
        </w:rPr>
        <w:t xml:space="preserve">VAST Challenge 2022 — Mini-challenge Économique (Q1, Q2, Q3)</w:t>
      </w:r>
    </w:p>
    <w:p>
      <w:pPr>
        <w:pStyle w:val="BodyText"/>
      </w:pPr>
      <w:r>
        <w:rPr>
          <w:i/>
          <w:iCs/>
        </w:rPr>
        <w:t xml:space="preserve">Cours : Visualisation de données</w:t>
      </w:r>
      <w:r>
        <w:t xml:space="preserve"> </w:t>
      </w:r>
      <w:r>
        <w:rPr>
          <w:i/>
          <w:iCs/>
        </w:rPr>
        <w:t xml:space="preserve">M2 IHM, 2026</w:t>
      </w:r>
    </w:p>
    <w:p>
      <w:pPr>
        <w:pStyle w:val="BodyText"/>
      </w:pPr>
      <w:r>
        <w:t xml:space="preserve">Charaf Eddine Benerrazam, Aurélien Mathis, Lynn Carla Maniboda Ngouanat, Adrian Maraj</w:t>
      </w:r>
    </w:p>
    <w:p>
      <w:r>
        <w:pict>
          <v:rect style="width:0;height:1.5pt" o:hralign="center" o:hrstd="t" o:hr="t"/>
        </w:pict>
      </w:r>
    </w:p>
    <w:bookmarkStart w:id="9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Le présent rapport décrit la conception et l’implémentation d’un tableau de bord interactif</w:t>
      </w:r>
      <w:r>
        <w:t xml:space="preserve"> </w:t>
      </w:r>
      <w:r>
        <w:t xml:space="preserve">répondant aux trois questions économiques (Q1, Q2, Q3) du mini-challenge 3 du VAST</w:t>
      </w:r>
      <w:r>
        <w:t xml:space="preserve"> </w:t>
      </w:r>
      <w:r>
        <w:t xml:space="preserve">Challenge 2022. Le jeu de données simule la vie quotidienne de 1 011 résidents de la ville</w:t>
      </w:r>
      <w:r>
        <w:t xml:space="preserve"> </w:t>
      </w:r>
      <w:r>
        <w:t xml:space="preserve">fictive d’Engagement, Ohio, sur une période de 15 mois (mars 2022 – mai 2023). Ces données</w:t>
      </w:r>
      <w:r>
        <w:t xml:space="preserve"> </w:t>
      </w:r>
      <w:r>
        <w:t xml:space="preserve">sont collectées via une application municipale d’urbanisme participatif et couvrent les</w:t>
      </w:r>
      <w:r>
        <w:t xml:space="preserve"> </w:t>
      </w:r>
      <w:r>
        <w:t xml:space="preserve">activités, les transactions financières et les affectations professionnelles de chaque résident.</w:t>
      </w:r>
    </w:p>
    <w:p>
      <w:pPr>
        <w:pStyle w:val="BodyText"/>
      </w:pPr>
      <w:r>
        <w:t xml:space="preserve">Les trois questions posées par le challenge sont les suivantes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Q1 — Prospérité des employeurs.</w:t>
      </w:r>
      <w:r>
        <w:t xml:space="preserve"> </w:t>
      </w:r>
      <w:r>
        <w:rPr>
          <w:i/>
          <w:iCs/>
        </w:rPr>
        <w:t xml:space="preserve">« Over the period covered by the dataset, which</w:t>
      </w:r>
      <w:r>
        <w:rPr>
          <w:i/>
          <w:iCs/>
        </w:rPr>
        <w:t xml:space="preserve"> </w:t>
      </w:r>
      <w:r>
        <w:rPr>
          <w:i/>
          <w:iCs/>
        </w:rPr>
        <w:t xml:space="preserve">businesses appear to be more prosperous? Which appear to be struggling? Describe your</w:t>
      </w:r>
      <w:r>
        <w:rPr>
          <w:i/>
          <w:iCs/>
        </w:rPr>
        <w:t xml:space="preserve"> </w:t>
      </w:r>
      <w:r>
        <w:rPr>
          <w:i/>
          <w:iCs/>
        </w:rPr>
        <w:t xml:space="preserve">rationale. »</w:t>
      </w:r>
      <w:r>
        <w:t xml:space="preserve"> </w:t>
      </w:r>
      <w:r>
        <w:t xml:space="preserve">— Identifier les entreprises qui prospèrent et celles qui déclinent, en</w:t>
      </w:r>
      <w:r>
        <w:t xml:space="preserve"> </w:t>
      </w:r>
      <w:r>
        <w:t xml:space="preserve">l’absence de chiffre d’affaires direct.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Q2 — Santé financière des résidents.</w:t>
      </w:r>
      <w:r>
        <w:t xml:space="preserve"> </w:t>
      </w:r>
      <w:r>
        <w:rPr>
          <w:i/>
          <w:iCs/>
        </w:rPr>
        <w:t xml:space="preserve">« How do residents’ incomes, expenses, and savings</w:t>
      </w:r>
      <w:r>
        <w:rPr>
          <w:i/>
          <w:iCs/>
        </w:rPr>
        <w:t xml:space="preserve"> </w:t>
      </w:r>
      <w:r>
        <w:rPr>
          <w:i/>
          <w:iCs/>
        </w:rPr>
        <w:t xml:space="preserve">evolve over the 15 months? »</w:t>
      </w:r>
      <w:r>
        <w:t xml:space="preserve"> </w:t>
      </w:r>
      <w:r>
        <w:t xml:space="preserve">— Analyser l’évolution des revenus, des dépenses et de</w:t>
      </w:r>
      <w:r>
        <w:t xml:space="preserve"> </w:t>
      </w:r>
      <w:r>
        <w:t xml:space="preserve">l’épargne des résidents pour évaluer leur bien-être financier.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Q3 — Dynamique d’emploi et turnover.</w:t>
      </w:r>
      <w:r>
        <w:t xml:space="preserve"> </w:t>
      </w:r>
      <w:r>
        <w:rPr>
          <w:i/>
          <w:iCs/>
        </w:rPr>
        <w:t xml:space="preserve">« Which employers have high staff turnover, which</w:t>
      </w:r>
      <w:r>
        <w:rPr>
          <w:i/>
          <w:iCs/>
        </w:rPr>
        <w:t xml:space="preserve"> </w:t>
      </w:r>
      <w:r>
        <w:rPr>
          <w:i/>
          <w:iCs/>
        </w:rPr>
        <w:t xml:space="preserve">retain employees, and what characterizes each group? »</w:t>
      </w:r>
      <w:r>
        <w:t xml:space="preserve"> </w:t>
      </w:r>
      <w:r>
        <w:t xml:space="preserve">— Examiner la stabilité de l’emploi</w:t>
      </w:r>
      <w:r>
        <w:t xml:space="preserve"> </w:t>
      </w:r>
      <w:r>
        <w:t xml:space="preserve">chez les différents employeurs et les facteurs associés au turnover.</w:t>
      </w:r>
    </w:p>
    <w:p>
      <w:pPr>
        <w:pStyle w:val="FirstParagraph"/>
      </w:pPr>
      <w:r>
        <w:t xml:space="preserve">Notre approche s’inscrit dans le modèle imbriqué de Munzner (2014), qui structure la conception</w:t>
      </w:r>
      <w:r>
        <w:t xml:space="preserve"> </w:t>
      </w:r>
      <w:r>
        <w:t xml:space="preserve">d’une visualisation en quatre niveaux : caractérisation du domaine (N1), abstraction des données</w:t>
      </w:r>
      <w:r>
        <w:t xml:space="preserve"> </w:t>
      </w:r>
      <w:r>
        <w:t xml:space="preserve">et des tâches (N2), encodage visuel et interaction (N3), et choix algorithmiques et</w:t>
      </w:r>
      <w:r>
        <w:t xml:space="preserve"> </w:t>
      </w:r>
      <w:r>
        <w:t xml:space="preserve">d’implémentation (N4). Les sections 2 à 4 déclinent chaque niveau par question, tandis que la</w:t>
      </w:r>
      <w:r>
        <w:t xml:space="preserve"> </w:t>
      </w:r>
      <w:r>
        <w:t xml:space="preserve">section 5 (architecture) est partagée car les trois tableaux de bord reposent sur la même pile</w:t>
      </w:r>
      <w:r>
        <w:t xml:space="preserve"> </w:t>
      </w:r>
      <w:r>
        <w:t xml:space="preserve">technique et le même patron de conception.</w:t>
      </w:r>
    </w:p>
    <w:p>
      <w:pPr>
        <w:pStyle w:val="BodyText"/>
      </w:pPr>
      <w:r>
        <w:t xml:space="preserve">L’application prend la forme d’une interface à onglets (Q1, Q2, Q3), chaque onglet ouvrant un</w:t>
      </w:r>
      <w:r>
        <w:t xml:space="preserve"> </w:t>
      </w:r>
      <w:r>
        <w:t xml:space="preserve">tableau de bord composé de trois vues coordonnées — soit neuf panneaux au total. Chaque</w:t>
      </w:r>
      <w:r>
        <w:t xml:space="preserve"> </w:t>
      </w:r>
      <w:r>
        <w:t xml:space="preserve">système de vues est synchronisé par un</w:t>
      </w:r>
      <w:r>
        <w:t xml:space="preserve"> </w:t>
      </w:r>
      <w:r>
        <w:rPr>
          <w:i/>
          <w:iCs/>
        </w:rPr>
        <w:t xml:space="preserve">store</w:t>
      </w:r>
      <w:r>
        <w:t xml:space="preserve"> </w:t>
      </w:r>
      <w:r>
        <w:t xml:space="preserve">Redux dédié et permet à l’utilisateur de passer</w:t>
      </w:r>
      <w:r>
        <w:t xml:space="preserve"> </w:t>
      </w:r>
      <w:r>
        <w:t xml:space="preserve">d’une vue d’ensemble à l’examen détaillé selon le mantra de Shneiderman (1996) :</w:t>
      </w:r>
      <w:r>
        <w:t xml:space="preserve"> </w:t>
      </w:r>
      <w:r>
        <w:rPr>
          <w:i/>
          <w:iCs/>
        </w:rPr>
        <w:t xml:space="preserve">overview</w:t>
      </w:r>
      <w:r>
        <w:rPr>
          <w:i/>
          <w:iCs/>
        </w:rPr>
        <w:t xml:space="preserve"> </w:t>
      </w:r>
      <w:r>
        <w:rPr>
          <w:i/>
          <w:iCs/>
        </w:rPr>
        <w:t xml:space="preserve">first, zoom and filter, then details-on-demand</w:t>
      </w:r>
      <w:r>
        <w:t xml:space="preserve">.</w:t>
      </w:r>
    </w:p>
    <w:p>
      <w:pPr>
        <w:pStyle w:val="BodyText"/>
      </w:pPr>
      <w:r>
        <w:t xml:space="preserve">Ce rapport fait suite au rapport de conception de données (Benerrazam, Mathis, Ngouanat &amp;</w:t>
      </w:r>
      <w:r>
        <w:t xml:space="preserve"> </w:t>
      </w:r>
      <w:r>
        <w:t xml:space="preserve">Maraj, 2025) soumis en amont de l’implémentation, dont il reprend et approfondit l’analyse.</w:t>
      </w:r>
    </w:p>
    <w:p>
      <w:r>
        <w:pict>
          <v:rect style="width:0;height:1.5pt" o:hralign="center" o:hrstd="t" o:hr="t"/>
        </w:pict>
      </w:r>
    </w:p>
    <w:bookmarkEnd w:id="9"/>
    <w:bookmarkStart w:id="14" w:name="analyse-du-domaine-munzner-niveau-1"/>
    <w:p>
      <w:pPr>
        <w:pStyle w:val="Heading2"/>
      </w:pPr>
      <w:r>
        <w:t xml:space="preserve">2. Analyse du domaine (Munzner — niveau 1)</w:t>
      </w:r>
    </w:p>
    <w:p>
      <w:pPr>
        <w:pStyle w:val="FirstParagraph"/>
      </w:pPr>
      <w:r>
        <w:t xml:space="preserve">Le premier niveau du modèle imbriqué de Munzner (2014) consiste à caractériser le problème de</w:t>
      </w:r>
      <w:r>
        <w:t xml:space="preserve"> </w:t>
      </w:r>
      <w:r>
        <w:t xml:space="preserve">domaine : qui sont les utilisateurs cibles, quelles décisions doivent-ils prendre, et quelles</w:t>
      </w:r>
      <w:r>
        <w:t xml:space="preserve"> </w:t>
      </w:r>
      <w:r>
        <w:t xml:space="preserve">questions se posent-ils ?</w:t>
      </w:r>
    </w:p>
    <w:bookmarkStart w:id="10" w:name="contexte-général"/>
    <w:p>
      <w:pPr>
        <w:pStyle w:val="Heading3"/>
      </w:pPr>
      <w:r>
        <w:t xml:space="preserve">2.1. Contexte général</w:t>
      </w:r>
    </w:p>
    <w:p>
      <w:pPr>
        <w:pStyle w:val="FirstParagraph"/>
      </w:pPr>
      <w:r>
        <w:t xml:space="preserve">Le VAST Challenge 2022 simule la ville fictive d’Engagement, Ohio, dont la municipalité</w:t>
      </w:r>
      <w:r>
        <w:t xml:space="preserve"> </w:t>
      </w:r>
      <w:r>
        <w:t xml:space="preserve">dispose de données issues d’une application d’urbanisme participatif. Ces données couvrent les</w:t>
      </w:r>
      <w:r>
        <w:t xml:space="preserve"> </w:t>
      </w:r>
      <w:r>
        <w:t xml:space="preserve">activités quotidiennes de 1 011 résidents sur 15 mois (mars 2022 – mai 2023) : déplacements,</w:t>
      </w:r>
      <w:r>
        <w:t xml:space="preserve"> </w:t>
      </w:r>
      <w:r>
        <w:t xml:space="preserve">affectations professionnelles, transactions financières et interactions sociales. La</w:t>
      </w:r>
      <w:r>
        <w:t xml:space="preserve"> </w:t>
      </w:r>
      <w:r>
        <w:t xml:space="preserve">municipalité souhaite exploiter ces informations pour orienter ses politiques publiques —</w:t>
      </w:r>
      <w:r>
        <w:t xml:space="preserve"> </w:t>
      </w:r>
      <w:r>
        <w:t xml:space="preserve">notamment l’allocation d’une subvention de renouvellement urbain.</w:t>
      </w:r>
    </w:p>
    <w:p>
      <w:pPr>
        <w:pStyle w:val="BodyText"/>
      </w:pPr>
      <w:r>
        <w:rPr>
          <w:b/>
          <w:bCs/>
        </w:rPr>
        <w:t xml:space="preserve">Utilisateurs cibles.</w:t>
      </w:r>
      <w:r>
        <w:t xml:space="preserve"> </w:t>
      </w:r>
      <w:r>
        <w:t xml:space="preserve">Les décideurs municipaux chargés de ces politiques. Ils n’ont pas</w:t>
      </w:r>
      <w:r>
        <w:t xml:space="preserve"> </w:t>
      </w:r>
      <w:r>
        <w:t xml:space="preserve">d’expertise en analyse de données et ont besoin d’un outil visuel leur permettant d’explorer</w:t>
      </w:r>
      <w:r>
        <w:t xml:space="preserve"> </w:t>
      </w:r>
      <w:r>
        <w:t xml:space="preserve">la dynamique économique de la ville sous trois angles complémentaires : la prospérité des</w:t>
      </w:r>
      <w:r>
        <w:t xml:space="preserve"> </w:t>
      </w:r>
      <w:r>
        <w:t xml:space="preserve">entreprises (Q1), le bien-être financier des résidents (Q2) et la stabilité de l’emploi (Q3).</w:t>
      </w:r>
    </w:p>
    <w:p>
      <w:pPr>
        <w:pStyle w:val="BodyText"/>
      </w:pPr>
      <w:r>
        <w:rPr>
          <w:b/>
          <w:bCs/>
        </w:rPr>
        <w:t xml:space="preserve">Questions analytiques.</w:t>
      </w:r>
      <w:r>
        <w:t xml:space="preserve"> </w:t>
      </w:r>
      <w:r>
        <w:t xml:space="preserve">Le mini-challenge économique pose trois questions, que nous</w:t>
      </w:r>
      <w:r>
        <w:t xml:space="preserve"> </w:t>
      </w:r>
      <w:r>
        <w:t xml:space="preserve">traitons chacune dans un tableau de bord dédié au sein d’une application à onglets. Les</w:t>
      </w:r>
      <w:r>
        <w:t xml:space="preserve"> </w:t>
      </w:r>
      <w:r>
        <w:t xml:space="preserve">sous-sections suivantes caractérisent le domaine propre à chaque question.</w:t>
      </w:r>
    </w:p>
    <w:p>
      <w:pPr>
        <w:pStyle w:val="BodyText"/>
      </w:pPr>
      <w:r>
        <w:t xml:space="preserve">Le risque principal au niveau 1 est la menace de non-adoption à long terme (Munzner, 2014,</w:t>
      </w:r>
      <w:r>
        <w:t xml:space="preserve"> </w:t>
      </w:r>
      <w:r>
        <w:t xml:space="preserve">ch. 2) : si l’outil ne répond pas aux véritables besoins des décideurs, il ne sera pas utilisé.</w:t>
      </w:r>
      <w:r>
        <w:t xml:space="preserve"> </w:t>
      </w:r>
      <w:r>
        <w:t xml:space="preserve">Nous atténuons ce risque en ancrant chaque vue de chaque tableau de bord dans un objectif</w:t>
      </w:r>
      <w:r>
        <w:t xml:space="preserve"> </w:t>
      </w:r>
      <w:r>
        <w:t xml:space="preserve">analytique précis, identifié ci-dessous.</w:t>
      </w:r>
    </w:p>
    <w:bookmarkEnd w:id="10"/>
    <w:bookmarkStart w:id="11" w:name="q1-prospérité-des-employeurs"/>
    <w:p>
      <w:pPr>
        <w:pStyle w:val="Heading3"/>
      </w:pPr>
      <w:r>
        <w:t xml:space="preserve">2.2. Q1 — Prospérité des employeurs</w:t>
      </w:r>
    </w:p>
    <w:p>
      <w:pPr>
        <w:pStyle w:val="FirstParagraph"/>
      </w:pPr>
      <w:r>
        <w:rPr>
          <w:b/>
          <w:bCs/>
        </w:rPr>
        <w:t xml:space="preserve">Question.</w:t>
      </w:r>
      <w:r>
        <w:t xml:space="preserve"> </w:t>
      </w:r>
      <w:r>
        <w:rPr>
          <w:i/>
          <w:iCs/>
        </w:rPr>
        <w:t xml:space="preserve">Quelles entreprises semblent prospères ? Lesquelles semblent en difficulté ?</w:t>
      </w:r>
      <w:r>
        <w:t xml:space="preserve"> </w:t>
      </w:r>
      <w:r>
        <w:t xml:space="preserve">L’utilisateur doit pouvoir répondre à cette question en explorant visuellement la dynamique</w:t>
      </w:r>
      <w:r>
        <w:t xml:space="preserve"> </w:t>
      </w:r>
      <w:r>
        <w:t xml:space="preserve">économique des 253 employeurs du jeu de données.</w:t>
      </w:r>
    </w:p>
    <w:p>
      <w:pPr>
        <w:pStyle w:val="BodyText"/>
      </w:pPr>
      <w:r>
        <w:t xml:space="preserve">En l’absence de chiffre d’affaires directement disponible, nous définissons deux indicateurs</w:t>
      </w:r>
      <w:r>
        <w:t xml:space="preserve"> </w:t>
      </w:r>
      <w:r>
        <w:t xml:space="preserve">indirects de santé économique 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Prospérité</w:t>
      </w:r>
      <w:r>
        <w:t xml:space="preserve"> </w:t>
      </w:r>
      <w:r>
        <w:t xml:space="preserve">: croissance ou stabilité des effectifs accompagnée d’une masse salariale</w:t>
      </w:r>
      <w:r>
        <w:t xml:space="preserve"> </w:t>
      </w:r>
      <w:r>
        <w:t xml:space="preserve">constante ou croissante — signe que l’entreprise génère assez de revenus pour recruter et</w:t>
      </w:r>
      <w:r>
        <w:t xml:space="preserve"> </w:t>
      </w:r>
      <w:r>
        <w:t xml:space="preserve">rémunérer ses salariés.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Difficulté</w:t>
      </w:r>
      <w:r>
        <w:t xml:space="preserve"> </w:t>
      </w:r>
      <w:r>
        <w:t xml:space="preserve">: baisse du nombre d’employés ou diminution drastique des salaires versés —</w:t>
      </w:r>
      <w:r>
        <w:t xml:space="preserve"> </w:t>
      </w:r>
      <w:r>
        <w:t xml:space="preserve">signal que l’entreprise n’a plus les moyens de soutenir son activité.</w:t>
      </w:r>
    </w:p>
    <w:p>
      <w:pPr>
        <w:pStyle w:val="FirstParagraph"/>
      </w:pPr>
      <w:r>
        <w:rPr>
          <w:b/>
          <w:bCs/>
        </w:rPr>
        <w:t xml:space="preserve">Objectifs analytiques.</w:t>
      </w:r>
      <w:r>
        <w:t xml:space="preserve"> </w:t>
      </w:r>
      <w:r>
        <w:t xml:space="preserve">La question Q1 se décompose en objectifs concrets :</w:t>
      </w:r>
    </w:p>
    <w:p>
      <w:pPr>
        <w:pStyle w:val="Compact"/>
        <w:numPr>
          <w:ilvl w:val="0"/>
          <w:numId w:val="1003"/>
        </w:numPr>
      </w:pPr>
      <w:r>
        <w:t xml:space="preserve">Observer l’évolution temporelle de la santé financière de chaque employeur.</w:t>
      </w:r>
    </w:p>
    <w:p>
      <w:pPr>
        <w:pStyle w:val="Compact"/>
        <w:numPr>
          <w:ilvl w:val="0"/>
          <w:numId w:val="1003"/>
        </w:numPr>
      </w:pPr>
      <w:r>
        <w:t xml:space="preserve">Comparer les trajectoires des employeurs entre eux pour distinguer les performants des</w:t>
      </w:r>
      <w:r>
        <w:t xml:space="preserve"> </w:t>
      </w:r>
      <w:r>
        <w:t xml:space="preserve">défaillants.</w:t>
      </w:r>
    </w:p>
    <w:p>
      <w:pPr>
        <w:pStyle w:val="Compact"/>
        <w:numPr>
          <w:ilvl w:val="0"/>
          <w:numId w:val="1003"/>
        </w:numPr>
      </w:pPr>
      <w:r>
        <w:t xml:space="preserve">Identifier les cas extrêmes — les employeurs les plus prospères et les plus en difficulté.</w:t>
      </w:r>
    </w:p>
    <w:p>
      <w:pPr>
        <w:pStyle w:val="Compact"/>
        <w:numPr>
          <w:ilvl w:val="0"/>
          <w:numId w:val="1003"/>
        </w:numPr>
      </w:pPr>
      <w:r>
        <w:t xml:space="preserve">Vérifier si les indicateurs convergent (un employeur qui gagne en effectif gagne-t-il aussi</w:t>
      </w:r>
      <w:r>
        <w:t xml:space="preserve"> </w:t>
      </w:r>
      <w:r>
        <w:t xml:space="preserve">en masse salariale ?).</w:t>
      </w:r>
    </w:p>
    <w:bookmarkEnd w:id="11"/>
    <w:bookmarkStart w:id="12" w:name="q2-santé-financière-des-résidents"/>
    <w:p>
      <w:pPr>
        <w:pStyle w:val="Heading3"/>
      </w:pPr>
      <w:r>
        <w:t xml:space="preserve">2.3. Q2 — Santé financière des résidents</w:t>
      </w:r>
    </w:p>
    <w:p>
      <w:pPr>
        <w:pStyle w:val="FirstParagraph"/>
      </w:pPr>
      <w:r>
        <w:rPr>
          <w:b/>
          <w:bCs/>
        </w:rPr>
        <w:t xml:space="preserve">Question.</w:t>
      </w:r>
      <w:r>
        <w:t xml:space="preserve"> </w:t>
      </w:r>
      <w:r>
        <w:rPr>
          <w:i/>
          <w:iCs/>
        </w:rPr>
        <w:t xml:space="preserve">Comment évoluent les revenus, les dépenses et l’épargne des résidents au fil des</w:t>
      </w:r>
      <w:r>
        <w:rPr>
          <w:i/>
          <w:iCs/>
        </w:rPr>
        <w:t xml:space="preserve"> </w:t>
      </w:r>
      <w:r>
        <w:rPr>
          <w:i/>
          <w:iCs/>
        </w:rPr>
        <w:t xml:space="preserve">15 mois ?</w:t>
      </w:r>
      <w:r>
        <w:t xml:space="preserve"> </w:t>
      </w:r>
      <w:r>
        <w:t xml:space="preserve">Les décideurs municipaux souhaitent évaluer la qualité de vie des résidents et</w:t>
      </w:r>
      <w:r>
        <w:t xml:space="preserve"> </w:t>
      </w:r>
      <w:r>
        <w:t xml:space="preserve">identifier ceux dont la situation financière se dégrade.</w:t>
      </w:r>
    </w:p>
    <w:p>
      <w:pPr>
        <w:pStyle w:val="BodyText"/>
      </w:pPr>
      <w:r>
        <w:t xml:space="preserve">Les données du Financial Journal enregistrent six catégories de transactions pour chaque</w:t>
      </w:r>
      <w:r>
        <w:t xml:space="preserve"> </w:t>
      </w:r>
      <w:r>
        <w:t xml:space="preserve">résident : salaires (</w:t>
      </w:r>
      <w:r>
        <w:rPr>
          <w:i/>
          <w:iCs/>
        </w:rPr>
        <w:t xml:space="preserve">Wage</w:t>
      </w:r>
      <w:r>
        <w:t xml:space="preserve">), logement (</w:t>
      </w:r>
      <w:r>
        <w:rPr>
          <w:i/>
          <w:iCs/>
        </w:rPr>
        <w:t xml:space="preserve">Shelter</w:t>
      </w:r>
      <w:r>
        <w:t xml:space="preserve">), alimentation (</w:t>
      </w:r>
      <w:r>
        <w:rPr>
          <w:i/>
          <w:iCs/>
        </w:rPr>
        <w:t xml:space="preserve">Food</w:t>
      </w:r>
      <w:r>
        <w:t xml:space="preserve">), loisirs</w:t>
      </w:r>
      <w:r>
        <w:t xml:space="preserve"> </w:t>
      </w:r>
      <w:r>
        <w:t xml:space="preserve">(</w:t>
      </w:r>
      <w:r>
        <w:rPr>
          <w:i/>
          <w:iCs/>
        </w:rPr>
        <w:t xml:space="preserve">Recreation</w:t>
      </w:r>
      <w:r>
        <w:t xml:space="preserve">), éducation (</w:t>
      </w:r>
      <w:r>
        <w:rPr>
          <w:i/>
          <w:iCs/>
        </w:rPr>
        <w:t xml:space="preserve">Education</w:t>
      </w:r>
      <w:r>
        <w:t xml:space="preserve">) et ajustements de loyer (</w:t>
      </w:r>
      <w:r>
        <w:rPr>
          <w:i/>
          <w:iCs/>
        </w:rPr>
        <w:t xml:space="preserve">RentAdjustment</w:t>
      </w:r>
      <w:r>
        <w:t xml:space="preserve">). La table</w:t>
      </w:r>
      <w:r>
        <w:t xml:space="preserve"> </w:t>
      </w:r>
      <w:r>
        <w:t xml:space="preserve">Participants fournit les attributs démographiques (âge, taille du ménage, enfants, niveau</w:t>
      </w:r>
      <w:r>
        <w:t xml:space="preserve"> </w:t>
      </w:r>
      <w:r>
        <w:t xml:space="preserve">d’éducation, jovialité).</w:t>
      </w:r>
    </w:p>
    <w:p>
      <w:pPr>
        <w:pStyle w:val="BodyText"/>
      </w:pPr>
      <w:r>
        <w:rPr>
          <w:b/>
          <w:bCs/>
        </w:rPr>
        <w:t xml:space="preserve">Objectifs analytiques.</w:t>
      </w:r>
      <w:r>
        <w:t xml:space="preserve"> </w:t>
      </w:r>
      <w:r>
        <w:t xml:space="preserve">La question Q2 se décompose en objectifs concrets :</w:t>
      </w:r>
    </w:p>
    <w:p>
      <w:pPr>
        <w:pStyle w:val="Compact"/>
        <w:numPr>
          <w:ilvl w:val="0"/>
          <w:numId w:val="1004"/>
        </w:numPr>
      </w:pPr>
      <w:r>
        <w:t xml:space="preserve">Observer l’évolution des revenus et des dépenses des résidents au fil du temps.</w:t>
      </w:r>
    </w:p>
    <w:p>
      <w:pPr>
        <w:pStyle w:val="Compact"/>
        <w:numPr>
          <w:ilvl w:val="0"/>
          <w:numId w:val="1004"/>
        </w:numPr>
      </w:pPr>
      <w:r>
        <w:t xml:space="preserve">Comparer les profils financiers entre résidents pour distinguer les trajectoires favorables</w:t>
      </w:r>
      <w:r>
        <w:t xml:space="preserve"> </w:t>
      </w:r>
      <w:r>
        <w:t xml:space="preserve">des trajectoires défavorables.</w:t>
      </w:r>
    </w:p>
    <w:p>
      <w:pPr>
        <w:pStyle w:val="Compact"/>
        <w:numPr>
          <w:ilvl w:val="0"/>
          <w:numId w:val="1004"/>
        </w:numPr>
      </w:pPr>
      <w:r>
        <w:t xml:space="preserve">Identifier des clusters de résidents aux trajectoires similaires (amélioration, stabilité,</w:t>
      </w:r>
      <w:r>
        <w:t xml:space="preserve"> </w:t>
      </w:r>
      <w:r>
        <w:t xml:space="preserve">déclin).</w:t>
      </w:r>
    </w:p>
    <w:p>
      <w:pPr>
        <w:pStyle w:val="Compact"/>
        <w:numPr>
          <w:ilvl w:val="0"/>
          <w:numId w:val="1004"/>
        </w:numPr>
      </w:pPr>
      <w:r>
        <w:t xml:space="preserve">Détecter les résidents en situation extrême — outliers dont le solde net diverge fortement</w:t>
      </w:r>
      <w:r>
        <w:t xml:space="preserve"> </w:t>
      </w:r>
      <w:r>
        <w:t xml:space="preserve">de la tendance générale.</w:t>
      </w:r>
    </w:p>
    <w:bookmarkEnd w:id="12"/>
    <w:bookmarkStart w:id="13" w:name="q3-dynamique-demploi-et-turnover"/>
    <w:p>
      <w:pPr>
        <w:pStyle w:val="Heading3"/>
      </w:pPr>
      <w:r>
        <w:t xml:space="preserve">2.4. Q3 — Dynamique d’emploi et turnover</w:t>
      </w:r>
    </w:p>
    <w:p>
      <w:pPr>
        <w:pStyle w:val="FirstParagraph"/>
      </w:pPr>
      <w:r>
        <w:rPr>
          <w:b/>
          <w:bCs/>
        </w:rPr>
        <w:t xml:space="preserve">Question.</w:t>
      </w:r>
      <w:r>
        <w:t xml:space="preserve"> </w:t>
      </w:r>
      <w:r>
        <w:rPr>
          <w:i/>
          <w:iCs/>
        </w:rPr>
        <w:t xml:space="preserve">Quels employeurs connaissent un fort turnover, lesquels fidélisent leurs</w:t>
      </w:r>
      <w:r>
        <w:rPr>
          <w:i/>
          <w:iCs/>
        </w:rPr>
        <w:t xml:space="preserve"> </w:t>
      </w:r>
      <w:r>
        <w:rPr>
          <w:i/>
          <w:iCs/>
        </w:rPr>
        <w:t xml:space="preserve">employés, et qu’est-ce qui caractérise chaque groupe ?</w:t>
      </w:r>
      <w:r>
        <w:t xml:space="preserve"> </w:t>
      </w:r>
      <w:r>
        <w:t xml:space="preserve">Les décideurs municipaux souhaitent</w:t>
      </w:r>
      <w:r>
        <w:t xml:space="preserve"> </w:t>
      </w:r>
      <w:r>
        <w:t xml:space="preserve">examiner la stabilité de l’emploi pour orienter les politiques de soutien à l’emploi.</w:t>
      </w:r>
    </w:p>
    <w:p>
      <w:pPr>
        <w:pStyle w:val="BodyText"/>
      </w:pPr>
      <w:r>
        <w:t xml:space="preserve">Les Activity Logs enregistrent l’affectation de chaque résident à un emploi (</w:t>
      </w:r>
      <w:r>
        <w:rPr>
          <w:i/>
          <w:iCs/>
        </w:rPr>
        <w:t xml:space="preserve">jobId</w:t>
      </w:r>
      <w:r>
        <w:t xml:space="preserve">) à chaque</w:t>
      </w:r>
      <w:r>
        <w:t xml:space="preserve"> </w:t>
      </w:r>
      <w:r>
        <w:t xml:space="preserve">pas de 5 minutes sur 15 mois. La table Jobs relie chaque emploi à un employeur et à un taux</w:t>
      </w:r>
      <w:r>
        <w:t xml:space="preserve"> </w:t>
      </w:r>
      <w:r>
        <w:t xml:space="preserve">horaire. En croisant ces deux sources, il est possible de reconstituer les flux d’arrivées et</w:t>
      </w:r>
      <w:r>
        <w:t xml:space="preserve"> </w:t>
      </w:r>
      <w:r>
        <w:t xml:space="preserve">de départs mensuels chez chaque employeur.</w:t>
      </w:r>
    </w:p>
    <w:p>
      <w:pPr>
        <w:pStyle w:val="BodyText"/>
      </w:pPr>
      <w:r>
        <w:rPr>
          <w:b/>
          <w:bCs/>
        </w:rPr>
        <w:t xml:space="preserve">Objectifs analytiques.</w:t>
      </w:r>
      <w:r>
        <w:t xml:space="preserve"> </w:t>
      </w:r>
      <w:r>
        <w:t xml:space="preserve">La question Q3 se décompose en objectifs concrets :</w:t>
      </w:r>
    </w:p>
    <w:p>
      <w:pPr>
        <w:pStyle w:val="Compact"/>
        <w:numPr>
          <w:ilvl w:val="0"/>
          <w:numId w:val="1005"/>
        </w:numPr>
      </w:pPr>
      <w:r>
        <w:t xml:space="preserve">Analyser les patterns de turnover au fil du temps pour chaque employeur.</w:t>
      </w:r>
    </w:p>
    <w:p>
      <w:pPr>
        <w:pStyle w:val="Compact"/>
        <w:numPr>
          <w:ilvl w:val="0"/>
          <w:numId w:val="1005"/>
        </w:numPr>
      </w:pPr>
      <w:r>
        <w:t xml:space="preserve">Comparer la stabilité des employeurs entre eux pour distinguer les fidélisateurs des</w:t>
      </w:r>
      <w:r>
        <w:t xml:space="preserve"> </w:t>
      </w:r>
      <w:r>
        <w:t xml:space="preserve">employeurs à forte rotation.</w:t>
      </w:r>
    </w:p>
    <w:p>
      <w:pPr>
        <w:pStyle w:val="Compact"/>
        <w:numPr>
          <w:ilvl w:val="0"/>
          <w:numId w:val="1005"/>
        </w:numPr>
      </w:pPr>
      <w:r>
        <w:t xml:space="preserve">Identifier les employeurs aux extrêmes — fort turnover ou très grande stabilité.</w:t>
      </w:r>
    </w:p>
    <w:p>
      <w:pPr>
        <w:pStyle w:val="Compact"/>
        <w:numPr>
          <w:ilvl w:val="0"/>
          <w:numId w:val="1005"/>
        </w:numPr>
      </w:pPr>
      <w:r>
        <w:t xml:space="preserve">Corréler le turnover avec la taille de l’employeur et le niveau de rémunération.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33" w:name="X6d4e1487d37c541077dba7a83d13163e022c66a"/>
    <w:p>
      <w:pPr>
        <w:pStyle w:val="Heading2"/>
      </w:pPr>
      <w:r>
        <w:t xml:space="preserve">3. Abstraction des données et des tâches (Munzner — niveau 2)</w:t>
      </w:r>
    </w:p>
    <w:p>
      <w:pPr>
        <w:pStyle w:val="FirstParagraph"/>
      </w:pPr>
      <w:r>
        <w:t xml:space="preserve">Le deuxième niveau du modèle imbriqué traduit le problème de domaine en termes abstraits :</w:t>
      </w:r>
      <w:r>
        <w:t xml:space="preserve"> </w:t>
      </w:r>
      <w:r>
        <w:t xml:space="preserve">quelles sont les structures de données manipulées, quels types d’attributs portent-elles, et</w:t>
      </w:r>
      <w:r>
        <w:t xml:space="preserve"> </w:t>
      </w:r>
      <w:r>
        <w:t xml:space="preserve">quelles opérations abstraites l’utilisateur doit-il effectuer ? La classification des attributs</w:t>
      </w:r>
      <w:r>
        <w:t xml:space="preserve"> </w:t>
      </w:r>
      <w:r>
        <w:t xml:space="preserve">suit la taxonomie de Munzner (2014, ch. 2) telle que présentée dans le cours (Ghoniem &amp; Médoc,</w:t>
      </w:r>
      <w:r>
        <w:t xml:space="preserve"> </w:t>
      </w:r>
      <w:r>
        <w:t xml:space="preserve">2026,</w:t>
      </w:r>
      <w:r>
        <w:t xml:space="preserve"> </w:t>
      </w:r>
      <w:r>
        <w:rPr>
          <w:i/>
          <w:iCs/>
        </w:rPr>
        <w:t xml:space="preserve">Introduction</w:t>
      </w:r>
      <w:r>
        <w:t xml:space="preserve">, p. 32), et les tâches sont formulées selon la taxonomie actions → cibles</w:t>
      </w:r>
      <w:r>
        <w:t xml:space="preserve"> </w:t>
      </w:r>
      <w:r>
        <w:t xml:space="preserve">(Ghoniem &amp; Médoc, 2026,</w:t>
      </w:r>
      <w:r>
        <w:t xml:space="preserve"> </w:t>
      </w:r>
      <w:r>
        <w:rPr>
          <w:i/>
          <w:iCs/>
        </w:rPr>
        <w:t xml:space="preserve">Introduction</w:t>
      </w:r>
      <w:r>
        <w:t xml:space="preserve">, p. 70–72).</w:t>
      </w:r>
    </w:p>
    <w:bookmarkStart w:id="20" w:name="q1-données-et-tâches"/>
    <w:p>
      <w:pPr>
        <w:pStyle w:val="Heading3"/>
      </w:pPr>
      <w:r>
        <w:t xml:space="preserve">3.1. Q1 — données et tâches</w:t>
      </w:r>
    </w:p>
    <w:bookmarkStart w:id="15" w:name="tables-et-chemin-de-jointure"/>
    <w:p>
      <w:pPr>
        <w:pStyle w:val="Heading4"/>
      </w:pPr>
      <w:r>
        <w:t xml:space="preserve">3.1.1. Tables et chemin de jointure</w:t>
      </w:r>
    </w:p>
    <w:p>
      <w:pPr>
        <w:pStyle w:val="FirstParagraph"/>
      </w:pPr>
      <w:r>
        <w:t xml:space="preserve">Pour répondre à Q1, nous mobilisons quatre sources de données (Benerrazam, Mathis, Ngouanat &amp; Maraj, 2025,</w:t>
      </w:r>
      <w:r>
        <w:t xml:space="preserve"> </w:t>
      </w:r>
      <w:r>
        <w:t xml:space="preserve">sec. 1.1)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2640"/>
        <w:gridCol w:w="192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Fichier(s)</w:t>
            </w:r>
          </w:p>
        </w:tc>
        <w:tc>
          <w:tcPr/>
          <w:p>
            <w:pPr>
              <w:pStyle w:val="Compact"/>
            </w:pPr>
            <w:r>
              <w:t xml:space="preserve">Lignes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 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ParticipantStatusLogs{1..72}.csv</w:t>
            </w:r>
          </w:p>
        </w:tc>
        <w:tc>
          <w:tcPr/>
          <w:p>
            <w:pPr>
              <w:pStyle w:val="Compact"/>
            </w:pPr>
            <w:r>
              <w:t xml:space="preserve">113 923 735</w:t>
            </w:r>
          </w:p>
        </w:tc>
        <w:tc>
          <w:tcPr/>
          <w:p>
            <w:pPr>
              <w:pStyle w:val="Compact"/>
            </w:pPr>
            <w:r>
              <w:t xml:space="preserve">Table de faits principale : relie chaque participant à son</w:t>
            </w:r>
            <w:r>
              <w:t xml:space="preserve"> </w:t>
            </w:r>
            <w:r>
              <w:rPr>
                <w:rStyle w:val="VerbatimChar"/>
              </w:rPr>
              <w:t xml:space="preserve">jobId</w:t>
            </w:r>
            <w:r>
              <w:t xml:space="preserve"> </w:t>
            </w:r>
            <w:r>
              <w:t xml:space="preserve">à chaque instant (pas de 5 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Attributes/Jobs.csv</w:t>
            </w:r>
          </w:p>
        </w:tc>
        <w:tc>
          <w:tcPr/>
          <w:p>
            <w:pPr>
              <w:pStyle w:val="Compact"/>
            </w:pPr>
            <w:r>
              <w:t xml:space="preserve">1 328</w:t>
            </w:r>
          </w:p>
        </w:tc>
        <w:tc>
          <w:tcPr/>
          <w:p>
            <w:pPr>
              <w:pStyle w:val="Compact"/>
            </w:pPr>
            <w:r>
              <w:t xml:space="preserve">Table de dimension : relie chaque</w:t>
            </w:r>
            <w:r>
              <w:t xml:space="preserve"> </w:t>
            </w:r>
            <w:r>
              <w:rPr>
                <w:rStyle w:val="VerbatimChar"/>
              </w:rPr>
              <w:t xml:space="preserve">jobId</w:t>
            </w:r>
            <w:r>
              <w:t xml:space="preserve"> </w:t>
            </w:r>
            <w:r>
              <w:t xml:space="preserve">à un</w:t>
            </w:r>
            <w:r>
              <w:t xml:space="preserve"> </w:t>
            </w:r>
            <w:r>
              <w:rPr>
                <w:rStyle w:val="VerbatimChar"/>
              </w:rPr>
              <w:t xml:space="preserve">employerId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Attributes/Employers.csv</w:t>
            </w:r>
          </w:p>
        </w:tc>
        <w:tc>
          <w:tcPr/>
          <w:p>
            <w:pPr>
              <w:pStyle w:val="Compact"/>
            </w:pPr>
            <w:r>
              <w:t xml:space="preserve">253</w:t>
            </w:r>
          </w:p>
        </w:tc>
        <w:tc>
          <w:tcPr/>
          <w:p>
            <w:pPr>
              <w:pStyle w:val="Compact"/>
            </w:pPr>
            <w:r>
              <w:t xml:space="preserve">Table de dimension : liste des 253 employeurs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Financial Journal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FinancialJournal.csv</w:t>
            </w:r>
          </w:p>
        </w:tc>
        <w:tc>
          <w:tcPr/>
          <w:p>
            <w:pPr>
              <w:pStyle w:val="Compact"/>
            </w:pPr>
            <w:r>
              <w:t xml:space="preserve">1 856 330</w:t>
            </w:r>
          </w:p>
        </w:tc>
        <w:tc>
          <w:tcPr/>
          <w:p>
            <w:pPr>
              <w:pStyle w:val="Compact"/>
            </w:pPr>
            <w:r>
              <w:t xml:space="preserve">Table de faits : transactions de type « Wage » (salaires versés)</w:t>
            </w:r>
          </w:p>
        </w:tc>
      </w:tr>
    </w:tbl>
    <w:p>
      <w:pPr>
        <w:pStyle w:val="BodyText"/>
      </w:pPr>
      <w:r>
        <w:t xml:space="preserve">Le chemin de jointure qui relie un participant à son employeur traverse deux clés étrangères :</w:t>
      </w:r>
    </w:p>
    <w:p>
      <w:pPr>
        <w:pStyle w:val="BlockText"/>
      </w:pPr>
      <w:r>
        <w:rPr>
          <w:b/>
          <w:bCs/>
        </w:rPr>
        <w:t xml:space="preserve">Activity Logs</w:t>
      </w:r>
      <w:r>
        <w:t xml:space="preserve"> </w:t>
      </w:r>
      <w:r>
        <w:t xml:space="preserve">(</w:t>
      </w:r>
      <w:r>
        <w:rPr>
          <w:rStyle w:val="VerbatimChar"/>
        </w:rPr>
        <w:t xml:space="preserve">participantId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jobId</w:t>
      </w:r>
      <w:r>
        <w:t xml:space="preserve">) →</w:t>
      </w:r>
      <w:r>
        <w:t xml:space="preserve"> </w:t>
      </w:r>
      <w:r>
        <w:rPr>
          <w:b/>
          <w:bCs/>
        </w:rPr>
        <w:t xml:space="preserve">Jobs</w:t>
      </w:r>
      <w:r>
        <w:t xml:space="preserve"> </w:t>
      </w:r>
      <w:r>
        <w:t xml:space="preserve">(</w:t>
      </w:r>
      <w:r>
        <w:rPr>
          <w:rStyle w:val="VerbatimChar"/>
        </w:rPr>
        <w:t xml:space="preserve">jobId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employerId</w:t>
      </w:r>
      <w:r>
        <w:t xml:space="preserve">) →</w:t>
      </w:r>
      <w:r>
        <w:t xml:space="preserve"> </w:t>
      </w:r>
      <w:r>
        <w:rPr>
          <w:b/>
          <w:bCs/>
        </w:rPr>
        <w:t xml:space="preserve">Employers</w:t>
      </w:r>
      <w:r>
        <w:t xml:space="preserve"> </w:t>
      </w:r>
      <w:r>
        <w:t xml:space="preserve">(</w:t>
      </w:r>
      <w:r>
        <w:rPr>
          <w:rStyle w:val="VerbatimChar"/>
        </w:rPr>
        <w:t xml:space="preserve">employerId</w:t>
      </w:r>
      <w:r>
        <w:t xml:space="preserve">)</w:t>
      </w:r>
    </w:p>
    <w:p>
      <w:pPr>
        <w:pStyle w:val="FirstParagraph"/>
      </w:pPr>
      <w:r>
        <w:t xml:space="preserve">L’intégrité référentielle a été vérifiée : zéro clé orpheline entre ces trois tables. De même,</w:t>
      </w:r>
      <w:r>
        <w:t xml:space="preserve"> </w:t>
      </w:r>
      <w:r>
        <w:t xml:space="preserve">le Financial Journal est croisé avec Jobs via</w:t>
      </w:r>
      <w:r>
        <w:t xml:space="preserve"> </w:t>
      </w:r>
      <w:r>
        <w:rPr>
          <w:rStyle w:val="VerbatimChar"/>
        </w:rPr>
        <w:t xml:space="preserve">participantId</w:t>
      </w:r>
      <w:r>
        <w:t xml:space="preserve"> </w:t>
      </w:r>
      <w:r>
        <w:t xml:space="preserve">pour associer chaque salaire au</w:t>
      </w:r>
      <w:r>
        <w:t xml:space="preserve"> </w:t>
      </w:r>
      <w:r>
        <w:t xml:space="preserve">bon employeur.</w:t>
      </w:r>
    </w:p>
    <w:bookmarkEnd w:id="15"/>
    <w:bookmarkStart w:id="16" w:name="attributs-et-types-de-données"/>
    <w:p>
      <w:pPr>
        <w:pStyle w:val="Heading4"/>
      </w:pPr>
      <w:r>
        <w:t xml:space="preserve">3.1.2. Attributs et types de données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640"/>
        <w:gridCol w:w="1408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</w:t>
            </w:r>
          </w:p>
        </w:tc>
        <w:tc>
          <w:tcPr/>
          <w:p>
            <w:pPr>
              <w:pStyle w:val="Compact"/>
            </w:pPr>
            <w:r>
              <w:t xml:space="preserve">Type (Munzner)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Volumétrie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Quantitatif ordonné (séquentiel)</w:t>
            </w:r>
          </w:p>
        </w:tc>
        <w:tc>
          <w:tcPr/>
          <w:p>
            <w:pPr>
              <w:pStyle w:val="Compact"/>
            </w:pPr>
            <w:r>
              <w:t xml:space="preserve">Activity Logs</w:t>
            </w:r>
          </w:p>
        </w:tc>
        <w:tc>
          <w:tcPr/>
          <w:p>
            <w:pPr>
              <w:pStyle w:val="Compact"/>
            </w:pPr>
            <w:r>
              <w:t xml:space="preserve">15 mois, pas de 5 min (~112 775 instants distincts)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participantId</w:t>
            </w:r>
          </w:p>
        </w:tc>
        <w:tc>
          <w:tcPr/>
          <w:p>
            <w:pPr>
              <w:pStyle w:val="Compact"/>
            </w:pPr>
            <w:r>
              <w:t xml:space="preserve">Catégoriel (identifiant)</w:t>
            </w:r>
          </w:p>
        </w:tc>
        <w:tc>
          <w:tcPr/>
          <w:p>
            <w:pPr>
              <w:pStyle w:val="Compact"/>
            </w:pPr>
            <w:r>
              <w:t xml:space="preserve">Activity Logs</w:t>
            </w:r>
          </w:p>
        </w:tc>
        <w:tc>
          <w:tcPr/>
          <w:p>
            <w:pPr>
              <w:pStyle w:val="Compact"/>
            </w:pPr>
            <w:r>
              <w:t xml:space="preserve">1 011 participants distincts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jobId</w:t>
            </w:r>
          </w:p>
        </w:tc>
        <w:tc>
          <w:tcPr/>
          <w:p>
            <w:pPr>
              <w:pStyle w:val="Compact"/>
            </w:pPr>
            <w:r>
              <w:t xml:space="preserve">Catégoriel (clé étrangère → Jobs)</w:t>
            </w:r>
          </w:p>
        </w:tc>
        <w:tc>
          <w:tcPr/>
          <w:p>
            <w:pPr>
              <w:pStyle w:val="Compact"/>
            </w:pPr>
            <w:r>
              <w:t xml:space="preserve">Activity Logs + Jobs</w:t>
            </w:r>
          </w:p>
        </w:tc>
        <w:tc>
          <w:tcPr/>
          <w:p>
            <w:pPr>
              <w:pStyle w:val="Compact"/>
            </w:pPr>
            <w:r>
              <w:t xml:space="preserve">1 190 emplois distincts utilisés (sur 1 328)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employerId</w:t>
            </w:r>
          </w:p>
        </w:tc>
        <w:tc>
          <w:tcPr/>
          <w:p>
            <w:pPr>
              <w:pStyle w:val="Compact"/>
            </w:pPr>
            <w:r>
              <w:t xml:space="preserve">Catégoriel (identifiant)</w:t>
            </w:r>
          </w:p>
        </w:tc>
        <w:tc>
          <w:tcPr/>
          <w:p>
            <w:pPr>
              <w:pStyle w:val="Compact"/>
            </w:pPr>
            <w:r>
              <w:t xml:space="preserve">Jobs + Employers</w:t>
            </w:r>
          </w:p>
        </w:tc>
        <w:tc>
          <w:tcPr/>
          <w:p>
            <w:pPr>
              <w:pStyle w:val="Compact"/>
            </w:pPr>
            <w:r>
              <w:t xml:space="preserve">253 employeurs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Quantitatif continu</w:t>
            </w:r>
          </w:p>
        </w:tc>
        <w:tc>
          <w:tcPr/>
          <w:p>
            <w:pPr>
              <w:pStyle w:val="Compact"/>
            </w:pPr>
            <w:r>
              <w:t xml:space="preserve">Financial Journal</w:t>
            </w:r>
          </w:p>
        </w:tc>
        <w:tc>
          <w:tcPr/>
          <w:p>
            <w:pPr>
              <w:pStyle w:val="Compact"/>
            </w:pPr>
            <w:r>
              <w:t xml:space="preserve">Valeur des salaires versés (catégorie « Wage »)</w:t>
            </w:r>
          </w:p>
        </w:tc>
      </w:tr>
    </w:tbl>
    <w:bookmarkEnd w:id="16"/>
    <w:bookmarkStart w:id="17" w:name="attributs-dérivés"/>
    <w:p>
      <w:pPr>
        <w:pStyle w:val="Heading4"/>
      </w:pPr>
      <w:r>
        <w:t xml:space="preserve">3.1.3. Attributs dérivés</w:t>
      </w:r>
    </w:p>
    <w:p>
      <w:pPr>
        <w:pStyle w:val="FirstParagraph"/>
      </w:pPr>
      <w:r>
        <w:t xml:space="preserve">Les indicateurs que nous mesurons ne sont pas stockés directement ; ils résultent d’opérations</w:t>
      </w:r>
      <w:r>
        <w:t xml:space="preserve"> </w:t>
      </w:r>
      <w:r>
        <w:t xml:space="preserve">d’agrégation sur les données brutes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66"/>
        <w:gridCol w:w="1584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 dérivé</w:t>
            </w:r>
          </w:p>
        </w:tc>
        <w:tc>
          <w:tcPr/>
          <w:p>
            <w:pPr>
              <w:pStyle w:val="Compact"/>
            </w:pPr>
            <w:r>
              <w:t xml:space="preserve">Calcul</w:t>
            </w:r>
          </w:p>
        </w:tc>
        <w:tc>
          <w:tcPr/>
          <w:p>
            <w:pPr>
              <w:pStyle w:val="Compact"/>
            </w:pPr>
            <w:r>
              <w:t xml:space="preserve">Signification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Effectif mensuel par employeur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COUNT(DISTINCT participantId)</w:t>
            </w:r>
            <w:r>
              <w:t xml:space="preserve"> </w:t>
            </w:r>
            <w:r>
              <w:t xml:space="preserve">par</w:t>
            </w:r>
            <w:r>
              <w:t xml:space="preserve"> </w:t>
            </w:r>
            <w:r>
              <w:rPr>
                <w:rStyle w:val="VerbatimChar"/>
              </w:rPr>
              <w:t xml:space="preserve">employerId</w:t>
            </w:r>
            <w:r>
              <w:t xml:space="preserve"> </w:t>
            </w:r>
            <w:r>
              <w:t xml:space="preserve">et par mois, via jointure</w:t>
            </w:r>
            <w:r>
              <w:t xml:space="preserve"> </w:t>
            </w:r>
            <w:r>
              <w:rPr>
                <w:rStyle w:val="VerbatimChar"/>
              </w:rPr>
              <w:t xml:space="preserve">jobId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employerId</w:t>
            </w:r>
          </w:p>
        </w:tc>
        <w:tc>
          <w:tcPr/>
          <w:p>
            <w:pPr>
              <w:pStyle w:val="Compact"/>
            </w:pPr>
            <w:r>
              <w:t xml:space="preserve">Nombre d’employés actifs chez un employeur pour un mois donné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Masse salariale mensuelle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SUM(amount)</w:t>
            </w:r>
            <w:r>
              <w:t xml:space="preserve"> </w:t>
            </w:r>
            <w:r>
              <w:t xml:space="preserve">des lignes « Wage » par</w:t>
            </w:r>
            <w:r>
              <w:t xml:space="preserve"> </w:t>
            </w:r>
            <w:r>
              <w:rPr>
                <w:rStyle w:val="VerbatimChar"/>
              </w:rPr>
              <w:t xml:space="preserve">employerId</w:t>
            </w:r>
            <w:r>
              <w:t xml:space="preserve"> </w:t>
            </w:r>
            <w:r>
              <w:t xml:space="preserve">et par mois</w:t>
            </w:r>
          </w:p>
        </w:tc>
        <w:tc>
          <w:tcPr/>
          <w:p>
            <w:pPr>
              <w:pStyle w:val="Compact"/>
            </w:pPr>
            <w:r>
              <w:t xml:space="preserve">Puissance financière de l’entreprise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Pente salariale (</w:t>
            </w:r>
            <w:r>
              <w:rPr>
                <w:rStyle w:val="VerbatimChar"/>
              </w:rPr>
              <w:t xml:space="preserve">wage_slope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Régression linéaire de la masse salariale sur les 15 mois</w:t>
            </w:r>
          </w:p>
        </w:tc>
        <w:tc>
          <w:tcPr/>
          <w:p>
            <w:pPr>
              <w:pStyle w:val="Compact"/>
            </w:pPr>
            <w:r>
              <w:t xml:space="preserve">Direction de la tendance : positive (croissance), nulle (stabilité) ou négative (déclin)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Pente d’effectif (</w:t>
            </w:r>
            <w:r>
              <w:rPr>
                <w:rStyle w:val="VerbatimChar"/>
              </w:rPr>
              <w:t xml:space="preserve">employee_slope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Régression linéaire de l’effectif sur les 15 mois</w:t>
            </w:r>
          </w:p>
        </w:tc>
        <w:tc>
          <w:tcPr/>
          <w:p>
            <w:pPr>
              <w:pStyle w:val="Compact"/>
            </w:pPr>
            <w:r>
              <w:t xml:space="preserve">Même interprétation que ci-dessus, pour le nombre d’employés</w:t>
            </w:r>
          </w:p>
        </w:tc>
      </w:tr>
    </w:tbl>
    <w:p>
      <w:pPr>
        <w:pStyle w:val="BodyText"/>
      </w:pPr>
      <w:r>
        <w:t xml:space="preserve">La structure cible est une table agrégée de 253 employeurs × 15 mois = jusqu’à 3 795 lignes,</w:t>
      </w:r>
      <w:r>
        <w:t xml:space="preserve"> </w:t>
      </w:r>
      <w:r>
        <w:t xml:space="preserve">complétée par un résumé de 253 lignes contenant les pentes et les totaux par employeur.</w:t>
      </w:r>
    </w:p>
    <w:bookmarkEnd w:id="17"/>
    <w:bookmarkStart w:id="18" w:name="abstraction-des-tâches"/>
    <w:p>
      <w:pPr>
        <w:pStyle w:val="Heading4"/>
      </w:pPr>
      <w:r>
        <w:t xml:space="preserve">3.1.4. Abstraction des tâches</w:t>
      </w:r>
    </w:p>
    <w:p>
      <w:pPr>
        <w:pStyle w:val="FirstParagraph"/>
      </w:pPr>
      <w:r>
        <w:t xml:space="preserve">Suivant la taxonomie des actions et des cibles de Munzner (2014, ch. 3), telle qu’enseignée</w:t>
      </w:r>
      <w:r>
        <w:t xml:space="preserve"> </w:t>
      </w:r>
      <w:r>
        <w:t xml:space="preserve">dans le cours (Ghoniem &amp; Médoc, 2026,</w:t>
      </w:r>
      <w:r>
        <w:t xml:space="preserve"> </w:t>
      </w:r>
      <w:r>
        <w:rPr>
          <w:i/>
          <w:iCs/>
        </w:rPr>
        <w:t xml:space="preserve">Introduction</w:t>
      </w:r>
      <w:r>
        <w:t xml:space="preserve">, p. 70–72), la question Q1 se traduit en</w:t>
      </w:r>
      <w:r>
        <w:t xml:space="preserve"> </w:t>
      </w:r>
      <w:r>
        <w:t xml:space="preserve">quatre tâches abstraites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5"/>
        <w:gridCol w:w="4476"/>
        <w:gridCol w:w="22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Tâche</w:t>
            </w:r>
          </w:p>
        </w:tc>
        <w:tc>
          <w:tcPr/>
          <w:p>
            <w:pPr>
              <w:pStyle w:val="Compact"/>
            </w:pPr>
            <w:r>
              <w:t xml:space="preserve">Action → Cible (Munzner)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Analyser les tendances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Summarize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i/>
                <w:iCs/>
              </w:rPr>
              <w:t xml:space="preserve">Trends</w:t>
            </w:r>
          </w:p>
        </w:tc>
        <w:tc>
          <w:tcPr/>
          <w:p>
            <w:pPr>
              <w:pStyle w:val="Compact"/>
            </w:pPr>
            <w:r>
              <w:t xml:space="preserve">Observer l’évolution de l’effectif et de la masse salariale sur l’axe du temps pour chaque employeur. L’utilisateur doit percevoir la direction de la pente.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Comparer les employeurs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Compare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i/>
                <w:iCs/>
              </w:rPr>
              <w:t xml:space="preserve">Trends</w:t>
            </w:r>
          </w:p>
        </w:tc>
        <w:tc>
          <w:tcPr/>
          <w:p>
            <w:pPr>
              <w:pStyle w:val="Compact"/>
            </w:pPr>
            <w:r>
              <w:t xml:space="preserve">Juxtaposer les trajectoires de plusieurs entreprises pour distinguer celles qui surperforment de celles qui déclinent.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Identifier les cas extrêmes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Discover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i/>
                <w:iCs/>
              </w:rPr>
              <w:t xml:space="preserve">Outliers</w:t>
            </w:r>
          </w:p>
        </w:tc>
        <w:tc>
          <w:tcPr/>
          <w:p>
            <w:pPr>
              <w:pStyle w:val="Compact"/>
            </w:pPr>
            <w:r>
              <w:t xml:space="preserve">Repérer les entreprises aux extrêmes : plus forte croissance (prospères) et pertes les plus brutales (en difficulté).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Identifier les corrélations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Identify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i/>
                <w:iCs/>
              </w:rPr>
              <w:t xml:space="preserve">Correlation</w:t>
            </w:r>
          </w:p>
        </w:tc>
        <w:tc>
          <w:tcPr/>
          <w:p>
            <w:pPr>
              <w:pStyle w:val="Compact"/>
            </w:pPr>
            <w:r>
              <w:t xml:space="preserve">Vérifier si la croissance des effectifs est confirmée par une hausse proportionnelle de la masse salariale — ou si les deux indicateurs divergent.</w:t>
            </w:r>
          </w:p>
        </w:tc>
      </w:tr>
    </w:tbl>
    <w:bookmarkEnd w:id="18"/>
    <w:bookmarkStart w:id="19" w:name="opérations-sur-les-données"/>
    <w:p>
      <w:pPr>
        <w:pStyle w:val="Heading4"/>
      </w:pPr>
      <w:r>
        <w:t xml:space="preserve">3.1.5. Opérations sur les données</w:t>
      </w:r>
    </w:p>
    <w:p>
      <w:pPr>
        <w:pStyle w:val="FirstParagraph"/>
      </w:pPr>
      <w:r>
        <w:t xml:space="preserve">Pour réaliser ces tâches, le pipeline de transformation applique les opérations suivantes 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Jointure</w:t>
      </w:r>
      <w:r>
        <w:t xml:space="preserve"> </w:t>
      </w:r>
      <w:r>
        <w:t xml:space="preserve">: relier chaque participant à son employeur via Activity Logs ⋈ Jobs (</w:t>
      </w:r>
      <w:r>
        <w:rPr>
          <w:rStyle w:val="VerbatimChar"/>
        </w:rPr>
        <w:t xml:space="preserve">jobId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employerId</w:t>
      </w:r>
      <w:r>
        <w:t xml:space="preserve">), puis croiser avec le Financial Journal pour associer chaque salaire versé au bon employeur.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Filtrage</w:t>
      </w:r>
      <w:r>
        <w:t xml:space="preserve"> </w:t>
      </w:r>
      <w:r>
        <w:t xml:space="preserve">: isoler les transactions de catégorie « Wage » dans le Financial Journal.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Agrégation temporelle</w:t>
      </w:r>
      <w:r>
        <w:t xml:space="preserve"> </w:t>
      </w:r>
      <w:r>
        <w:t xml:space="preserve">: grouper par mois (</w:t>
      </w:r>
      <w:r>
        <w:rPr>
          <w:rStyle w:val="VerbatimChar"/>
        </w:rPr>
        <w:t xml:space="preserve">date_trunc</w:t>
      </w:r>
      <w:r>
        <w:t xml:space="preserve">) et par</w:t>
      </w:r>
      <w:r>
        <w:t xml:space="preserve"> </w:t>
      </w:r>
      <w:r>
        <w:rPr>
          <w:rStyle w:val="VerbatimChar"/>
        </w:rPr>
        <w:t xml:space="preserve">employerId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Calculs d’agrégat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COUNT(DISTINCT participantId)</w:t>
      </w:r>
      <w:r>
        <w:t xml:space="preserve"> </w:t>
      </w:r>
      <w:r>
        <w:t xml:space="preserve">pour l’effectif,</w:t>
      </w:r>
      <w:r>
        <w:t xml:space="preserve"> </w:t>
      </w:r>
      <w:r>
        <w:rPr>
          <w:rStyle w:val="VerbatimChar"/>
        </w:rPr>
        <w:t xml:space="preserve">SUM(amount)</w:t>
      </w:r>
      <w:r>
        <w:t xml:space="preserve"> </w:t>
      </w:r>
      <w:r>
        <w:t xml:space="preserve">pour la masse salariale.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Calcul de pente</w:t>
      </w:r>
      <w:r>
        <w:t xml:space="preserve"> </w:t>
      </w:r>
      <w:r>
        <w:t xml:space="preserve">: régression linéaire sur les 15 mois pour déterminer la tendance de chaque indicateur.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Tri et classement</w:t>
      </w:r>
      <w:r>
        <w:t xml:space="preserve"> </w:t>
      </w:r>
      <w:r>
        <w:t xml:space="preserve">: trier les employeurs par pente pour identifier les leaders et les entités à risque.</w:t>
      </w:r>
    </w:p>
    <w:bookmarkEnd w:id="19"/>
    <w:bookmarkEnd w:id="20"/>
    <w:bookmarkStart w:id="26" w:name="q2-données-et-tâches"/>
    <w:p>
      <w:pPr>
        <w:pStyle w:val="Heading3"/>
      </w:pPr>
      <w:r>
        <w:t xml:space="preserve">3.2. Q2 — données et tâches</w:t>
      </w:r>
    </w:p>
    <w:bookmarkStart w:id="21" w:name="tables-et-chemin-de-jointure-1"/>
    <w:p>
      <w:pPr>
        <w:pStyle w:val="Heading4"/>
      </w:pPr>
      <w:r>
        <w:t xml:space="preserve">3.2.1. Tables et chemin de jointure</w:t>
      </w:r>
    </w:p>
    <w:p>
      <w:pPr>
        <w:pStyle w:val="FirstParagraph"/>
      </w:pPr>
      <w:r>
        <w:t xml:space="preserve">Pour répondre à Q2, nous mobilisons deux sources de données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2640"/>
        <w:gridCol w:w="192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Fichier(s)</w:t>
            </w:r>
          </w:p>
        </w:tc>
        <w:tc>
          <w:tcPr/>
          <w:p>
            <w:pPr>
              <w:pStyle w:val="Compact"/>
            </w:pPr>
            <w:r>
              <w:t xml:space="preserve">Lignes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Financial Journal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FinancialJournal.csv</w:t>
            </w:r>
          </w:p>
        </w:tc>
        <w:tc>
          <w:tcPr/>
          <w:p>
            <w:pPr>
              <w:pStyle w:val="Compact"/>
            </w:pPr>
            <w:r>
              <w:t xml:space="preserve">1 856 330</w:t>
            </w:r>
          </w:p>
        </w:tc>
        <w:tc>
          <w:tcPr/>
          <w:p>
            <w:pPr>
              <w:pStyle w:val="Compact"/>
            </w:pPr>
            <w:r>
              <w:t xml:space="preserve">Table de faits : toutes les transactions (Wage, Shelter, Food, Recreation, Education, RentAdjustment) par résident et par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Attributes/Participants.csv</w:t>
            </w:r>
          </w:p>
        </w:tc>
        <w:tc>
          <w:tcPr/>
          <w:p>
            <w:pPr>
              <w:pStyle w:val="Compact"/>
            </w:pPr>
            <w:r>
              <w:t xml:space="preserve">1 011</w:t>
            </w:r>
          </w:p>
        </w:tc>
        <w:tc>
          <w:tcPr/>
          <w:p>
            <w:pPr>
              <w:pStyle w:val="Compact"/>
            </w:pPr>
            <w:r>
              <w:t xml:space="preserve">Table de dimension : attributs démographiques de chaque résident</w:t>
            </w:r>
          </w:p>
        </w:tc>
      </w:tr>
    </w:tbl>
    <w:p>
      <w:pPr>
        <w:pStyle w:val="BodyText"/>
      </w:pPr>
      <w:r>
        <w:t xml:space="preserve">Le chemin de jointure est direct :</w:t>
      </w:r>
    </w:p>
    <w:p>
      <w:pPr>
        <w:pStyle w:val="BlockText"/>
      </w:pPr>
      <w:r>
        <w:rPr>
          <w:b/>
          <w:bCs/>
        </w:rPr>
        <w:t xml:space="preserve">Financial Journal</w:t>
      </w:r>
      <w:r>
        <w:t xml:space="preserve"> </w:t>
      </w:r>
      <w:r>
        <w:t xml:space="preserve">(</w:t>
      </w:r>
      <w:r>
        <w:rPr>
          <w:rStyle w:val="VerbatimChar"/>
        </w:rPr>
        <w:t xml:space="preserve">participantId</w:t>
      </w:r>
      <w:r>
        <w:t xml:space="preserve">) →</w:t>
      </w:r>
      <w:r>
        <w:t xml:space="preserve"> </w:t>
      </w:r>
      <w:r>
        <w:rPr>
          <w:b/>
          <w:bCs/>
        </w:rPr>
        <w:t xml:space="preserve">Participants</w:t>
      </w:r>
      <w:r>
        <w:t xml:space="preserve"> </w:t>
      </w:r>
      <w:r>
        <w:t xml:space="preserve">(</w:t>
      </w:r>
      <w:r>
        <w:rPr>
          <w:rStyle w:val="VerbatimChar"/>
        </w:rPr>
        <w:t xml:space="preserve">participantId</w:t>
      </w:r>
      <w:r>
        <w:t xml:space="preserve">)</w:t>
      </w:r>
    </w:p>
    <w:bookmarkEnd w:id="21"/>
    <w:bookmarkStart w:id="22" w:name="attributs-et-types-de-données-1"/>
    <w:p>
      <w:pPr>
        <w:pStyle w:val="Heading4"/>
      </w:pPr>
      <w:r>
        <w:t xml:space="preserve">3.2.2. Attributs et types de données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640"/>
        <w:gridCol w:w="1408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</w:t>
            </w:r>
          </w:p>
        </w:tc>
        <w:tc>
          <w:tcPr/>
          <w:p>
            <w:pPr>
              <w:pStyle w:val="Compact"/>
            </w:pPr>
            <w:r>
              <w:t xml:space="preserve">Type (Munzner)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Volumétrie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participantId</w:t>
            </w:r>
          </w:p>
        </w:tc>
        <w:tc>
          <w:tcPr/>
          <w:p>
            <w:pPr>
              <w:pStyle w:val="Compact"/>
            </w:pPr>
            <w:r>
              <w:t xml:space="preserve">Catégoriel (identifiant)</w:t>
            </w:r>
          </w:p>
        </w:tc>
        <w:tc>
          <w:tcPr/>
          <w:p>
            <w:pPr>
              <w:pStyle w:val="Compact"/>
            </w:pPr>
            <w:r>
              <w:t xml:space="preserve">Financial Journal + Participants</w:t>
            </w:r>
          </w:p>
        </w:tc>
        <w:tc>
          <w:tcPr/>
          <w:p>
            <w:pPr>
              <w:pStyle w:val="Compact"/>
            </w:pPr>
            <w:r>
              <w:t xml:space="preserve">1 011 résidents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Quantitatif ordonné</w:t>
            </w:r>
          </w:p>
        </w:tc>
        <w:tc>
          <w:tcPr/>
          <w:p>
            <w:pPr>
              <w:pStyle w:val="Compact"/>
            </w:pPr>
            <w:r>
              <w:t xml:space="preserve">Financial Journal</w:t>
            </w:r>
          </w:p>
        </w:tc>
        <w:tc>
          <w:tcPr/>
          <w:p>
            <w:pPr>
              <w:pStyle w:val="Compact"/>
            </w:pPr>
            <w:r>
              <w:t xml:space="preserve">15 mois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Catégoriel nominal</w:t>
            </w:r>
          </w:p>
        </w:tc>
        <w:tc>
          <w:tcPr/>
          <w:p>
            <w:pPr>
              <w:pStyle w:val="Compact"/>
            </w:pPr>
            <w:r>
              <w:t xml:space="preserve">Financial Journal</w:t>
            </w:r>
          </w:p>
        </w:tc>
        <w:tc>
          <w:tcPr/>
          <w:p>
            <w:pPr>
              <w:pStyle w:val="Compact"/>
            </w:pPr>
            <w:r>
              <w:t xml:space="preserve">6 catégories de transactions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Quantitatif continu</w:t>
            </w:r>
          </w:p>
        </w:tc>
        <w:tc>
          <w:tcPr/>
          <w:p>
            <w:pPr>
              <w:pStyle w:val="Compact"/>
            </w:pPr>
            <w:r>
              <w:t xml:space="preserve">Financial Journal</w:t>
            </w:r>
          </w:p>
        </w:tc>
        <w:tc>
          <w:tcPr/>
          <w:p>
            <w:pPr>
              <w:pStyle w:val="Compact"/>
            </w:pPr>
            <w:r>
              <w:t xml:space="preserve">Montant de chaque transaction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Quantitatif continu</w:t>
            </w:r>
          </w:p>
        </w:tc>
        <w:tc>
          <w:tcPr/>
          <w:p>
            <w:pPr>
              <w:pStyle w:val="Compact"/>
            </w:pPr>
            <w:r>
              <w:t xml:space="preserve">Participants</w:t>
            </w:r>
          </w:p>
        </w:tc>
        <w:tc>
          <w:tcPr/>
          <w:p>
            <w:pPr>
              <w:pStyle w:val="Compact"/>
            </w:pPr>
            <w:r>
              <w:t xml:space="preserve">Âge du résident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householdSize</w:t>
            </w:r>
          </w:p>
        </w:tc>
        <w:tc>
          <w:tcPr/>
          <w:p>
            <w:pPr>
              <w:pStyle w:val="Compact"/>
            </w:pPr>
            <w:r>
              <w:t xml:space="preserve">Quantitatif discret</w:t>
            </w:r>
          </w:p>
        </w:tc>
        <w:tc>
          <w:tcPr/>
          <w:p>
            <w:pPr>
              <w:pStyle w:val="Compact"/>
            </w:pPr>
            <w:r>
              <w:t xml:space="preserve">Participants</w:t>
            </w:r>
          </w:p>
        </w:tc>
        <w:tc>
          <w:tcPr/>
          <w:p>
            <w:pPr>
              <w:pStyle w:val="Compact"/>
            </w:pPr>
            <w:r>
              <w:t xml:space="preserve">Taille du ménage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haveKids</w:t>
            </w:r>
          </w:p>
        </w:tc>
        <w:tc>
          <w:tcPr/>
          <w:p>
            <w:pPr>
              <w:pStyle w:val="Compact"/>
            </w:pPr>
            <w:r>
              <w:t xml:space="preserve">Catégoriel binaire</w:t>
            </w:r>
          </w:p>
        </w:tc>
        <w:tc>
          <w:tcPr/>
          <w:p>
            <w:pPr>
              <w:pStyle w:val="Compact"/>
            </w:pPr>
            <w:r>
              <w:t xml:space="preserve">Participants</w:t>
            </w:r>
          </w:p>
        </w:tc>
        <w:tc>
          <w:tcPr/>
          <w:p>
            <w:pPr>
              <w:pStyle w:val="Compact"/>
            </w:pPr>
            <w:r>
              <w:t xml:space="preserve">Présence d’enfants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educationLevel</w:t>
            </w:r>
          </w:p>
        </w:tc>
        <w:tc>
          <w:tcPr/>
          <w:p>
            <w:pPr>
              <w:pStyle w:val="Compact"/>
            </w:pPr>
            <w:r>
              <w:t xml:space="preserve">Catégoriel ordinal</w:t>
            </w:r>
          </w:p>
        </w:tc>
        <w:tc>
          <w:tcPr/>
          <w:p>
            <w:pPr>
              <w:pStyle w:val="Compact"/>
            </w:pPr>
            <w:r>
              <w:t xml:space="preserve">Participants</w:t>
            </w:r>
          </w:p>
        </w:tc>
        <w:tc>
          <w:tcPr/>
          <w:p>
            <w:pPr>
              <w:pStyle w:val="Compact"/>
            </w:pPr>
            <w:r>
              <w:t xml:space="preserve">Niveau d’éducation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joviality</w:t>
            </w:r>
          </w:p>
        </w:tc>
        <w:tc>
          <w:tcPr/>
          <w:p>
            <w:pPr>
              <w:pStyle w:val="Compact"/>
            </w:pPr>
            <w:r>
              <w:t xml:space="preserve">Quantitatif continu</w:t>
            </w:r>
          </w:p>
        </w:tc>
        <w:tc>
          <w:tcPr/>
          <w:p>
            <w:pPr>
              <w:pStyle w:val="Compact"/>
            </w:pPr>
            <w:r>
              <w:t xml:space="preserve">Participants</w:t>
            </w:r>
          </w:p>
        </w:tc>
        <w:tc>
          <w:tcPr/>
          <w:p>
            <w:pPr>
              <w:pStyle w:val="Compact"/>
            </w:pPr>
            <w:r>
              <w:t xml:space="preserve">Score de bien-être subjectif</w:t>
            </w:r>
          </w:p>
        </w:tc>
      </w:tr>
    </w:tbl>
    <w:bookmarkEnd w:id="22"/>
    <w:bookmarkStart w:id="23" w:name="attributs-dérivés-1"/>
    <w:p>
      <w:pPr>
        <w:pStyle w:val="Heading4"/>
      </w:pPr>
      <w:r>
        <w:t xml:space="preserve">3.2.3. Attributs dérivés</w:t>
      </w:r>
    </w:p>
    <w:p>
      <w:pPr>
        <w:pStyle w:val="FirstParagraph"/>
      </w:pPr>
      <w:r>
        <w:t xml:space="preserve">Le pipeline de prétraitement Q2 (</w:t>
      </w:r>
      <w:r>
        <w:rPr>
          <w:rStyle w:val="VerbatimChar"/>
        </w:rPr>
        <w:t xml:space="preserve">preprocess_q2.py</w:t>
      </w:r>
      <w:r>
        <w:t xml:space="preserve">) produit trois niveaux d’agrégation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66"/>
        <w:gridCol w:w="1584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 dérivé</w:t>
            </w:r>
          </w:p>
        </w:tc>
        <w:tc>
          <w:tcPr/>
          <w:p>
            <w:pPr>
              <w:pStyle w:val="Compact"/>
            </w:pPr>
            <w:r>
              <w:t xml:space="preserve">Calcul</w:t>
            </w:r>
          </w:p>
        </w:tc>
        <w:tc>
          <w:tcPr/>
          <w:p>
            <w:pPr>
              <w:pStyle w:val="Compact"/>
            </w:pPr>
            <w:r>
              <w:t xml:space="preserve">Signification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 mensuel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SUM(amount)</w:t>
            </w:r>
            <w:r>
              <w:t xml:space="preserve"> </w:t>
            </w:r>
            <w:r>
              <w:t xml:space="preserve">des lignes « Wage » par</w:t>
            </w:r>
            <w:r>
              <w:t xml:space="preserve"> </w:t>
            </w:r>
            <w:r>
              <w:rPr>
                <w:rStyle w:val="VerbatimChar"/>
              </w:rPr>
              <w:t xml:space="preserve">participantId</w:t>
            </w:r>
            <w:r>
              <w:t xml:space="preserve"> </w:t>
            </w:r>
            <w:r>
              <w:t xml:space="preserve">et par mois</w:t>
            </w:r>
          </w:p>
        </w:tc>
        <w:tc>
          <w:tcPr/>
          <w:p>
            <w:pPr>
              <w:pStyle w:val="Compact"/>
            </w:pPr>
            <w:r>
              <w:t xml:space="preserve">Salaire total perçu dans le mois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Dépenses mensuelles par catégorie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SUM(amount)</w:t>
            </w:r>
            <w:r>
              <w:t xml:space="preserve"> </w:t>
            </w:r>
            <w:r>
              <w:t xml:space="preserve">des lignes Shelter, Food, Recreation, Education par résident et par mois</w:t>
            </w:r>
          </w:p>
        </w:tc>
        <w:tc>
          <w:tcPr/>
          <w:p>
            <w:pPr>
              <w:pStyle w:val="Compact"/>
            </w:pPr>
            <w:r>
              <w:t xml:space="preserve">Ventilation des postes de dépenses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Solde net mensuel</w:t>
            </w:r>
          </w:p>
        </w:tc>
        <w:tc>
          <w:tcPr/>
          <w:p>
            <w:pPr>
              <w:pStyle w:val="Compact"/>
            </w:pPr>
            <w:r>
              <w:t xml:space="preserve">Revenu − somme des dépenses</w:t>
            </w:r>
          </w:p>
        </w:tc>
        <w:tc>
          <w:tcPr/>
          <w:p>
            <w:pPr>
              <w:pStyle w:val="Compact"/>
            </w:pPr>
            <w:r>
              <w:t xml:space="preserve">Capacité d’épargne (positif) ou déficit (négatif)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Pente du revenu (</w:t>
            </w:r>
            <w:r>
              <w:rPr>
                <w:rStyle w:val="VerbatimChar"/>
              </w:rPr>
              <w:t xml:space="preserve">income_slope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Régression linéaire du revenu sur les 15 mois</w:t>
            </w:r>
          </w:p>
        </w:tc>
        <w:tc>
          <w:tcPr/>
          <w:p>
            <w:pPr>
              <w:pStyle w:val="Compact"/>
            </w:pPr>
            <w:r>
              <w:t xml:space="preserve">Tendance haussière ou baissière du salaire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Pente du solde net (</w:t>
            </w:r>
            <w:r>
              <w:rPr>
                <w:rStyle w:val="VerbatimChar"/>
              </w:rPr>
              <w:t xml:space="preserve">net_balance_slope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Régression linéaire du solde net sur les 15 mois</w:t>
            </w:r>
          </w:p>
        </w:tc>
        <w:tc>
          <w:tcPr/>
          <w:p>
            <w:pPr>
              <w:pStyle w:val="Compact"/>
            </w:pPr>
            <w:r>
              <w:t xml:space="preserve">Trajectoire financière globale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</w:t>
            </w:r>
          </w:p>
        </w:tc>
        <w:tc>
          <w:tcPr/>
          <w:p>
            <w:pPr>
              <w:pStyle w:val="Compact"/>
            </w:pPr>
            <w:r>
              <w:t xml:space="preserve">KMeans sur</w:t>
            </w:r>
            <w:r>
              <w:t xml:space="preserve"> </w:t>
            </w:r>
            <w:r>
              <w:rPr>
                <w:rStyle w:val="VerbatimChar"/>
              </w:rPr>
              <w:t xml:space="preserve">[avg_income, income_slope, avg_net_balance, net_balance_slope]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choisi par méthode du coude</w:t>
            </w:r>
          </w:p>
        </w:tc>
        <w:tc>
          <w:tcPr/>
          <w:p>
            <w:pPr>
              <w:pStyle w:val="Compact"/>
            </w:pPr>
            <w:r>
              <w:t xml:space="preserve">Profil financier : Improving, Stable ou Declining</w:t>
            </w:r>
          </w:p>
        </w:tc>
      </w:tr>
    </w:tbl>
    <w:p>
      <w:pPr>
        <w:pStyle w:val="BodyText"/>
      </w:pPr>
      <w:r>
        <w:t xml:space="preserve">La structure cible comprend trois fichiers JSON :</w:t>
      </w:r>
      <w:r>
        <w:t xml:space="preserve"> </w:t>
      </w:r>
      <w:r>
        <w:rPr>
          <w:rStyle w:val="VerbatimChar"/>
        </w:rPr>
        <w:t xml:space="preserve">residents_monthly.json</w:t>
      </w:r>
      <w:r>
        <w:t xml:space="preserve"> </w:t>
      </w:r>
      <w:r>
        <w:t xml:space="preserve">(séries temporelles</w:t>
      </w:r>
      <w:r>
        <w:t xml:space="preserve"> </w:t>
      </w:r>
      <w:r>
        <w:t xml:space="preserve">par résident),</w:t>
      </w:r>
      <w:r>
        <w:t xml:space="preserve"> </w:t>
      </w:r>
      <w:r>
        <w:rPr>
          <w:rStyle w:val="VerbatimChar"/>
        </w:rPr>
        <w:t xml:space="preserve">residents_summary.json</w:t>
      </w:r>
      <w:r>
        <w:t xml:space="preserve"> </w:t>
      </w:r>
      <w:r>
        <w:t xml:space="preserve">(résumé avec pentes, moyennes et cluster) et</w:t>
      </w:r>
      <w:r>
        <w:t xml:space="preserve"> </w:t>
      </w:r>
      <w:r>
        <w:rPr>
          <w:rStyle w:val="VerbatimChar"/>
        </w:rPr>
        <w:t xml:space="preserve">cluster_meta.json</w:t>
      </w:r>
      <w:r>
        <w:t xml:space="preserve"> </w:t>
      </w:r>
      <w:r>
        <w:t xml:space="preserve">(centroïdes et tailles de clusters).</w:t>
      </w:r>
    </w:p>
    <w:bookmarkEnd w:id="23"/>
    <w:bookmarkStart w:id="24" w:name="abstraction-des-tâches-1"/>
    <w:p>
      <w:pPr>
        <w:pStyle w:val="Heading4"/>
      </w:pPr>
      <w:r>
        <w:t xml:space="preserve">3.2.4. Abstraction des tâches</w:t>
      </w:r>
    </w:p>
    <w:p>
      <w:pPr>
        <w:pStyle w:val="FirstParagraph"/>
      </w:pPr>
      <w:r>
        <w:t xml:space="preserve">Suivant la même taxonomie de Munzner (2014, ch. 3 ; Ghoniem &amp; Médoc, 2026,</w:t>
      </w:r>
      <w:r>
        <w:t xml:space="preserve"> </w:t>
      </w:r>
      <w:r>
        <w:rPr>
          <w:i/>
          <w:iCs/>
        </w:rPr>
        <w:t xml:space="preserve">Introduction</w:t>
      </w:r>
      <w:r>
        <w:t xml:space="preserve">,</w:t>
      </w:r>
      <w:r>
        <w:t xml:space="preserve"> </w:t>
      </w:r>
      <w:r>
        <w:t xml:space="preserve">p. 70–72)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5"/>
        <w:gridCol w:w="4476"/>
        <w:gridCol w:w="22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Tâche</w:t>
            </w:r>
          </w:p>
        </w:tc>
        <w:tc>
          <w:tcPr/>
          <w:p>
            <w:pPr>
              <w:pStyle w:val="Compact"/>
            </w:pPr>
            <w:r>
              <w:t xml:space="preserve">Action → Cible (Munzner)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Analyser les tendances revenu/dépenses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Summarize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i/>
                <w:iCs/>
              </w:rPr>
              <w:t xml:space="preserve">Trends</w:t>
            </w:r>
          </w:p>
        </w:tc>
        <w:tc>
          <w:tcPr/>
          <w:p>
            <w:pPr>
              <w:pStyle w:val="Compact"/>
            </w:pPr>
            <w:r>
              <w:t xml:space="preserve">Observer l’évolution des revenus et des dépenses au fil du temps, globalement et par cluster.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Comparer les profils financiers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Compare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i/>
                <w:iCs/>
              </w:rPr>
              <w:t xml:space="preserve">Distribution</w:t>
            </w:r>
          </w:p>
        </w:tc>
        <w:tc>
          <w:tcPr/>
          <w:p>
            <w:pPr>
              <w:pStyle w:val="Compact"/>
            </w:pPr>
            <w:r>
              <w:t xml:space="preserve">Juxtaposer les distributions de solde net entre mois et entre clusters pour identifier les trajectoires divergentes.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Identifier les clusters de résidents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Discover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i/>
                <w:iCs/>
              </w:rPr>
              <w:t xml:space="preserve">Clusters</w:t>
            </w:r>
          </w:p>
        </w:tc>
        <w:tc>
          <w:tcPr/>
          <w:p>
            <w:pPr>
              <w:pStyle w:val="Compact"/>
            </w:pPr>
            <w:r>
              <w:t xml:space="preserve">Faire émerger des groupes de résidents aux dynamiques financières similaires via le clustering KMeans.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Détecter les outliers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Discover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i/>
                <w:iCs/>
              </w:rPr>
              <w:t xml:space="preserve">Outliers</w:t>
            </w:r>
          </w:p>
        </w:tc>
        <w:tc>
          <w:tcPr/>
          <w:p>
            <w:pPr>
              <w:pStyle w:val="Compact"/>
            </w:pPr>
            <w:r>
              <w:t xml:space="preserve">Repérer les résidents dont le solde net s’écarte fortement de la distribution — candidats à une investigation individuelle.</w:t>
            </w:r>
          </w:p>
        </w:tc>
      </w:tr>
    </w:tbl>
    <w:bookmarkEnd w:id="24"/>
    <w:bookmarkStart w:id="25" w:name="opérations-sur-les-données-1"/>
    <w:p>
      <w:pPr>
        <w:pStyle w:val="Heading4"/>
      </w:pPr>
      <w:r>
        <w:t xml:space="preserve">3.2.5. Opérations sur les données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Jointure</w:t>
      </w:r>
      <w:r>
        <w:t xml:space="preserve"> </w:t>
      </w:r>
      <w:r>
        <w:t xml:space="preserve">: relier chaque transaction du Financial Journal au profil démographique du résident via</w:t>
      </w:r>
      <w:r>
        <w:t xml:space="preserve"> </w:t>
      </w:r>
      <w:r>
        <w:rPr>
          <w:rStyle w:val="VerbatimChar"/>
        </w:rPr>
        <w:t xml:space="preserve">participantId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Filtrage et catégorisation</w:t>
      </w:r>
      <w:r>
        <w:t xml:space="preserve"> </w:t>
      </w:r>
      <w:r>
        <w:t xml:space="preserve">: séparer les transactions par catégorie (Wage, Shelter, Food, Recreation, Education).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Agrégation temporelle</w:t>
      </w:r>
      <w:r>
        <w:t xml:space="preserve"> </w:t>
      </w:r>
      <w:r>
        <w:t xml:space="preserve">: grouper par mois et par</w:t>
      </w:r>
      <w:r>
        <w:t xml:space="preserve"> </w:t>
      </w:r>
      <w:r>
        <w:rPr>
          <w:rStyle w:val="VerbatimChar"/>
        </w:rPr>
        <w:t xml:space="preserve">participantId</w:t>
      </w:r>
      <w:r>
        <w:t xml:space="preserve">, calculer revenus, dépenses et solde net.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Calcul de pente</w:t>
      </w:r>
      <w:r>
        <w:t xml:space="preserve"> </w:t>
      </w:r>
      <w:r>
        <w:t xml:space="preserve">: régression linéaire sur les 15 mois pour le revenu et le solde net de chaque résident.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Clustering</w:t>
      </w:r>
      <w:r>
        <w:t xml:space="preserve"> </w:t>
      </w:r>
      <w:r>
        <w:t xml:space="preserve">: normalisation des indicateurs, méthode du coude pour choisir</w:t>
      </w:r>
      <w:r>
        <w:t xml:space="preserve"> </w:t>
      </w:r>
      <w:r>
        <w:rPr>
          <w:i/>
          <w:iCs/>
        </w:rPr>
        <w:t xml:space="preserve">k</w:t>
      </w:r>
      <w:r>
        <w:t xml:space="preserve">, puis KMeans (scikit-learn) sur les pentes et moyennes.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 JSON</w:t>
      </w:r>
      <w:r>
        <w:t xml:space="preserve"> </w:t>
      </w:r>
      <w:r>
        <w:t xml:space="preserve">: trois fichiers structurés pour le chargement asynchrone côté client.</w:t>
      </w:r>
    </w:p>
    <w:bookmarkEnd w:id="25"/>
    <w:bookmarkEnd w:id="26"/>
    <w:bookmarkStart w:id="32" w:name="q3-données-et-tâches"/>
    <w:p>
      <w:pPr>
        <w:pStyle w:val="Heading3"/>
      </w:pPr>
      <w:r>
        <w:t xml:space="preserve">3.3. Q3 — données et tâches</w:t>
      </w:r>
    </w:p>
    <w:bookmarkStart w:id="27" w:name="tables-et-chemin-de-jointure-2"/>
    <w:p>
      <w:pPr>
        <w:pStyle w:val="Heading4"/>
      </w:pPr>
      <w:r>
        <w:t xml:space="preserve">3.3.1. Tables et chemin de jointure</w:t>
      </w:r>
    </w:p>
    <w:p>
      <w:pPr>
        <w:pStyle w:val="FirstParagraph"/>
      </w:pPr>
      <w:r>
        <w:t xml:space="preserve">Pour répondre à Q3, nous mobilisons deux sources de données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2640"/>
        <w:gridCol w:w="192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Fichier(s)</w:t>
            </w:r>
          </w:p>
        </w:tc>
        <w:tc>
          <w:tcPr/>
          <w:p>
            <w:pPr>
              <w:pStyle w:val="Compact"/>
            </w:pPr>
            <w:r>
              <w:t xml:space="preserve">Lignes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 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ParticipantStatusLogs{1..72}.csv</w:t>
            </w:r>
          </w:p>
        </w:tc>
        <w:tc>
          <w:tcPr/>
          <w:p>
            <w:pPr>
              <w:pStyle w:val="Compact"/>
            </w:pPr>
            <w:r>
              <w:t xml:space="preserve">113 923 735</w:t>
            </w:r>
          </w:p>
        </w:tc>
        <w:tc>
          <w:tcPr/>
          <w:p>
            <w:pPr>
              <w:pStyle w:val="Compact"/>
            </w:pPr>
            <w:r>
              <w:t xml:space="preserve">Table de faits : affectation de chaque participant à un</w:t>
            </w:r>
            <w:r>
              <w:t xml:space="preserve"> </w:t>
            </w:r>
            <w:r>
              <w:rPr>
                <w:rStyle w:val="VerbatimChar"/>
              </w:rPr>
              <w:t xml:space="preserve">jobId</w:t>
            </w:r>
            <w:r>
              <w:t xml:space="preserve"> </w:t>
            </w:r>
            <w:r>
              <w:t xml:space="preserve">à chaque pas de 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Attributes/Jobs.csv</w:t>
            </w:r>
          </w:p>
        </w:tc>
        <w:tc>
          <w:tcPr/>
          <w:p>
            <w:pPr>
              <w:pStyle w:val="Compact"/>
            </w:pPr>
            <w:r>
              <w:t xml:space="preserve">1 328</w:t>
            </w:r>
          </w:p>
        </w:tc>
        <w:tc>
          <w:tcPr/>
          <w:p>
            <w:pPr>
              <w:pStyle w:val="Compact"/>
            </w:pPr>
            <w:r>
              <w:t xml:space="preserve">Table de dimension : relie chaque</w:t>
            </w:r>
            <w:r>
              <w:t xml:space="preserve"> </w:t>
            </w:r>
            <w:r>
              <w:rPr>
                <w:rStyle w:val="VerbatimChar"/>
              </w:rPr>
              <w:t xml:space="preserve">jobId</w:t>
            </w:r>
            <w:r>
              <w:t xml:space="preserve"> </w:t>
            </w:r>
            <w:r>
              <w:t xml:space="preserve">à un</w:t>
            </w:r>
            <w:r>
              <w:t xml:space="preserve"> </w:t>
            </w:r>
            <w:r>
              <w:rPr>
                <w:rStyle w:val="VerbatimChar"/>
              </w:rPr>
              <w:t xml:space="preserve">employerId</w:t>
            </w:r>
            <w:r>
              <w:t xml:space="preserve"> </w:t>
            </w:r>
            <w:r>
              <w:t xml:space="preserve">et un</w:t>
            </w:r>
            <w:r>
              <w:t xml:space="preserve"> </w:t>
            </w:r>
            <w:r>
              <w:rPr>
                <w:rStyle w:val="VerbatimChar"/>
              </w:rPr>
              <w:t xml:space="preserve">hourlyRate</w:t>
            </w:r>
          </w:p>
        </w:tc>
      </w:tr>
    </w:tbl>
    <w:p>
      <w:pPr>
        <w:pStyle w:val="BodyText"/>
      </w:pPr>
      <w:r>
        <w:t xml:space="preserve">Le chemin de jointure est le même que pour Q1 :</w:t>
      </w:r>
    </w:p>
    <w:p>
      <w:pPr>
        <w:pStyle w:val="BlockText"/>
      </w:pPr>
      <w:r>
        <w:rPr>
          <w:b/>
          <w:bCs/>
        </w:rPr>
        <w:t xml:space="preserve">Activity Logs</w:t>
      </w:r>
      <w:r>
        <w:t xml:space="preserve"> </w:t>
      </w:r>
      <w:r>
        <w:t xml:space="preserve">(</w:t>
      </w:r>
      <w:r>
        <w:rPr>
          <w:rStyle w:val="VerbatimChar"/>
        </w:rPr>
        <w:t xml:space="preserve">participantId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jobId</w:t>
      </w:r>
      <w:r>
        <w:t xml:space="preserve">) →</w:t>
      </w:r>
      <w:r>
        <w:t xml:space="preserve"> </w:t>
      </w:r>
      <w:r>
        <w:rPr>
          <w:b/>
          <w:bCs/>
        </w:rPr>
        <w:t xml:space="preserve">Jobs</w:t>
      </w:r>
      <w:r>
        <w:t xml:space="preserve"> </w:t>
      </w:r>
      <w:r>
        <w:t xml:space="preserve">(</w:t>
      </w:r>
      <w:r>
        <w:rPr>
          <w:rStyle w:val="VerbatimChar"/>
        </w:rPr>
        <w:t xml:space="preserve">jobId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employerId</w:t>
      </w:r>
      <w:r>
        <w:t xml:space="preserve">)</w:t>
      </w:r>
    </w:p>
    <w:bookmarkEnd w:id="27"/>
    <w:bookmarkStart w:id="28" w:name="attributs-et-types-de-données-2"/>
    <w:p>
      <w:pPr>
        <w:pStyle w:val="Heading4"/>
      </w:pPr>
      <w:r>
        <w:t xml:space="preserve">3.3.2. Attributs et types de données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640"/>
        <w:gridCol w:w="1408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</w:t>
            </w:r>
          </w:p>
        </w:tc>
        <w:tc>
          <w:tcPr/>
          <w:p>
            <w:pPr>
              <w:pStyle w:val="Compact"/>
            </w:pPr>
            <w:r>
              <w:t xml:space="preserve">Type (Munzner)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Volumétrie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participantId</w:t>
            </w:r>
          </w:p>
        </w:tc>
        <w:tc>
          <w:tcPr/>
          <w:p>
            <w:pPr>
              <w:pStyle w:val="Compact"/>
            </w:pPr>
            <w:r>
              <w:t xml:space="preserve">Catégoriel (identifiant)</w:t>
            </w:r>
          </w:p>
        </w:tc>
        <w:tc>
          <w:tcPr/>
          <w:p>
            <w:pPr>
              <w:pStyle w:val="Compact"/>
            </w:pPr>
            <w:r>
              <w:t xml:space="preserve">Activity Logs</w:t>
            </w:r>
          </w:p>
        </w:tc>
        <w:tc>
          <w:tcPr/>
          <w:p>
            <w:pPr>
              <w:pStyle w:val="Compact"/>
            </w:pPr>
            <w:r>
              <w:t xml:space="preserve">1 011 participants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jobId</w:t>
            </w:r>
          </w:p>
        </w:tc>
        <w:tc>
          <w:tcPr/>
          <w:p>
            <w:pPr>
              <w:pStyle w:val="Compact"/>
            </w:pPr>
            <w:r>
              <w:t xml:space="preserve">Catégoriel (clé étrangère → Jobs)</w:t>
            </w:r>
          </w:p>
        </w:tc>
        <w:tc>
          <w:tcPr/>
          <w:p>
            <w:pPr>
              <w:pStyle w:val="Compact"/>
            </w:pPr>
            <w:r>
              <w:t xml:space="preserve">Activity Logs + Jobs</w:t>
            </w:r>
          </w:p>
        </w:tc>
        <w:tc>
          <w:tcPr/>
          <w:p>
            <w:pPr>
              <w:pStyle w:val="Compact"/>
            </w:pPr>
            <w:r>
              <w:t xml:space="preserve">1 190 emplois utilisés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employerId</w:t>
            </w:r>
          </w:p>
        </w:tc>
        <w:tc>
          <w:tcPr/>
          <w:p>
            <w:pPr>
              <w:pStyle w:val="Compact"/>
            </w:pPr>
            <w:r>
              <w:t xml:space="preserve">Catégoriel (identifiant)</w:t>
            </w:r>
          </w:p>
        </w:tc>
        <w:tc>
          <w:tcPr/>
          <w:p>
            <w:pPr>
              <w:pStyle w:val="Compact"/>
            </w:pPr>
            <w:r>
              <w:t xml:space="preserve">Jobs</w:t>
            </w:r>
          </w:p>
        </w:tc>
        <w:tc>
          <w:tcPr/>
          <w:p>
            <w:pPr>
              <w:pStyle w:val="Compact"/>
            </w:pPr>
            <w:r>
              <w:t xml:space="preserve">253 employeurs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hourlyRate</w:t>
            </w:r>
          </w:p>
        </w:tc>
        <w:tc>
          <w:tcPr/>
          <w:p>
            <w:pPr>
              <w:pStyle w:val="Compact"/>
            </w:pPr>
            <w:r>
              <w:t xml:space="preserve">Quantitatif continu</w:t>
            </w:r>
          </w:p>
        </w:tc>
        <w:tc>
          <w:tcPr/>
          <w:p>
            <w:pPr>
              <w:pStyle w:val="Compact"/>
            </w:pPr>
            <w:r>
              <w:t xml:space="preserve">Jobs</w:t>
            </w:r>
          </w:p>
        </w:tc>
        <w:tc>
          <w:tcPr/>
          <w:p>
            <w:pPr>
              <w:pStyle w:val="Compact"/>
            </w:pPr>
            <w:r>
              <w:t xml:space="preserve">Taux horaire associé à chaque emploi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Quantitatif ordonné</w:t>
            </w:r>
          </w:p>
        </w:tc>
        <w:tc>
          <w:tcPr/>
          <w:p>
            <w:pPr>
              <w:pStyle w:val="Compact"/>
            </w:pPr>
            <w:r>
              <w:t xml:space="preserve">Activity Logs</w:t>
            </w:r>
          </w:p>
        </w:tc>
        <w:tc>
          <w:tcPr/>
          <w:p>
            <w:pPr>
              <w:pStyle w:val="Compact"/>
            </w:pPr>
            <w:r>
              <w:t xml:space="preserve">15 mois, pas de 5 min</w:t>
            </w:r>
          </w:p>
        </w:tc>
      </w:tr>
    </w:tbl>
    <w:bookmarkEnd w:id="28"/>
    <w:bookmarkStart w:id="29" w:name="attributs-dérivés-2"/>
    <w:p>
      <w:pPr>
        <w:pStyle w:val="Heading4"/>
      </w:pPr>
      <w:r>
        <w:t xml:space="preserve">3.3.3. Attributs dérivés</w:t>
      </w:r>
    </w:p>
    <w:p>
      <w:pPr>
        <w:pStyle w:val="FirstParagraph"/>
      </w:pPr>
      <w:r>
        <w:t xml:space="preserve">Le pipeline de prétraitement Q3 (</w:t>
      </w:r>
      <w:r>
        <w:rPr>
          <w:rStyle w:val="VerbatimChar"/>
        </w:rPr>
        <w:t xml:space="preserve">preprocess_q3.py</w:t>
      </w:r>
      <w:r>
        <w:t xml:space="preserve">) reconstitue les flux de main-d’œuvre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66"/>
        <w:gridCol w:w="1584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 dérivé</w:t>
            </w:r>
          </w:p>
        </w:tc>
        <w:tc>
          <w:tcPr/>
          <w:p>
            <w:pPr>
              <w:pStyle w:val="Compact"/>
            </w:pPr>
            <w:r>
              <w:t xml:space="preserve">Calcul</w:t>
            </w:r>
          </w:p>
        </w:tc>
        <w:tc>
          <w:tcPr/>
          <w:p>
            <w:pPr>
              <w:pStyle w:val="Compact"/>
            </w:pPr>
            <w:r>
              <w:t xml:space="preserve">Signification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Affectation mensuelle</w:t>
            </w:r>
          </w:p>
        </w:tc>
        <w:tc>
          <w:tcPr/>
          <w:p>
            <w:pPr>
              <w:pStyle w:val="Compact"/>
            </w:pPr>
            <w:r>
              <w:t xml:space="preserve">Dernier</w:t>
            </w:r>
            <w:r>
              <w:t xml:space="preserve"> </w:t>
            </w:r>
            <w:r>
              <w:rPr>
                <w:rStyle w:val="VerbatimChar"/>
              </w:rPr>
              <w:t xml:space="preserve">jobId</w:t>
            </w:r>
            <w:r>
              <w:t xml:space="preserve"> </w:t>
            </w:r>
            <w:r>
              <w:t xml:space="preserve">observé par participant et par mois →</w:t>
            </w:r>
            <w:r>
              <w:t xml:space="preserve"> </w:t>
            </w:r>
            <w:r>
              <w:rPr>
                <w:rStyle w:val="VerbatimChar"/>
              </w:rPr>
              <w:t xml:space="preserve">employerId</w:t>
            </w:r>
          </w:p>
        </w:tc>
        <w:tc>
          <w:tcPr/>
          <w:p>
            <w:pPr>
              <w:pStyle w:val="Compact"/>
            </w:pPr>
            <w:r>
              <w:t xml:space="preserve">Employeur courant de chaque résident pour un mois donné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Arrivée</w:t>
            </w:r>
          </w:p>
        </w:tc>
        <w:tc>
          <w:tcPr/>
          <w:p>
            <w:pPr>
              <w:pStyle w:val="Compact"/>
            </w:pPr>
            <w:r>
              <w:t xml:space="preserve">Premier mois d’apparition chez un employeur, ou changement d’employeur</w:t>
            </w:r>
          </w:p>
        </w:tc>
        <w:tc>
          <w:tcPr/>
          <w:p>
            <w:pPr>
              <w:pStyle w:val="Compact"/>
            </w:pPr>
            <w:r>
              <w:t xml:space="preserve">Flux entrant de main-d’œuvre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Départ</w:t>
            </w:r>
          </w:p>
        </w:tc>
        <w:tc>
          <w:tcPr/>
          <w:p>
            <w:pPr>
              <w:pStyle w:val="Compact"/>
            </w:pPr>
            <w:r>
              <w:t xml:space="preserve">Dernier mois chez un employeur avant changement ou fin de données</w:t>
            </w:r>
          </w:p>
        </w:tc>
        <w:tc>
          <w:tcPr/>
          <w:p>
            <w:pPr>
              <w:pStyle w:val="Compact"/>
            </w:pPr>
            <w:r>
              <w:t xml:space="preserve">Flux sortant de main-d’œuvre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Taux de turnover mensuel</w:t>
            </w:r>
          </w:p>
        </w:tc>
        <w:tc>
          <w:tcPr/>
          <w:p>
            <w:pPr>
              <w:pStyle w:val="Compact"/>
            </w:pPr>
            <w:r>
              <w:t xml:space="preserve">(arrivées + départs) / (2 × effectif) par employeur et par mois</w:t>
            </w:r>
          </w:p>
        </w:tc>
        <w:tc>
          <w:tcPr/>
          <w:p>
            <w:pPr>
              <w:pStyle w:val="Compact"/>
            </w:pPr>
            <w:r>
              <w:t xml:space="preserve">Mesure normalisée de la rotation du personnel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Ancienneté par stint</w:t>
            </w:r>
          </w:p>
        </w:tc>
        <w:tc>
          <w:tcPr/>
          <w:p>
            <w:pPr>
              <w:pStyle w:val="Compact"/>
            </w:pPr>
            <w:r>
              <w:t xml:space="preserve">Nombre de mois consécutifs chez le même employeur</w:t>
            </w:r>
          </w:p>
        </w:tc>
        <w:tc>
          <w:tcPr/>
          <w:p>
            <w:pPr>
              <w:pStyle w:val="Compact"/>
            </w:pPr>
            <w:r>
              <w:t xml:space="preserve">Fidélisation des employés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Résumé employeur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avg_headcount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avg_turnover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total_arrivals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total_departures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avg_tenure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avg_hourly_rate</w:t>
            </w:r>
          </w:p>
        </w:tc>
        <w:tc>
          <w:tcPr/>
          <w:p>
            <w:pPr>
              <w:pStyle w:val="Compact"/>
            </w:pPr>
            <w:r>
              <w:t xml:space="preserve">Profil synthétique de chaque employeur</w:t>
            </w:r>
          </w:p>
        </w:tc>
      </w:tr>
    </w:tbl>
    <w:p>
      <w:pPr>
        <w:pStyle w:val="BodyText"/>
      </w:pPr>
      <w:r>
        <w:t xml:space="preserve">La structure cible comprend deux fichiers JSON :</w:t>
      </w:r>
      <w:r>
        <w:t xml:space="preserve"> </w:t>
      </w:r>
      <w:r>
        <w:rPr>
          <w:rStyle w:val="VerbatimChar"/>
        </w:rPr>
        <w:t xml:space="preserve">turnover_monthly.json</w:t>
      </w:r>
      <w:r>
        <w:t xml:space="preserve"> </w:t>
      </w:r>
      <w:r>
        <w:t xml:space="preserve">(séries temporelles</w:t>
      </w:r>
      <w:r>
        <w:t xml:space="preserve"> </w:t>
      </w:r>
      <w:r>
        <w:t xml:space="preserve">de turnover par employeur) et</w:t>
      </w:r>
      <w:r>
        <w:t xml:space="preserve"> </w:t>
      </w:r>
      <w:r>
        <w:rPr>
          <w:rStyle w:val="VerbatimChar"/>
        </w:rPr>
        <w:t xml:space="preserve">employers_turnover.json</w:t>
      </w:r>
      <w:r>
        <w:t xml:space="preserve"> </w:t>
      </w:r>
      <w:r>
        <w:t xml:space="preserve">(résumé par employeur).</w:t>
      </w:r>
    </w:p>
    <w:bookmarkEnd w:id="29"/>
    <w:bookmarkStart w:id="30" w:name="abstraction-des-tâches-2"/>
    <w:p>
      <w:pPr>
        <w:pStyle w:val="Heading4"/>
      </w:pPr>
      <w:r>
        <w:t xml:space="preserve">3.3.4. Abstraction des tâches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5"/>
        <w:gridCol w:w="4476"/>
        <w:gridCol w:w="22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Tâche</w:t>
            </w:r>
          </w:p>
        </w:tc>
        <w:tc>
          <w:tcPr/>
          <w:p>
            <w:pPr>
              <w:pStyle w:val="Compact"/>
            </w:pPr>
            <w:r>
              <w:t xml:space="preserve">Action → Cible (Munzner)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Analyser les patterns de turnover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Summarize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i/>
                <w:iCs/>
              </w:rPr>
              <w:t xml:space="preserve">Trends</w:t>
            </w:r>
          </w:p>
        </w:tc>
        <w:tc>
          <w:tcPr/>
          <w:p>
            <w:pPr>
              <w:pStyle w:val="Compact"/>
            </w:pPr>
            <w:r>
              <w:t xml:space="preserve">Observer l’évolution du taux de turnover au fil des 15 mois pour chaque employeur.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Comparer la stabilité des employeurs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Compare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i/>
                <w:iCs/>
              </w:rPr>
              <w:t xml:space="preserve">Trends</w:t>
            </w:r>
          </w:p>
        </w:tc>
        <w:tc>
          <w:tcPr/>
          <w:p>
            <w:pPr>
              <w:pStyle w:val="Compact"/>
            </w:pPr>
            <w:r>
              <w:t xml:space="preserve">Juxtaposer les profils de turnover entre employeurs pour distinguer les stables des instables.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Identifier les extrêmes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Discover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i/>
                <w:iCs/>
              </w:rPr>
              <w:t xml:space="preserve">Outliers</w:t>
            </w:r>
          </w:p>
        </w:tc>
        <w:tc>
          <w:tcPr/>
          <w:p>
            <w:pPr>
              <w:pStyle w:val="Compact"/>
            </w:pPr>
            <w:r>
              <w:t xml:space="preserve">Repérer les employeurs au turnover le plus élevé et ceux à la rétention la plus forte.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Corréler turnover et attributs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Identify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i/>
                <w:iCs/>
              </w:rPr>
              <w:t xml:space="preserve">Correlation</w:t>
            </w:r>
          </w:p>
        </w:tc>
        <w:tc>
          <w:tcPr/>
          <w:p>
            <w:pPr>
              <w:pStyle w:val="Compact"/>
            </w:pPr>
            <w:r>
              <w:t xml:space="preserve">Vérifier si le turnover est lié à la taille de l’employeur ou au niveau de rémunération.</w:t>
            </w:r>
          </w:p>
        </w:tc>
      </w:tr>
    </w:tbl>
    <w:bookmarkEnd w:id="30"/>
    <w:bookmarkStart w:id="31" w:name="opérations-sur-les-données-2"/>
    <w:p>
      <w:pPr>
        <w:pStyle w:val="Heading4"/>
      </w:pPr>
      <w:r>
        <w:t xml:space="preserve">3.3.5. Opérations sur les données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Jointure</w:t>
      </w:r>
      <w:r>
        <w:t xml:space="preserve"> </w:t>
      </w:r>
      <w:r>
        <w:t xml:space="preserve">: résoudre l’</w:t>
      </w:r>
      <w:r>
        <w:rPr>
          <w:rStyle w:val="VerbatimChar"/>
        </w:rPr>
        <w:t xml:space="preserve">employerId</w:t>
      </w:r>
      <w:r>
        <w:t xml:space="preserve"> </w:t>
      </w:r>
      <w:r>
        <w:t xml:space="preserve">de chaque participant via Activity Logs ⋈ Jobs.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Agrégation temporelle</w:t>
      </w:r>
      <w:r>
        <w:t xml:space="preserve"> </w:t>
      </w:r>
      <w:r>
        <w:t xml:space="preserve">: pour chaque participant et chaque mois, identifier le dernier</w:t>
      </w:r>
      <w:r>
        <w:t xml:space="preserve"> </w:t>
      </w:r>
      <w:r>
        <w:rPr>
          <w:rStyle w:val="VerbatimChar"/>
        </w:rPr>
        <w:t xml:space="preserve">jobId</w:t>
      </w:r>
      <w:r>
        <w:t xml:space="preserve"> </w:t>
      </w:r>
      <w:r>
        <w:t xml:space="preserve">observé (affectation mensuelle).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Détection des flux</w:t>
      </w:r>
      <w:r>
        <w:t xml:space="preserve"> </w:t>
      </w:r>
      <w:r>
        <w:t xml:space="preserve">: comparer les affectations mois à mois pour détecter les arrivées (nouvel employeur) et les départs (changement ou disparition).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Calcul du turnover</w:t>
      </w:r>
      <w:r>
        <w:t xml:space="preserve"> </w:t>
      </w:r>
      <w:r>
        <w:t xml:space="preserve">: agréger arrivées et départs par employeur et par mois, normaliser par l’effectif.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Calcul des résumés</w:t>
      </w:r>
      <w:r>
        <w:t xml:space="preserve"> </w:t>
      </w:r>
      <w:r>
        <w:t xml:space="preserve">: moyennes, totaux et ancienneté par employeur sur les 15 mois.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Export JSON</w:t>
      </w:r>
      <w:r>
        <w:t xml:space="preserve"> </w:t>
      </w:r>
      <w:r>
        <w:t xml:space="preserve">: deux fichiers structurés pour le chargement asynchrone côté client.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47" w:name="X8d6a9360dd5fa98bd658ab25f9f68da88b2a574"/>
    <w:p>
      <w:pPr>
        <w:pStyle w:val="Heading2"/>
      </w:pPr>
      <w:r>
        <w:t xml:space="preserve">4. Encodage visuel et interaction (Munzner — niveau 3)</w:t>
      </w:r>
    </w:p>
    <w:p>
      <w:pPr>
        <w:pStyle w:val="FirstParagraph"/>
      </w:pPr>
      <w:r>
        <w:t xml:space="preserve">Le troisième niveau du modèle imbriqué concerne les choix d’encodage visuel : quelles marques</w:t>
      </w:r>
      <w:r>
        <w:t xml:space="preserve"> </w:t>
      </w:r>
      <w:r>
        <w:t xml:space="preserve">graphiques utiliser, quels canaux visuels leur associer, et comment articuler les vues entre</w:t>
      </w:r>
      <w:r>
        <w:t xml:space="preserve"> </w:t>
      </w:r>
      <w:r>
        <w:t xml:space="preserve">elles. La menace à ce niveau est le choix d’un encodage inefficace (Munzner, 2014, ch. 5) :</w:t>
      </w:r>
      <w:r>
        <w:t xml:space="preserve"> </w:t>
      </w:r>
      <w:r>
        <w:t xml:space="preserve">un canal mal choisi rend les données illisibles, même si l’abstraction est correcte.</w:t>
      </w:r>
    </w:p>
    <w:p>
      <w:pPr>
        <w:pStyle w:val="BodyText"/>
      </w:pPr>
      <w:r>
        <w:t xml:space="preserve">Nos choix s’appuient sur le principe d’efficacité des canaux visuels enseigné dans le cours</w:t>
      </w:r>
      <w:r>
        <w:t xml:space="preserve"> </w:t>
      </w:r>
      <w:r>
        <w:t xml:space="preserve">(Ghoniem &amp; Médoc, 2026,</w:t>
      </w:r>
      <w:r>
        <w:t xml:space="preserve"> </w:t>
      </w:r>
      <w:r>
        <w:rPr>
          <w:i/>
          <w:iCs/>
        </w:rPr>
        <w:t xml:space="preserve">Introduction</w:t>
      </w:r>
      <w:r>
        <w:t xml:space="preserve">, p. 34) : pour les données quantitatives, la position</w:t>
      </w:r>
      <w:r>
        <w:t xml:space="preserve"> </w:t>
      </w:r>
      <w:r>
        <w:t xml:space="preserve">est le canal le plus précis, suivi de la longueur, puis de la taille ; pour les données</w:t>
      </w:r>
      <w:r>
        <w:t xml:space="preserve"> </w:t>
      </w:r>
      <w:r>
        <w:t xml:space="preserve">catégorielles, la teinte est le canal le plus efficace. La perception pré-attentive</w:t>
      </w:r>
      <w:r>
        <w:t xml:space="preserve"> </w:t>
      </w:r>
      <w:r>
        <w:t xml:space="preserve">(</w:t>
      </w:r>
      <w:r>
        <w:rPr>
          <w:i/>
          <w:iCs/>
        </w:rPr>
        <w:t xml:space="preserve">Introduction</w:t>
      </w:r>
      <w:r>
        <w:t xml:space="preserve">, p. 18) guide le choix des encodages redondants qui permettent une détection</w:t>
      </w:r>
      <w:r>
        <w:t xml:space="preserve"> </w:t>
      </w:r>
      <w:r>
        <w:t xml:space="preserve">rapide et parallèle des motifs visuels.</w:t>
      </w:r>
    </w:p>
    <w:p>
      <w:pPr>
        <w:pStyle w:val="BodyText"/>
      </w:pPr>
      <w:r>
        <w:t xml:space="preserve">Chaque question dispose de trois panneaux coordonnés — soit neuf panneaux au total. Les</w:t>
      </w:r>
      <w:r>
        <w:t xml:space="preserve"> </w:t>
      </w:r>
      <w:r>
        <w:t xml:space="preserve">sous-sections 4.1 à 4.3 détaillent l’encodage de chaque panneau ; la sous-section 4.4 décrit</w:t>
      </w:r>
      <w:r>
        <w:t xml:space="preserve"> </w:t>
      </w:r>
      <w:r>
        <w:t xml:space="preserve">les mécanismes de coordination et d’interaction communs aux trois tableaux de bord.</w:t>
      </w:r>
    </w:p>
    <w:bookmarkStart w:id="37" w:name="q1-prospérité-des-employeurs-1"/>
    <w:p>
      <w:pPr>
        <w:pStyle w:val="Heading3"/>
      </w:pPr>
      <w:r>
        <w:t xml:space="preserve">4.1. Q1 — Prospérité des employeurs</w:t>
      </w:r>
    </w:p>
    <w:bookmarkStart w:id="34" w:name="Xc1a63c19ad03a75e9d8570c4700b232ba516c8a"/>
    <w:p>
      <w:pPr>
        <w:pStyle w:val="Heading4"/>
      </w:pPr>
      <w:r>
        <w:t xml:space="preserve">4.1.1. Panneau A — Séries temporelles de l’évolution financière</w:t>
      </w:r>
    </w:p>
    <w:p>
      <w:pPr>
        <w:pStyle w:val="FirstParagraph"/>
      </w:pPr>
      <w:r>
        <w:t xml:space="preserve">Ce panneau répond aux tâches</w:t>
      </w:r>
      <w:r>
        <w:t xml:space="preserve"> </w:t>
      </w:r>
      <w:r>
        <w:rPr>
          <w:i/>
          <w:iCs/>
        </w:rPr>
        <w:t xml:space="preserve">Summarize → Trends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Compare → Trends</w:t>
      </w:r>
      <w:r>
        <w:t xml:space="preserve">. Il affiche</w:t>
      </w:r>
      <w:r>
        <w:t xml:space="preserve"> </w:t>
      </w:r>
      <w:r>
        <w:t xml:space="preserve">l’évolution de la masse salariale mensuelle sous forme de courbes polylignes, une par</w:t>
      </w:r>
      <w:r>
        <w:t xml:space="preserve"> </w:t>
      </w:r>
      <w:r>
        <w:t xml:space="preserve">employeur.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78"/>
        <w:gridCol w:w="1627"/>
        <w:gridCol w:w="2386"/>
        <w:gridCol w:w="16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 de données</w:t>
            </w:r>
          </w:p>
        </w:tc>
        <w:tc>
          <w:tcPr/>
          <w:p>
            <w:pPr>
              <w:pStyle w:val="Compact"/>
            </w:pPr>
            <w:r>
              <w:t xml:space="preserve">Type (Munzner)</w:t>
            </w:r>
          </w:p>
        </w:tc>
        <w:tc>
          <w:tcPr/>
          <w:p>
            <w:pPr>
              <w:pStyle w:val="Compact"/>
            </w:pPr>
            <w:r>
              <w:t xml:space="preserve">Marque / Canal visuel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Mois</w:t>
            </w:r>
          </w:p>
        </w:tc>
        <w:tc>
          <w:tcPr/>
          <w:p>
            <w:pPr>
              <w:pStyle w:val="Compact"/>
            </w:pPr>
            <w:r>
              <w:t xml:space="preserve">Quantitatif ordonné</w:t>
            </w:r>
          </w:p>
        </w:tc>
        <w:tc>
          <w:tcPr/>
          <w:p>
            <w:pPr>
              <w:pStyle w:val="Compact"/>
            </w:pPr>
            <w:r>
              <w:t xml:space="preserve">Position X</w:t>
            </w:r>
          </w:p>
        </w:tc>
        <w:tc>
          <w:tcPr/>
          <w:p>
            <w:pPr>
              <w:pStyle w:val="Compact"/>
            </w:pPr>
            <w:r>
              <w:t xml:space="preserve">Canal le plus précis pour les données ordonnées (</w:t>
            </w:r>
            <w:r>
              <w:rPr>
                <w:i/>
                <w:iCs/>
              </w:rPr>
              <w:t xml:space="preserve">Introduction</w:t>
            </w:r>
            <w:r>
              <w:t xml:space="preserve">, p. 34)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Masse salariale mensuelle</w:t>
            </w:r>
          </w:p>
        </w:tc>
        <w:tc>
          <w:tcPr/>
          <w:p>
            <w:pPr>
              <w:pStyle w:val="Compact"/>
            </w:pPr>
            <w:r>
              <w:t xml:space="preserve">Quantitatif continu</w:t>
            </w:r>
          </w:p>
        </w:tc>
        <w:tc>
          <w:tcPr/>
          <w:p>
            <w:pPr>
              <w:pStyle w:val="Compact"/>
            </w:pPr>
            <w:r>
              <w:t xml:space="preserve">Position Y</w:t>
            </w:r>
          </w:p>
        </w:tc>
        <w:tc>
          <w:tcPr/>
          <w:p>
            <w:pPr>
              <w:pStyle w:val="Compact"/>
            </w:pPr>
            <w:r>
              <w:t xml:space="preserve">Canal le plus précis pour les quantités financières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 d’employés moyen</w:t>
            </w:r>
          </w:p>
        </w:tc>
        <w:tc>
          <w:tcPr/>
          <w:p>
            <w:pPr>
              <w:pStyle w:val="Compact"/>
            </w:pPr>
            <w:r>
              <w:t xml:space="preserve">Quantitatif continu</w:t>
            </w:r>
          </w:p>
        </w:tc>
        <w:tc>
          <w:tcPr/>
          <w:p>
            <w:pPr>
              <w:pStyle w:val="Compact"/>
            </w:pPr>
            <w:r>
              <w:t xml:space="preserve">Épaisseur de la ligne</w:t>
            </w:r>
          </w:p>
        </w:tc>
        <w:tc>
          <w:tcPr/>
          <w:p>
            <w:pPr>
              <w:pStyle w:val="Compact"/>
            </w:pPr>
            <w:r>
              <w:t xml:space="preserve">Double encodage : renforce la perception de la taille de l’entreprise sans ajouter de dimension spatiale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Catégorie (top</w:t>
            </w:r>
            <w:r>
              <w:t xml:space="preserve"> </w:t>
            </w:r>
            <w:r>
              <w:rPr>
                <w:i/>
                <w:iCs/>
              </w:rPr>
              <w:t xml:space="preserve">N</w:t>
            </w:r>
            <w:r>
              <w:t xml:space="preserve"> </w:t>
            </w:r>
            <w:r>
              <w:t xml:space="preserve">/ bottom</w:t>
            </w:r>
            <w:r>
              <w:t xml:space="preserve"> </w:t>
            </w:r>
            <w:r>
              <w:rPr>
                <w:i/>
                <w:iCs/>
              </w:rPr>
              <w:t xml:space="preserve">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Catégoriel binaire</w:t>
            </w:r>
          </w:p>
        </w:tc>
        <w:tc>
          <w:tcPr/>
          <w:p>
            <w:pPr>
              <w:pStyle w:val="Compact"/>
            </w:pPr>
            <w:r>
              <w:t xml:space="preserve">Teinte (vert / rouge)</w:t>
            </w:r>
          </w:p>
        </w:tc>
        <w:tc>
          <w:tcPr/>
          <w:p>
            <w:pPr>
              <w:pStyle w:val="Compact"/>
            </w:pPr>
            <w:r>
              <w:t xml:space="preserve">Canal le plus efficace pour le nominal (</w:t>
            </w:r>
            <w:r>
              <w:rPr>
                <w:i/>
                <w:iCs/>
              </w:rPr>
              <w:t xml:space="preserve">Introduction</w:t>
            </w:r>
            <w:r>
              <w:t xml:space="preserve">, p. 53). Vert = croissance, rouge = déclin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Identité de l’employeur</w:t>
            </w:r>
          </w:p>
        </w:tc>
        <w:tc>
          <w:tcPr/>
          <w:p>
            <w:pPr>
              <w:pStyle w:val="Compact"/>
            </w:pPr>
            <w:r>
              <w:t xml:space="preserve">Catégoriel nominal</w:t>
            </w:r>
          </w:p>
        </w:tc>
        <w:tc>
          <w:tcPr/>
          <w:p>
            <w:pPr>
              <w:pStyle w:val="Compact"/>
            </w:pPr>
            <w:r>
              <w:t xml:space="preserve">Polyligne individuelle</w:t>
            </w:r>
          </w:p>
        </w:tc>
        <w:tc>
          <w:tcPr/>
          <w:p>
            <w:pPr>
              <w:pStyle w:val="Compact"/>
            </w:pPr>
            <w:r>
              <w:t xml:space="preserve">Chaque ligne = un employeur, suivi dans le temps</w:t>
            </w:r>
          </w:p>
        </w:tc>
      </w:tr>
    </w:tbl>
    <w:p>
      <w:pPr>
        <w:pStyle w:val="BodyText"/>
      </w:pPr>
      <w:r>
        <w:rPr>
          <w:b/>
          <w:bCs/>
        </w:rPr>
        <w:t xml:space="preserve">Marque utilisée</w:t>
      </w:r>
      <w:r>
        <w:t xml:space="preserve"> </w:t>
      </w:r>
      <w:r>
        <w:t xml:space="preserve">: ligne (</w:t>
      </w:r>
      <w:r>
        <w:rPr>
          <w:i/>
          <w:iCs/>
        </w:rPr>
        <w:t xml:space="preserve">line mark</w:t>
      </w:r>
      <w:r>
        <w:t xml:space="preserve">), la marque la plus naturelle pour les séries</w:t>
      </w:r>
      <w:r>
        <w:t xml:space="preserve"> </w:t>
      </w:r>
      <w:r>
        <w:t xml:space="preserve">temporelles car elle exprime visuellement la continuité et la direction de la tendance.</w:t>
      </w:r>
    </w:p>
    <w:p>
      <w:pPr>
        <w:pStyle w:val="BodyText"/>
      </w:pPr>
      <w:r>
        <w:t xml:space="preserve">Les employeurs qui ne font partie ni du top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ni du bottom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sont tracés en gris clair</w:t>
      </w:r>
      <w:r>
        <w:t xml:space="preserve"> </w:t>
      </w:r>
      <w:r>
        <w:t xml:space="preserve">(opacité réduite) pour fournir un contexte de référence sans surcharger la vue. Ce choix</w:t>
      </w:r>
      <w:r>
        <w:t xml:space="preserve"> </w:t>
      </w:r>
      <w:r>
        <w:t xml:space="preserve">s’inscrit dans la technique du</w:t>
      </w:r>
      <w:r>
        <w:t xml:space="preserve"> </w:t>
      </w:r>
      <w:r>
        <w:rPr>
          <w:i/>
          <w:iCs/>
        </w:rPr>
        <w:t xml:space="preserve">focus + context</w:t>
      </w:r>
      <w:r>
        <w:t xml:space="preserve"> </w:t>
      </w:r>
      <w:r>
        <w:t xml:space="preserve">: les lignes colorées attirent l’attention</w:t>
      </w:r>
      <w:r>
        <w:t xml:space="preserve"> </w:t>
      </w:r>
      <w:r>
        <w:t xml:space="preserve">pré-attentive tandis que le fond gris donne l’échelle.</w:t>
      </w:r>
    </w:p>
    <w:bookmarkEnd w:id="34"/>
    <w:bookmarkStart w:id="35" w:name="X963e1de2bbec55044abe590b030e5add336abbb"/>
    <w:p>
      <w:pPr>
        <w:pStyle w:val="Heading4"/>
      </w:pPr>
      <w:r>
        <w:t xml:space="preserve">4.1.2. Panneau B — Classement en barres horizontales divergentes</w:t>
      </w:r>
    </w:p>
    <w:p>
      <w:pPr>
        <w:pStyle w:val="FirstParagraph"/>
      </w:pPr>
      <w:r>
        <w:t xml:space="preserve">Ce panneau répond aux tâches</w:t>
      </w:r>
      <w:r>
        <w:t xml:space="preserve"> </w:t>
      </w:r>
      <w:r>
        <w:rPr>
          <w:i/>
          <w:iCs/>
        </w:rPr>
        <w:t xml:space="preserve">Discover → Outliers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Compare → Trends</w:t>
      </w:r>
      <w:r>
        <w:t xml:space="preserve">. Il classe les</w:t>
      </w:r>
      <w:r>
        <w:t xml:space="preserve"> </w:t>
      </w:r>
      <w:r>
        <w:t xml:space="preserve">employeurs du top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et du bottom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selon leur pente salariale.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78"/>
        <w:gridCol w:w="1627"/>
        <w:gridCol w:w="2386"/>
        <w:gridCol w:w="16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 de données</w:t>
            </w:r>
          </w:p>
        </w:tc>
        <w:tc>
          <w:tcPr/>
          <w:p>
            <w:pPr>
              <w:pStyle w:val="Compact"/>
            </w:pPr>
            <w:r>
              <w:t xml:space="preserve">Type (Munzner)</w:t>
            </w:r>
          </w:p>
        </w:tc>
        <w:tc>
          <w:tcPr/>
          <w:p>
            <w:pPr>
              <w:pStyle w:val="Compact"/>
            </w:pPr>
            <w:r>
              <w:t xml:space="preserve">Marque / Canal visuel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Pente de la masse salariale</w:t>
            </w:r>
          </w:p>
        </w:tc>
        <w:tc>
          <w:tcPr/>
          <w:p>
            <w:pPr>
              <w:pStyle w:val="Compact"/>
            </w:pPr>
            <w:r>
              <w:t xml:space="preserve">Quantitatif divergent</w:t>
            </w:r>
          </w:p>
        </w:tc>
        <w:tc>
          <w:tcPr/>
          <w:p>
            <w:pPr>
              <w:pStyle w:val="Compact"/>
            </w:pPr>
            <w:r>
              <w:t xml:space="preserve">Longueur de la barre (position X)</w:t>
            </w:r>
          </w:p>
        </w:tc>
        <w:tc>
          <w:tcPr/>
          <w:p>
            <w:pPr>
              <w:pStyle w:val="Compact"/>
            </w:pPr>
            <w:r>
              <w:t xml:space="preserve">Position = canal le plus précis. La barre horizontale laisse la place aux labels d’employeurs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Employeur</w:t>
            </w:r>
          </w:p>
        </w:tc>
        <w:tc>
          <w:tcPr/>
          <w:p>
            <w:pPr>
              <w:pStyle w:val="Compact"/>
            </w:pPr>
            <w:r>
              <w:t xml:space="preserve">Catégoriel nominal</w:t>
            </w:r>
          </w:p>
        </w:tc>
        <w:tc>
          <w:tcPr/>
          <w:p>
            <w:pPr>
              <w:pStyle w:val="Compact"/>
            </w:pPr>
            <w:r>
              <w:t xml:space="preserve">Position Y (trié par pente)</w:t>
            </w:r>
          </w:p>
        </w:tc>
        <w:tc>
          <w:tcPr/>
          <w:p>
            <w:pPr>
              <w:pStyle w:val="Compact"/>
            </w:pPr>
            <w:r>
              <w:t xml:space="preserve">Classement visuel : croissance en haut, déclin en bas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Signe de la pente</w:t>
            </w:r>
          </w:p>
        </w:tc>
        <w:tc>
          <w:tcPr/>
          <w:p>
            <w:pPr>
              <w:pStyle w:val="Compact"/>
            </w:pPr>
            <w:r>
              <w:t xml:space="preserve">Catégoriel binaire</w:t>
            </w:r>
          </w:p>
        </w:tc>
        <w:tc>
          <w:tcPr/>
          <w:p>
            <w:pPr>
              <w:pStyle w:val="Compact"/>
            </w:pPr>
            <w:r>
              <w:t xml:space="preserve">Teinte (vert / rouge)</w:t>
            </w:r>
          </w:p>
        </w:tc>
        <w:tc>
          <w:tcPr/>
          <w:p>
            <w:pPr>
              <w:pStyle w:val="Compact"/>
            </w:pPr>
            <w:r>
              <w:t xml:space="preserve">Cohérence chromatique avec le panneau A</w:t>
            </w:r>
          </w:p>
        </w:tc>
      </w:tr>
    </w:tbl>
    <w:p>
      <w:pPr>
        <w:pStyle w:val="BodyText"/>
      </w:pPr>
      <w:r>
        <w:rPr>
          <w:b/>
          <w:bCs/>
        </w:rPr>
        <w:t xml:space="preserve">Marque utilisée</w:t>
      </w:r>
      <w:r>
        <w:t xml:space="preserve"> </w:t>
      </w:r>
      <w:r>
        <w:t xml:space="preserve">: rectangle (</w:t>
      </w:r>
      <w:r>
        <w:rPr>
          <w:i/>
          <w:iCs/>
        </w:rPr>
        <w:t xml:space="preserve">bar mark</w:t>
      </w:r>
      <w:r>
        <w:t xml:space="preserve">), la marque la plus appropriée pour comparer des</w:t>
      </w:r>
      <w:r>
        <w:t xml:space="preserve"> </w:t>
      </w:r>
      <w:r>
        <w:t xml:space="preserve">quantités entre catégories. L’orientation horizontale est choisie pour que les labels</w:t>
      </w:r>
      <w:r>
        <w:t xml:space="preserve"> </w:t>
      </w:r>
      <w:r>
        <w:t xml:space="preserve">d’employeurs soient lisibles sans rotation de texte.</w:t>
      </w:r>
    </w:p>
    <w:p>
      <w:pPr>
        <w:pStyle w:val="BodyText"/>
      </w:pPr>
      <w:r>
        <w:t xml:space="preserve">Une ligne de référence à zéro matérialise la frontière entre croissance et déclin. Les barres</w:t>
      </w:r>
      <w:r>
        <w:t xml:space="preserve"> </w:t>
      </w:r>
      <w:r>
        <w:t xml:space="preserve">qui s’étendent vers la droite (pente positive) indiquent la croissance ; celles vers la gauche</w:t>
      </w:r>
      <w:r>
        <w:t xml:space="preserve"> </w:t>
      </w:r>
      <w:r>
        <w:t xml:space="preserve">(pente négative) signalent le déclin. Cette divergence est immédiatement perceptible grâce au</w:t>
      </w:r>
      <w:r>
        <w:t xml:space="preserve"> </w:t>
      </w:r>
      <w:r>
        <w:t xml:space="preserve">double encodage longueur + teinte.</w:t>
      </w:r>
    </w:p>
    <w:bookmarkEnd w:id="35"/>
    <w:bookmarkStart w:id="36" w:name="panneau-c-nuage-de-points-multi-encodé"/>
    <w:p>
      <w:pPr>
        <w:pStyle w:val="Heading4"/>
      </w:pPr>
      <w:r>
        <w:t xml:space="preserve">4.1.3. Panneau C — Nuage de points multi-encodé</w:t>
      </w:r>
    </w:p>
    <w:p>
      <w:pPr>
        <w:pStyle w:val="FirstParagraph"/>
      </w:pPr>
      <w:r>
        <w:t xml:space="preserve">Ce panneau répond aux tâches</w:t>
      </w:r>
      <w:r>
        <w:t xml:space="preserve"> </w:t>
      </w:r>
      <w:r>
        <w:rPr>
          <w:i/>
          <w:iCs/>
        </w:rPr>
        <w:t xml:space="preserve">Identify → Correlation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Discover → Outliers</w:t>
      </w:r>
      <w:r>
        <w:t xml:space="preserve">. Il représente</w:t>
      </w:r>
      <w:r>
        <w:t xml:space="preserve"> </w:t>
      </w:r>
      <w:r>
        <w:t xml:space="preserve">les 253 employeurs dans un espace bidimensionnel qui croise les deux indicateurs de tendance,</w:t>
      </w:r>
      <w:r>
        <w:t xml:space="preserve"> </w:t>
      </w:r>
      <w:r>
        <w:t xml:space="preserve">suivant l’approche du scatterplot pour données multidimensionnelles enseignée dans le cours</w:t>
      </w:r>
      <w:r>
        <w:t xml:space="preserve"> </w:t>
      </w:r>
      <w:r>
        <w:t xml:space="preserve">(Ghoniem &amp; Médoc, 2026,</w:t>
      </w:r>
      <w:r>
        <w:t xml:space="preserve"> </w:t>
      </w:r>
      <w:r>
        <w:rPr>
          <w:i/>
          <w:iCs/>
        </w:rPr>
        <w:t xml:space="preserve">Multidimensionnelles</w:t>
      </w:r>
      <w:r>
        <w:t xml:space="preserve">) et mise en pratique dans le tutoriel Tuto5</w:t>
      </w:r>
      <w:r>
        <w:t xml:space="preserve"> </w:t>
      </w:r>
      <w:r>
        <w:t xml:space="preserve">(Médoc, 2026).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78"/>
        <w:gridCol w:w="1627"/>
        <w:gridCol w:w="2386"/>
        <w:gridCol w:w="16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 de données</w:t>
            </w:r>
          </w:p>
        </w:tc>
        <w:tc>
          <w:tcPr/>
          <w:p>
            <w:pPr>
              <w:pStyle w:val="Compact"/>
            </w:pPr>
            <w:r>
              <w:t xml:space="preserve">Type (Munzner)</w:t>
            </w:r>
          </w:p>
        </w:tc>
        <w:tc>
          <w:tcPr/>
          <w:p>
            <w:pPr>
              <w:pStyle w:val="Compact"/>
            </w:pPr>
            <w:r>
              <w:t xml:space="preserve">Marque / Canal visuel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Pente de tendance des effectifs</w:t>
            </w:r>
          </w:p>
        </w:tc>
        <w:tc>
          <w:tcPr/>
          <w:p>
            <w:pPr>
              <w:pStyle w:val="Compact"/>
            </w:pPr>
            <w:r>
              <w:t xml:space="preserve">Quantitatif divergent</w:t>
            </w:r>
          </w:p>
        </w:tc>
        <w:tc>
          <w:tcPr/>
          <w:p>
            <w:pPr>
              <w:pStyle w:val="Compact"/>
            </w:pPr>
            <w:r>
              <w:t xml:space="preserve">Position X</w:t>
            </w:r>
          </w:p>
        </w:tc>
        <w:tc>
          <w:tcPr/>
          <w:p>
            <w:pPr>
              <w:pStyle w:val="Compact"/>
            </w:pPr>
            <w:r>
              <w:t xml:space="preserve">Dimension clé → canal le plus précis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Pente de la masse salariale</w:t>
            </w:r>
          </w:p>
        </w:tc>
        <w:tc>
          <w:tcPr/>
          <w:p>
            <w:pPr>
              <w:pStyle w:val="Compact"/>
            </w:pPr>
            <w:r>
              <w:t xml:space="preserve">Quantitatif continu</w:t>
            </w:r>
          </w:p>
        </w:tc>
        <w:tc>
          <w:tcPr/>
          <w:p>
            <w:pPr>
              <w:pStyle w:val="Compact"/>
            </w:pPr>
            <w:r>
              <w:t xml:space="preserve">Position Y</w:t>
            </w:r>
          </w:p>
        </w:tc>
        <w:tc>
          <w:tcPr/>
          <w:p>
            <w:pPr>
              <w:pStyle w:val="Compact"/>
            </w:pPr>
            <w:r>
              <w:t xml:space="preserve">Deuxième canal positionnel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Masse salariale totale</w:t>
            </w:r>
          </w:p>
        </w:tc>
        <w:tc>
          <w:tcPr/>
          <w:p>
            <w:pPr>
              <w:pStyle w:val="Compact"/>
            </w:pPr>
            <w:r>
              <w:t xml:space="preserve">Quantitatif continu</w:t>
            </w:r>
          </w:p>
        </w:tc>
        <w:tc>
          <w:tcPr/>
          <w:p>
            <w:pPr>
              <w:pStyle w:val="Compact"/>
            </w:pPr>
            <w:r>
              <w:t xml:space="preserve">Taille du cercle (</w:t>
            </w:r>
            <w:r>
              <w:rPr>
                <w:rStyle w:val="VerbatimChar"/>
              </w:rPr>
              <w:t xml:space="preserve">scaleSqrt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Troisième canal le plus efficace (</w:t>
            </w:r>
            <w:r>
              <w:rPr>
                <w:i/>
                <w:iCs/>
              </w:rPr>
              <w:t xml:space="preserve">Introduction</w:t>
            </w:r>
            <w:r>
              <w:t xml:space="preserve">, p. 34). L’échelle en racine carrée assure une perception proportionnelle des aires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 de performance global</w:t>
            </w:r>
          </w:p>
        </w:tc>
        <w:tc>
          <w:tcPr/>
          <w:p>
            <w:pPr>
              <w:pStyle w:val="Compact"/>
            </w:pPr>
            <w:r>
              <w:t xml:space="preserve">Quantitatif continu</w:t>
            </w:r>
          </w:p>
        </w:tc>
        <w:tc>
          <w:tcPr/>
          <w:p>
            <w:pPr>
              <w:pStyle w:val="Compact"/>
            </w:pPr>
            <w:r>
              <w:t xml:space="preserve">Couleur (palette séquentielle RdYlGn)</w:t>
            </w:r>
          </w:p>
        </w:tc>
        <w:tc>
          <w:tcPr/>
          <w:p>
            <w:pPr>
              <w:pStyle w:val="Compact"/>
            </w:pPr>
            <w:r>
              <w:t xml:space="preserve">Double encodage justifié : renforce la perception pré-attentive (</w:t>
            </w:r>
            <w:r>
              <w:rPr>
                <w:i/>
                <w:iCs/>
              </w:rPr>
              <w:t xml:space="preserve">Introduction</w:t>
            </w:r>
            <w:r>
              <w:t xml:space="preserve">, p. 18)</w:t>
            </w:r>
          </w:p>
        </w:tc>
      </w:tr>
    </w:tbl>
    <w:p>
      <w:pPr>
        <w:pStyle w:val="BodyText"/>
      </w:pPr>
      <w:r>
        <w:rPr>
          <w:b/>
          <w:bCs/>
        </w:rPr>
        <w:t xml:space="preserve">Marque utilisée</w:t>
      </w:r>
      <w:r>
        <w:t xml:space="preserve"> </w:t>
      </w:r>
      <w:r>
        <w:t xml:space="preserve">: point (</w:t>
      </w:r>
      <w:r>
        <w:rPr>
          <w:i/>
          <w:iCs/>
        </w:rPr>
        <w:t xml:space="preserve">dot mark</w:t>
      </w:r>
      <w:r>
        <w:t xml:space="preserve">), la marque canonique du nuage de points. Quatre</w:t>
      </w:r>
      <w:r>
        <w:t xml:space="preserve"> </w:t>
      </w:r>
      <w:r>
        <w:t xml:space="preserve">attributs de données sont encodés simultanément (position X, position Y, taille, couleur),</w:t>
      </w:r>
      <w:r>
        <w:t xml:space="preserve"> </w:t>
      </w:r>
      <w:r>
        <w:t xml:space="preserve">exploitant la capacité du scatterplot à représenter des données multidimensionnelles.</w:t>
      </w:r>
    </w:p>
    <w:p>
      <w:pPr>
        <w:pStyle w:val="BodyText"/>
      </w:pPr>
      <w:r>
        <w:t xml:space="preserve">Deux lignes de référence en pointillés matérialisent les axes à zéro, divisant l’espace en</w:t>
      </w:r>
      <w:r>
        <w:t xml:space="preserve"> </w:t>
      </w:r>
      <w:r>
        <w:t xml:space="preserve">quatre quadrants sémantiques. Le quadrant supérieur droit (pentes positives sur les deux axes)</w:t>
      </w:r>
      <w:r>
        <w:t xml:space="preserve"> </w:t>
      </w:r>
      <w:r>
        <w:t xml:space="preserve">correspond aux employeurs prospères ; le quadrant inférieur gauche (pentes négatives) signale</w:t>
      </w:r>
      <w:r>
        <w:t xml:space="preserve"> </w:t>
      </w:r>
      <w:r>
        <w:t xml:space="preserve">les entreprises en difficulté. Les quadrants mixtes révèlent des situations ambiguës — par</w:t>
      </w:r>
      <w:r>
        <w:t xml:space="preserve"> </w:t>
      </w:r>
      <w:r>
        <w:t xml:space="preserve">exemple un employeur dont la masse salariale croît mais qui perd des employés.</w:t>
      </w:r>
    </w:p>
    <w:bookmarkEnd w:id="36"/>
    <w:bookmarkEnd w:id="37"/>
    <w:bookmarkStart w:id="41" w:name="q2-santé-financière-des-résidents-1"/>
    <w:p>
      <w:pPr>
        <w:pStyle w:val="Heading3"/>
      </w:pPr>
      <w:r>
        <w:t xml:space="preserve">4.2. Q2 — Santé financière des résidents</w:t>
      </w:r>
    </w:p>
    <w:p>
      <w:pPr>
        <w:pStyle w:val="FirstParagraph"/>
      </w:pPr>
      <w:r>
        <w:t xml:space="preserve">Le tableau de bord Q2 est composé de trois panneaux coordonnés qui permettent d’analyser la</w:t>
      </w:r>
      <w:r>
        <w:t xml:space="preserve"> </w:t>
      </w:r>
      <w:r>
        <w:t xml:space="preserve">situation financière des résidents à trois niveaux de granularité : agrégé par catégorie de</w:t>
      </w:r>
      <w:r>
        <w:t xml:space="preserve"> </w:t>
      </w:r>
      <w:r>
        <w:t xml:space="preserve">dépense (panneau D), distribué par mois (panneau E), et individuel dans l’espace des pentes</w:t>
      </w:r>
      <w:r>
        <w:t xml:space="preserve"> </w:t>
      </w:r>
      <w:r>
        <w:t xml:space="preserve">(panneau F).</w:t>
      </w:r>
    </w:p>
    <w:bookmarkStart w:id="38" w:name="X328ff7f0424d046d3ed5aafbe8b338d7381dc82"/>
    <w:p>
      <w:pPr>
        <w:pStyle w:val="Heading4"/>
      </w:pPr>
      <w:r>
        <w:t xml:space="preserve">4.2.1. Panneau D — Diagramme à aires empilées avec ligne de revenu</w:t>
      </w:r>
    </w:p>
    <w:p>
      <w:pPr>
        <w:pStyle w:val="FirstParagraph"/>
      </w:pPr>
      <w:r>
        <w:t xml:space="preserve">Ce panneau répond aux tâches</w:t>
      </w:r>
      <w:r>
        <w:t xml:space="preserve"> </w:t>
      </w:r>
      <w:r>
        <w:rPr>
          <w:i/>
          <w:iCs/>
        </w:rPr>
        <w:t xml:space="preserve">Summarize → Trends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Compare → Distribution</w:t>
      </w:r>
      <w:r>
        <w:t xml:space="preserve">. Il superpose</w:t>
      </w:r>
      <w:r>
        <w:t xml:space="preserve"> </w:t>
      </w:r>
      <w:r>
        <w:t xml:space="preserve">l’évolution des dépenses mensuelles (aires empilées par catégorie) et du revenu (ligne</w:t>
      </w:r>
      <w:r>
        <w:t xml:space="preserve"> </w:t>
      </w:r>
      <w:r>
        <w:t xml:space="preserve">superposée), permettant de visualiser simultanément la structure des dépenses et le différentiel</w:t>
      </w:r>
      <w:r>
        <w:t xml:space="preserve"> </w:t>
      </w:r>
      <w:r>
        <w:t xml:space="preserve">revenu/dépenses. Lorsqu’un cluster est sélectionné, le panneau affiche les médianes du cluster</w:t>
      </w:r>
      <w:r>
        <w:t xml:space="preserve"> </w:t>
      </w:r>
      <w:r>
        <w:t xml:space="preserve">avec des lignes pointillées de référence représentant les médianes de l’ensemble des résidents.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78"/>
        <w:gridCol w:w="1627"/>
        <w:gridCol w:w="2386"/>
        <w:gridCol w:w="16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 de données</w:t>
            </w:r>
          </w:p>
        </w:tc>
        <w:tc>
          <w:tcPr/>
          <w:p>
            <w:pPr>
              <w:pStyle w:val="Compact"/>
            </w:pPr>
            <w:r>
              <w:t xml:space="preserve">Type (Munzner)</w:t>
            </w:r>
          </w:p>
        </w:tc>
        <w:tc>
          <w:tcPr/>
          <w:p>
            <w:pPr>
              <w:pStyle w:val="Compact"/>
            </w:pPr>
            <w:r>
              <w:t xml:space="preserve">Marque / Canal visuel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Mois</w:t>
            </w:r>
          </w:p>
        </w:tc>
        <w:tc>
          <w:tcPr/>
          <w:p>
            <w:pPr>
              <w:pStyle w:val="Compact"/>
            </w:pPr>
            <w:r>
              <w:t xml:space="preserve">Quantitatif ordonné</w:t>
            </w:r>
          </w:p>
        </w:tc>
        <w:tc>
          <w:tcPr/>
          <w:p>
            <w:pPr>
              <w:pStyle w:val="Compact"/>
            </w:pPr>
            <w:r>
              <w:t xml:space="preserve">Position X</w:t>
            </w:r>
          </w:p>
        </w:tc>
        <w:tc>
          <w:tcPr/>
          <w:p>
            <w:pPr>
              <w:pStyle w:val="Compact"/>
            </w:pPr>
            <w:r>
              <w:t xml:space="preserve">Canal le plus précis pour les données temporelles (</w:t>
            </w:r>
            <w:r>
              <w:rPr>
                <w:i/>
                <w:iCs/>
              </w:rPr>
              <w:t xml:space="preserve">Introduction</w:t>
            </w:r>
            <w:r>
              <w:t xml:space="preserve">, p. 34)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Montant des dépenses</w:t>
            </w:r>
          </w:p>
        </w:tc>
        <w:tc>
          <w:tcPr/>
          <w:p>
            <w:pPr>
              <w:pStyle w:val="Compact"/>
            </w:pPr>
            <w:r>
              <w:t xml:space="preserve">Quantitatif continu</w:t>
            </w:r>
          </w:p>
        </w:tc>
        <w:tc>
          <w:tcPr/>
          <w:p>
            <w:pPr>
              <w:pStyle w:val="Compact"/>
            </w:pPr>
            <w:r>
              <w:t xml:space="preserve">Position Y (empilée)</w:t>
            </w:r>
          </w:p>
        </w:tc>
        <w:tc>
          <w:tcPr/>
          <w:p>
            <w:pPr>
              <w:pStyle w:val="Compact"/>
            </w:pPr>
            <w:r>
              <w:t xml:space="preserve">Les aires empilées montrent à la fois les parts relatives et le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Catégorie de dépense (Shelter, Food, Recreation, Education)</w:t>
            </w:r>
          </w:p>
        </w:tc>
        <w:tc>
          <w:tcPr/>
          <w:p>
            <w:pPr>
              <w:pStyle w:val="Compact"/>
            </w:pPr>
            <w:r>
              <w:t xml:space="preserve">Catégoriel nominal</w:t>
            </w:r>
          </w:p>
        </w:tc>
        <w:tc>
          <w:tcPr/>
          <w:p>
            <w:pPr>
              <w:pStyle w:val="Compact"/>
            </w:pPr>
            <w:r>
              <w:t xml:space="preserve">Teinte (palette catégorielle)</w:t>
            </w:r>
          </w:p>
        </w:tc>
        <w:tc>
          <w:tcPr/>
          <w:p>
            <w:pPr>
              <w:pStyle w:val="Compact"/>
            </w:pPr>
            <w:r>
              <w:t xml:space="preserve">Canal le plus efficace pour le nominal (</w:t>
            </w:r>
            <w:r>
              <w:rPr>
                <w:i/>
                <w:iCs/>
              </w:rPr>
              <w:t xml:space="preserve">Introduction</w:t>
            </w:r>
            <w:r>
              <w:t xml:space="preserve">, p. 53). Quatre teintes distinctes permettent l’identification pré-attentive de chaque poste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 mensuel</w:t>
            </w:r>
          </w:p>
        </w:tc>
        <w:tc>
          <w:tcPr/>
          <w:p>
            <w:pPr>
              <w:pStyle w:val="Compact"/>
            </w:pPr>
            <w:r>
              <w:t xml:space="preserve">Quantitatif continu</w:t>
            </w:r>
          </w:p>
        </w:tc>
        <w:tc>
          <w:tcPr/>
          <w:p>
            <w:pPr>
              <w:pStyle w:val="Compact"/>
            </w:pPr>
            <w:r>
              <w:t xml:space="preserve">Ligne superposée (position Y)</w:t>
            </w:r>
          </w:p>
        </w:tc>
        <w:tc>
          <w:tcPr/>
          <w:p>
            <w:pPr>
              <w:pStyle w:val="Compact"/>
            </w:pPr>
            <w:r>
              <w:t xml:space="preserve">La distinction marque ligne vs marque aire sépare visuellement revenu et dépenses sans ajouter de dimension spatiale</w:t>
            </w:r>
          </w:p>
        </w:tc>
      </w:tr>
    </w:tbl>
    <w:p>
      <w:pPr>
        <w:pStyle w:val="BodyText"/>
      </w:pPr>
      <w:r>
        <w:rPr>
          <w:b/>
          <w:bCs/>
        </w:rPr>
        <w:t xml:space="preserve">Marques utilisées</w:t>
      </w:r>
      <w:r>
        <w:t xml:space="preserve"> </w:t>
      </w:r>
      <w:r>
        <w:t xml:space="preserve">: aire (</w:t>
      </w:r>
      <w:r>
        <w:rPr>
          <w:i/>
          <w:iCs/>
        </w:rPr>
        <w:t xml:space="preserve">area mark</w:t>
      </w:r>
      <w:r>
        <w:t xml:space="preserve">) pour les dépenses empilées, ligne (</w:t>
      </w:r>
      <w:r>
        <w:rPr>
          <w:i/>
          <w:iCs/>
        </w:rPr>
        <w:t xml:space="preserve">line mark</w:t>
      </w:r>
      <w:r>
        <w:t xml:space="preserve">)</w:t>
      </w:r>
      <w:r>
        <w:t xml:space="preserve"> </w:t>
      </w:r>
      <w:r>
        <w:t xml:space="preserve">pour le revenu. Cette combinaison relève des techniques axiales pour données</w:t>
      </w:r>
      <w:r>
        <w:t xml:space="preserve"> </w:t>
      </w:r>
      <w:r>
        <w:t xml:space="preserve">multidimensionnelles (Ghoniem &amp; Médoc, 2026,</w:t>
      </w:r>
      <w:r>
        <w:t xml:space="preserve"> </w:t>
      </w:r>
      <w:r>
        <w:rPr>
          <w:i/>
          <w:iCs/>
        </w:rPr>
        <w:t xml:space="preserve">Multidimensionnelles</w:t>
      </w:r>
      <w:r>
        <w:t xml:space="preserve">).</w:t>
      </w:r>
    </w:p>
    <w:bookmarkEnd w:id="38"/>
    <w:bookmarkStart w:id="39" w:name="Xd761fbc2fce1bbe2540ce5757a09fefba99a1d2"/>
    <w:p>
      <w:pPr>
        <w:pStyle w:val="Heading4"/>
      </w:pPr>
      <w:r>
        <w:t xml:space="preserve">4.2.2. Panneau E — Boîte à moustaches du solde net mensuel</w:t>
      </w:r>
    </w:p>
    <w:p>
      <w:pPr>
        <w:pStyle w:val="FirstParagraph"/>
      </w:pPr>
      <w:r>
        <w:t xml:space="preserve">Ce panneau répond aux tâches</w:t>
      </w:r>
      <w:r>
        <w:t xml:space="preserve"> </w:t>
      </w:r>
      <w:r>
        <w:rPr>
          <w:i/>
          <w:iCs/>
        </w:rPr>
        <w:t xml:space="preserve">Compare → Distribution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Discover → Outliers</w:t>
      </w:r>
      <w:r>
        <w:t xml:space="preserve">. Il affiche la</w:t>
      </w:r>
      <w:r>
        <w:t xml:space="preserve"> </w:t>
      </w:r>
      <w:r>
        <w:t xml:space="preserve">distribution du solde net (revenu − dépenses) sous forme de boîtes à moustaches mensuelles,</w:t>
      </w:r>
      <w:r>
        <w:t xml:space="preserve"> </w:t>
      </w:r>
      <w:r>
        <w:t xml:space="preserve">permettant de suivre l’évolution de la dispersion et de la position centrale au fil du temps.</w:t>
      </w:r>
      <w:r>
        <w:t xml:space="preserve"> </w:t>
      </w:r>
      <w:r>
        <w:t xml:space="preserve">Lorsqu’un résident est survolé ou sélectionné, sa trajectoire individuelle est superposée aux</w:t>
      </w:r>
      <w:r>
        <w:t xml:space="preserve"> </w:t>
      </w:r>
      <w:r>
        <w:t xml:space="preserve">boîtes.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78"/>
        <w:gridCol w:w="1627"/>
        <w:gridCol w:w="2386"/>
        <w:gridCol w:w="16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 de données</w:t>
            </w:r>
          </w:p>
        </w:tc>
        <w:tc>
          <w:tcPr/>
          <w:p>
            <w:pPr>
              <w:pStyle w:val="Compact"/>
            </w:pPr>
            <w:r>
              <w:t xml:space="preserve">Type (Munzner)</w:t>
            </w:r>
          </w:p>
        </w:tc>
        <w:tc>
          <w:tcPr/>
          <w:p>
            <w:pPr>
              <w:pStyle w:val="Compact"/>
            </w:pPr>
            <w:r>
              <w:t xml:space="preserve">Marque / Canal visuel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Mois</w:t>
            </w:r>
          </w:p>
        </w:tc>
        <w:tc>
          <w:tcPr/>
          <w:p>
            <w:pPr>
              <w:pStyle w:val="Compact"/>
            </w:pPr>
            <w:r>
              <w:t xml:space="preserve">Quantitatif ordonné</w:t>
            </w:r>
          </w:p>
        </w:tc>
        <w:tc>
          <w:tcPr/>
          <w:p>
            <w:pPr>
              <w:pStyle w:val="Compact"/>
            </w:pPr>
            <w:r>
              <w:t xml:space="preserve">Position X (bande)</w:t>
            </w:r>
          </w:p>
        </w:tc>
        <w:tc>
          <w:tcPr/>
          <w:p>
            <w:pPr>
              <w:pStyle w:val="Compact"/>
            </w:pPr>
            <w:r>
              <w:t xml:space="preserve">Échelle à bandes pour juxtaposer les distributions mensuelles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Solde net</w:t>
            </w:r>
          </w:p>
        </w:tc>
        <w:tc>
          <w:tcPr/>
          <w:p>
            <w:pPr>
              <w:pStyle w:val="Compact"/>
            </w:pPr>
            <w:r>
              <w:t xml:space="preserve">Quantitatif continu</w:t>
            </w:r>
          </w:p>
        </w:tc>
        <w:tc>
          <w:tcPr/>
          <w:p>
            <w:pPr>
              <w:pStyle w:val="Compact"/>
            </w:pPr>
            <w:r>
              <w:t xml:space="preserve">Position Y</w:t>
            </w:r>
          </w:p>
        </w:tc>
        <w:tc>
          <w:tcPr/>
          <w:p>
            <w:pPr>
              <w:pStyle w:val="Compact"/>
            </w:pPr>
            <w:r>
              <w:t xml:space="preserve">Canal le plus précis pour les quantités financières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Quartiles, médiane, moustaches</w:t>
            </w:r>
          </w:p>
        </w:tc>
        <w:tc>
          <w:tcPr/>
          <w:p>
            <w:pPr>
              <w:pStyle w:val="Compact"/>
            </w:pPr>
            <w:r>
              <w:t xml:space="preserve">Quantitatif continu</w:t>
            </w:r>
          </w:p>
        </w:tc>
        <w:tc>
          <w:tcPr/>
          <w:p>
            <w:pPr>
              <w:pStyle w:val="Compact"/>
            </w:pPr>
            <w:r>
              <w:t xml:space="preserve">Marque composite box-whisker</w:t>
            </w:r>
          </w:p>
        </w:tc>
        <w:tc>
          <w:tcPr/>
          <w:p>
            <w:pPr>
              <w:pStyle w:val="Compact"/>
            </w:pPr>
            <w:r>
              <w:t xml:space="preserve">Représentation canonique de la distribution — Q1, médiane, Q3, moustaches et outliers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 du résident</w:t>
            </w:r>
          </w:p>
        </w:tc>
        <w:tc>
          <w:tcPr/>
          <w:p>
            <w:pPr>
              <w:pStyle w:val="Compact"/>
            </w:pPr>
            <w:r>
              <w:t xml:space="preserve">Catégoriel nominal</w:t>
            </w:r>
          </w:p>
        </w:tc>
        <w:tc>
          <w:tcPr/>
          <w:p>
            <w:pPr>
              <w:pStyle w:val="Compact"/>
            </w:pPr>
            <w:r>
              <w:t xml:space="preserve">Teinte (points outliers et trajectoire)</w:t>
            </w:r>
          </w:p>
        </w:tc>
        <w:tc>
          <w:tcPr/>
          <w:p>
            <w:pPr>
              <w:pStyle w:val="Compact"/>
            </w:pPr>
            <w:r>
              <w:t xml:space="preserve">Cohérence chromatique avec le panneau F pour le suivi inter-vues</w:t>
            </w:r>
          </w:p>
        </w:tc>
      </w:tr>
    </w:tbl>
    <w:p>
      <w:pPr>
        <w:pStyle w:val="BodyText"/>
      </w:pPr>
      <w:r>
        <w:rPr>
          <w:b/>
          <w:bCs/>
        </w:rPr>
        <w:t xml:space="preserve">Marque utilisée</w:t>
      </w:r>
      <w:r>
        <w:t xml:space="preserve"> </w:t>
      </w:r>
      <w:r>
        <w:t xml:space="preserve">: marque composite boîte-à-moustaches (</w:t>
      </w:r>
      <w:r>
        <w:rPr>
          <w:i/>
          <w:iCs/>
        </w:rPr>
        <w:t xml:space="preserve">box-whisker mark</w:t>
      </w:r>
      <w:r>
        <w:t xml:space="preserve">), complétée par</w:t>
      </w:r>
      <w:r>
        <w:t xml:space="preserve"> </w:t>
      </w:r>
      <w:r>
        <w:t xml:space="preserve">des points (</w:t>
      </w:r>
      <w:r>
        <w:rPr>
          <w:i/>
          <w:iCs/>
        </w:rPr>
        <w:t xml:space="preserve">dot marks</w:t>
      </w:r>
      <w:r>
        <w:t xml:space="preserve">) pour les outliers et les trajectoires individuelles.</w:t>
      </w:r>
    </w:p>
    <w:bookmarkEnd w:id="39"/>
    <w:bookmarkStart w:id="40" w:name="X0fbdf160f8f3fe67ed116e4a3a8aaf02fbcc2d7"/>
    <w:p>
      <w:pPr>
        <w:pStyle w:val="Heading4"/>
      </w:pPr>
      <w:r>
        <w:t xml:space="preserve">4.2.3. Panneau F — Nuage de points des résidents par cluster</w:t>
      </w:r>
    </w:p>
    <w:p>
      <w:pPr>
        <w:pStyle w:val="FirstParagraph"/>
      </w:pPr>
      <w:r>
        <w:t xml:space="preserve">Ce panneau répond aux tâches</w:t>
      </w:r>
      <w:r>
        <w:t xml:space="preserve"> </w:t>
      </w:r>
      <w:r>
        <w:rPr>
          <w:i/>
          <w:iCs/>
        </w:rPr>
        <w:t xml:space="preserve">Discover → Clusters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Discover → Outliers</w:t>
      </w:r>
      <w:r>
        <w:t xml:space="preserve">. Il représente</w:t>
      </w:r>
      <w:r>
        <w:t xml:space="preserve"> </w:t>
      </w:r>
      <w:r>
        <w:t xml:space="preserve">chaque résident dans l’espace bidimensionnel des pentes (pente du revenu en X, pente du solde</w:t>
      </w:r>
      <w:r>
        <w:t xml:space="preserve"> </w:t>
      </w:r>
      <w:r>
        <w:t xml:space="preserve">net en Y), coloré par cluster et dimensionné par le revenu moyen. Quatre labels de quadrant</w:t>
      </w:r>
      <w:r>
        <w:t xml:space="preserve"> </w:t>
      </w:r>
      <w:r>
        <w:t xml:space="preserve">(Improving, Declining, Cutting costs, Cost of living rising) guident l’interprétation.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78"/>
        <w:gridCol w:w="1627"/>
        <w:gridCol w:w="2386"/>
        <w:gridCol w:w="16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 de données</w:t>
            </w:r>
          </w:p>
        </w:tc>
        <w:tc>
          <w:tcPr/>
          <w:p>
            <w:pPr>
              <w:pStyle w:val="Compact"/>
            </w:pPr>
            <w:r>
              <w:t xml:space="preserve">Type (Munzner)</w:t>
            </w:r>
          </w:p>
        </w:tc>
        <w:tc>
          <w:tcPr/>
          <w:p>
            <w:pPr>
              <w:pStyle w:val="Compact"/>
            </w:pPr>
            <w:r>
              <w:t xml:space="preserve">Marque / Canal visuel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Pente du revenu (</w:t>
            </w:r>
            <w:r>
              <w:rPr>
                <w:rStyle w:val="VerbatimChar"/>
              </w:rPr>
              <w:t xml:space="preserve">income_slope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Quantitatif divergent</w:t>
            </w:r>
          </w:p>
        </w:tc>
        <w:tc>
          <w:tcPr/>
          <w:p>
            <w:pPr>
              <w:pStyle w:val="Compact"/>
            </w:pPr>
            <w:r>
              <w:t xml:space="preserve">Position X</w:t>
            </w:r>
          </w:p>
        </w:tc>
        <w:tc>
          <w:tcPr/>
          <w:p>
            <w:pPr>
              <w:pStyle w:val="Compact"/>
            </w:pPr>
            <w:r>
              <w:t xml:space="preserve">Dimension clé → canal le plus précis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Pente du solde net (</w:t>
            </w:r>
            <w:r>
              <w:rPr>
                <w:rStyle w:val="VerbatimChar"/>
              </w:rPr>
              <w:t xml:space="preserve">net_balance_slope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Quantitatif divergent</w:t>
            </w:r>
          </w:p>
        </w:tc>
        <w:tc>
          <w:tcPr/>
          <w:p>
            <w:pPr>
              <w:pStyle w:val="Compact"/>
            </w:pPr>
            <w:r>
              <w:t xml:space="preserve">Position Y</w:t>
            </w:r>
          </w:p>
        </w:tc>
        <w:tc>
          <w:tcPr/>
          <w:p>
            <w:pPr>
              <w:pStyle w:val="Compact"/>
            </w:pPr>
            <w:r>
              <w:t xml:space="preserve">Deuxième canal positionnel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</w:t>
            </w:r>
          </w:p>
        </w:tc>
        <w:tc>
          <w:tcPr/>
          <w:p>
            <w:pPr>
              <w:pStyle w:val="Compact"/>
            </w:pPr>
            <w:r>
              <w:t xml:space="preserve">Catégoriel nominal</w:t>
            </w:r>
          </w:p>
        </w:tc>
        <w:tc>
          <w:tcPr/>
          <w:p>
            <w:pPr>
              <w:pStyle w:val="Compact"/>
            </w:pPr>
            <w:r>
              <w:t xml:space="preserve">Teinte (palette ordinale)</w:t>
            </w:r>
          </w:p>
        </w:tc>
        <w:tc>
          <w:tcPr/>
          <w:p>
            <w:pPr>
              <w:pStyle w:val="Compact"/>
            </w:pPr>
            <w:r>
              <w:t xml:space="preserve">Canal le plus efficace pour le nominal (</w:t>
            </w:r>
            <w:r>
              <w:rPr>
                <w:i/>
                <w:iCs/>
              </w:rPr>
              <w:t xml:space="preserve">Introduction</w:t>
            </w:r>
            <w:r>
              <w:t xml:space="preserve">, p. 53). Les clusters (Improving, Stable, Declining) sont immédiatement distinguables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 moyen (</w:t>
            </w:r>
            <w:r>
              <w:rPr>
                <w:rStyle w:val="VerbatimChar"/>
              </w:rPr>
              <w:t xml:space="preserve">avg_income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Quantitatif continu</w:t>
            </w:r>
          </w:p>
        </w:tc>
        <w:tc>
          <w:tcPr/>
          <w:p>
            <w:pPr>
              <w:pStyle w:val="Compact"/>
            </w:pPr>
            <w:r>
              <w:t xml:space="preserve">Taille du cercle (</w:t>
            </w:r>
            <w:r>
              <w:rPr>
                <w:rStyle w:val="VerbatimChar"/>
              </w:rPr>
              <w:t xml:space="preserve">scaleSqrt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Troisième canal le plus efficace (</w:t>
            </w:r>
            <w:r>
              <w:rPr>
                <w:i/>
                <w:iCs/>
              </w:rPr>
              <w:t xml:space="preserve">Introduction</w:t>
            </w:r>
            <w:r>
              <w:t xml:space="preserve">, p. 34). Échelle en racine carrée pour la perception proportionnelle des aires</w:t>
            </w:r>
          </w:p>
        </w:tc>
      </w:tr>
    </w:tbl>
    <w:p>
      <w:pPr>
        <w:pStyle w:val="BodyText"/>
      </w:pPr>
      <w:r>
        <w:rPr>
          <w:b/>
          <w:bCs/>
        </w:rPr>
        <w:t xml:space="preserve">Marque utilisée</w:t>
      </w:r>
      <w:r>
        <w:t xml:space="preserve"> </w:t>
      </w:r>
      <w:r>
        <w:t xml:space="preserve">: point (</w:t>
      </w:r>
      <w:r>
        <w:rPr>
          <w:i/>
          <w:iCs/>
        </w:rPr>
        <w:t xml:space="preserve">dot mark</w:t>
      </w:r>
      <w:r>
        <w:t xml:space="preserve">), suivant le même patron que le panneau C (Q1). Ce</w:t>
      </w:r>
      <w:r>
        <w:t xml:space="preserve"> </w:t>
      </w:r>
      <w:r>
        <w:t xml:space="preserve">scatterplot multi-encodé est directement inspiré du tutoriel Tuto5 (Médoc, 2026) et illustre</w:t>
      </w:r>
      <w:r>
        <w:t xml:space="preserve"> </w:t>
      </w:r>
      <w:r>
        <w:t xml:space="preserve">la technique du scatterplot pour données multidimensionnelles (Ghoniem &amp; Médoc, 2026,</w:t>
      </w:r>
      <w:r>
        <w:t xml:space="preserve"> </w:t>
      </w:r>
      <w:r>
        <w:rPr>
          <w:i/>
          <w:iCs/>
        </w:rPr>
        <w:t xml:space="preserve">Multidimensionnelles</w:t>
      </w:r>
      <w:r>
        <w:t xml:space="preserve">). Les lignes de référence à zéro divisent l’espace en quatre quadrants</w:t>
      </w:r>
      <w:r>
        <w:t xml:space="preserve"> </w:t>
      </w:r>
      <w:r>
        <w:t xml:space="preserve">sémantiques facilitant la lecture des trajectoires financières.</w:t>
      </w:r>
    </w:p>
    <w:bookmarkEnd w:id="40"/>
    <w:bookmarkEnd w:id="41"/>
    <w:bookmarkStart w:id="45" w:name="q3-dynamique-demploi-et-turnover-1"/>
    <w:p>
      <w:pPr>
        <w:pStyle w:val="Heading3"/>
      </w:pPr>
      <w:r>
        <w:t xml:space="preserve">4.3. Q3 — Dynamique d’emploi et turnover</w:t>
      </w:r>
    </w:p>
    <w:p>
      <w:pPr>
        <w:pStyle w:val="FirstParagraph"/>
      </w:pPr>
      <w:r>
        <w:t xml:space="preserve">Le tableau de bord Q3 est composé de trois panneaux coordonnés qui permettent d’analyser la</w:t>
      </w:r>
      <w:r>
        <w:t xml:space="preserve"> </w:t>
      </w:r>
      <w:r>
        <w:t xml:space="preserve">dynamique d’emploi sous trois angles : la répartition spatio-temporelle du turnover (panneau G),</w:t>
      </w:r>
      <w:r>
        <w:t xml:space="preserve"> </w:t>
      </w:r>
      <w:r>
        <w:t xml:space="preserve">le classement des employeurs (panneau H) et la corrélation entre turnover et attributs</w:t>
      </w:r>
      <w:r>
        <w:t xml:space="preserve"> </w:t>
      </w:r>
      <w:r>
        <w:t xml:space="preserve">structurels (panneau I).</w:t>
      </w:r>
    </w:p>
    <w:bookmarkStart w:id="42" w:name="Xdf917e17fbe961b585ab3961189aa5ec0527c99"/>
    <w:p>
      <w:pPr>
        <w:pStyle w:val="Heading4"/>
      </w:pPr>
      <w:r>
        <w:t xml:space="preserve">4.3.1. Panneau G — Carte de chaleur employeur × mois</w:t>
      </w:r>
    </w:p>
    <w:p>
      <w:pPr>
        <w:pStyle w:val="FirstParagraph"/>
      </w:pPr>
      <w:r>
        <w:t xml:space="preserve">Ce panneau répond aux tâches</w:t>
      </w:r>
      <w:r>
        <w:t xml:space="preserve"> </w:t>
      </w:r>
      <w:r>
        <w:rPr>
          <w:i/>
          <w:iCs/>
        </w:rPr>
        <w:t xml:space="preserve">Summarize → Trends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Compare → Trends</w:t>
      </w:r>
      <w:r>
        <w:t xml:space="preserve">. Il affiche une</w:t>
      </w:r>
      <w:r>
        <w:t xml:space="preserve"> </w:t>
      </w:r>
      <w:r>
        <w:t xml:space="preserve">matrice où chaque cellule représente le taux de turnover d’un employeur pour un mois donné,</w:t>
      </w:r>
      <w:r>
        <w:t xml:space="preserve"> </w:t>
      </w:r>
      <w:r>
        <w:t xml:space="preserve">colorée selon une palette séquentielle OrRd. Les employeurs sont triés par turnover moyen :</w:t>
      </w:r>
      <w:r>
        <w:t xml:space="preserve"> </w:t>
      </w:r>
      <w:r>
        <w:t xml:space="preserve">les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plus instables en haut, les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plus stables en bas, séparés par une ligne pointillée.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78"/>
        <w:gridCol w:w="1627"/>
        <w:gridCol w:w="2386"/>
        <w:gridCol w:w="16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 de données</w:t>
            </w:r>
          </w:p>
        </w:tc>
        <w:tc>
          <w:tcPr/>
          <w:p>
            <w:pPr>
              <w:pStyle w:val="Compact"/>
            </w:pPr>
            <w:r>
              <w:t xml:space="preserve">Type (Munzner)</w:t>
            </w:r>
          </w:p>
        </w:tc>
        <w:tc>
          <w:tcPr/>
          <w:p>
            <w:pPr>
              <w:pStyle w:val="Compact"/>
            </w:pPr>
            <w:r>
              <w:t xml:space="preserve">Marque / Canal visuel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Mois</w:t>
            </w:r>
          </w:p>
        </w:tc>
        <w:tc>
          <w:tcPr/>
          <w:p>
            <w:pPr>
              <w:pStyle w:val="Compact"/>
            </w:pPr>
            <w:r>
              <w:t xml:space="preserve">Quantitatif ordonné</w:t>
            </w:r>
          </w:p>
        </w:tc>
        <w:tc>
          <w:tcPr/>
          <w:p>
            <w:pPr>
              <w:pStyle w:val="Compact"/>
            </w:pPr>
            <w:r>
              <w:t xml:space="preserve">Position X (bande)</w:t>
            </w:r>
          </w:p>
        </w:tc>
        <w:tc>
          <w:tcPr/>
          <w:p>
            <w:pPr>
              <w:pStyle w:val="Compact"/>
            </w:pPr>
            <w:r>
              <w:t xml:space="preserve">Échelle à bandes pour la discrétisation mensuelle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Employeur</w:t>
            </w:r>
          </w:p>
        </w:tc>
        <w:tc>
          <w:tcPr/>
          <w:p>
            <w:pPr>
              <w:pStyle w:val="Compact"/>
            </w:pPr>
            <w:r>
              <w:t xml:space="preserve">Catégoriel nominal (trié)</w:t>
            </w:r>
          </w:p>
        </w:tc>
        <w:tc>
          <w:tcPr/>
          <w:p>
            <w:pPr>
              <w:pStyle w:val="Compact"/>
            </w:pPr>
            <w:r>
              <w:t xml:space="preserve">Position Y (bande)</w:t>
            </w:r>
          </w:p>
        </w:tc>
        <w:tc>
          <w:tcPr/>
          <w:p>
            <w:pPr>
              <w:pStyle w:val="Compact"/>
            </w:pPr>
            <w:r>
              <w:t xml:space="preserve">Tri par turnover moyen pour faciliter la comparaison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Taux de turnover mensuel</w:t>
            </w:r>
          </w:p>
        </w:tc>
        <w:tc>
          <w:tcPr/>
          <w:p>
            <w:pPr>
              <w:pStyle w:val="Compact"/>
            </w:pPr>
            <w:r>
              <w:t xml:space="preserve">Quantitatif continu</w:t>
            </w:r>
          </w:p>
        </w:tc>
        <w:tc>
          <w:tcPr/>
          <w:p>
            <w:pPr>
              <w:pStyle w:val="Compact"/>
            </w:pPr>
            <w:r>
              <w:t xml:space="preserve">Saturation de couleur (palette séquentielle OrRd)</w:t>
            </w:r>
          </w:p>
        </w:tc>
        <w:tc>
          <w:tcPr/>
          <w:p>
            <w:pPr>
              <w:pStyle w:val="Compact"/>
            </w:pPr>
            <w:r>
              <w:t xml:space="preserve">Canal de couleur séquentiel adapté aux données positives (</w:t>
            </w:r>
            <w:r>
              <w:rPr>
                <w:i/>
                <w:iCs/>
              </w:rPr>
              <w:t xml:space="preserve">Introduction</w:t>
            </w:r>
            <w:r>
              <w:t xml:space="preserve">, p. 53). Les valeurs élevées (rouge foncé) attirent l’attention pré-attentive (</w:t>
            </w:r>
            <w:r>
              <w:rPr>
                <w:i/>
                <w:iCs/>
              </w:rPr>
              <w:t xml:space="preserve">Introduction</w:t>
            </w:r>
            <w:r>
              <w:t xml:space="preserve">, p. 18)</w:t>
            </w:r>
          </w:p>
        </w:tc>
      </w:tr>
    </w:tbl>
    <w:p>
      <w:pPr>
        <w:pStyle w:val="BodyText"/>
      </w:pPr>
      <w:r>
        <w:rPr>
          <w:b/>
          <w:bCs/>
        </w:rPr>
        <w:t xml:space="preserve">Marque utilisée</w:t>
      </w:r>
      <w:r>
        <w:t xml:space="preserve"> </w:t>
      </w:r>
      <w:r>
        <w:t xml:space="preserve">: rectangle (</w:t>
      </w:r>
      <w:r>
        <w:rPr>
          <w:i/>
          <w:iCs/>
        </w:rPr>
        <w:t xml:space="preserve">cell mark</w:t>
      </w:r>
      <w:r>
        <w:t xml:space="preserve">), la marque canonique des techniques basées sur</w:t>
      </w:r>
      <w:r>
        <w:t xml:space="preserve"> </w:t>
      </w:r>
      <w:r>
        <w:t xml:space="preserve">les tableaux pour données multidimensionnelles (Ghoniem &amp; Médoc, 2026,</w:t>
      </w:r>
      <w:r>
        <w:t xml:space="preserve"> </w:t>
      </w:r>
      <w:r>
        <w:rPr>
          <w:i/>
          <w:iCs/>
        </w:rPr>
        <w:t xml:space="preserve">Multidimensionnelles</w:t>
      </w:r>
      <w:r>
        <w:t xml:space="preserve">).</w:t>
      </w:r>
      <w:r>
        <w:t xml:space="preserve"> </w:t>
      </w:r>
      <w:r>
        <w:t xml:space="preserve">Ce patron d’encodage est analogue à la matrice d’adjacence du tutoriel Tuto2 (Médoc, 2026),</w:t>
      </w:r>
      <w:r>
        <w:t xml:space="preserve"> </w:t>
      </w:r>
      <w:r>
        <w:t xml:space="preserve">qui utilise un double encodage taille + couleur sur une grille de cellules — ici adapté à une</w:t>
      </w:r>
      <w:r>
        <w:t xml:space="preserve"> </w:t>
      </w:r>
      <w:r>
        <w:t xml:space="preserve">matrice employeur × mois avec un encodage couleur séquentiel unique.</w:t>
      </w:r>
    </w:p>
    <w:bookmarkEnd w:id="42"/>
    <w:bookmarkStart w:id="43" w:name="Xd501b55ff5dc3898dffca5c6fd1ff2c07c8e5c0"/>
    <w:p>
      <w:pPr>
        <w:pStyle w:val="Heading4"/>
      </w:pPr>
      <w:r>
        <w:t xml:space="preserve">4.3.2. Panneau H — Diagramme en barres horizontales du turnover moyen</w:t>
      </w:r>
    </w:p>
    <w:p>
      <w:pPr>
        <w:pStyle w:val="FirstParagraph"/>
      </w:pPr>
      <w:r>
        <w:t xml:space="preserve">Ce panneau répond aux tâches</w:t>
      </w:r>
      <w:r>
        <w:t xml:space="preserve"> </w:t>
      </w:r>
      <w:r>
        <w:rPr>
          <w:i/>
          <w:iCs/>
        </w:rPr>
        <w:t xml:space="preserve">Discover → Outliers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Compare → Trends</w:t>
      </w:r>
      <w:r>
        <w:t xml:space="preserve">. Il classe les</w:t>
      </w:r>
      <w:r>
        <w:t xml:space="preserve"> </w:t>
      </w:r>
      <w:r>
        <w:t xml:space="preserve">employeurs par taux de turnover moyen sous forme de barres horizontales : les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employeurs</w:t>
      </w:r>
      <w:r>
        <w:t xml:space="preserve"> </w:t>
      </w:r>
      <w:r>
        <w:t xml:space="preserve">au turnover le plus élevé en rouge, les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plus stables en vert, avec une ligne de référence</w:t>
      </w:r>
      <w:r>
        <w:t xml:space="preserve"> </w:t>
      </w:r>
      <w:r>
        <w:t xml:space="preserve">à la médiane.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78"/>
        <w:gridCol w:w="1627"/>
        <w:gridCol w:w="2386"/>
        <w:gridCol w:w="16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 de données</w:t>
            </w:r>
          </w:p>
        </w:tc>
        <w:tc>
          <w:tcPr/>
          <w:p>
            <w:pPr>
              <w:pStyle w:val="Compact"/>
            </w:pPr>
            <w:r>
              <w:t xml:space="preserve">Type (Munzner)</w:t>
            </w:r>
          </w:p>
        </w:tc>
        <w:tc>
          <w:tcPr/>
          <w:p>
            <w:pPr>
              <w:pStyle w:val="Compact"/>
            </w:pPr>
            <w:r>
              <w:t xml:space="preserve">Marque / Canal visuel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Taux de turnover moyen</w:t>
            </w:r>
          </w:p>
        </w:tc>
        <w:tc>
          <w:tcPr/>
          <w:p>
            <w:pPr>
              <w:pStyle w:val="Compact"/>
            </w:pPr>
            <w:r>
              <w:t xml:space="preserve">Quantitatif continu</w:t>
            </w:r>
          </w:p>
        </w:tc>
        <w:tc>
          <w:tcPr/>
          <w:p>
            <w:pPr>
              <w:pStyle w:val="Compact"/>
            </w:pPr>
            <w:r>
              <w:t xml:space="preserve">Longueur de la barre (position X)</w:t>
            </w:r>
          </w:p>
        </w:tc>
        <w:tc>
          <w:tcPr/>
          <w:p>
            <w:pPr>
              <w:pStyle w:val="Compact"/>
            </w:pPr>
            <w:r>
              <w:t xml:space="preserve">Position = canal le plus précis. Les barres horizontales permettent de lire les labels d’employeurs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Employeur</w:t>
            </w:r>
          </w:p>
        </w:tc>
        <w:tc>
          <w:tcPr/>
          <w:p>
            <w:pPr>
              <w:pStyle w:val="Compact"/>
            </w:pPr>
            <w:r>
              <w:t xml:space="preserve">Catégoriel nominal</w:t>
            </w:r>
          </w:p>
        </w:tc>
        <w:tc>
          <w:tcPr/>
          <w:p>
            <w:pPr>
              <w:pStyle w:val="Compact"/>
            </w:pPr>
            <w:r>
              <w:t xml:space="preserve">Position Y (trié par turnover)</w:t>
            </w:r>
          </w:p>
        </w:tc>
        <w:tc>
          <w:tcPr/>
          <w:p>
            <w:pPr>
              <w:pStyle w:val="Compact"/>
            </w:pPr>
            <w:r>
              <w:t xml:space="preserve">Classement visuel : fort turnover en haut, stable en bas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Catégorie (top</w:t>
            </w:r>
            <w:r>
              <w:t xml:space="preserve"> </w:t>
            </w:r>
            <w:r>
              <w:rPr>
                <w:i/>
                <w:iCs/>
              </w:rPr>
              <w:t xml:space="preserve">N</w:t>
            </w:r>
            <w:r>
              <w:t xml:space="preserve"> </w:t>
            </w:r>
            <w:r>
              <w:t xml:space="preserve">/ bottom</w:t>
            </w:r>
            <w:r>
              <w:t xml:space="preserve"> </w:t>
            </w:r>
            <w:r>
              <w:rPr>
                <w:i/>
                <w:iCs/>
              </w:rPr>
              <w:t xml:space="preserve">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Catégoriel binaire</w:t>
            </w:r>
          </w:p>
        </w:tc>
        <w:tc>
          <w:tcPr/>
          <w:p>
            <w:pPr>
              <w:pStyle w:val="Compact"/>
            </w:pPr>
            <w:r>
              <w:t xml:space="preserve">Teinte (rouge / vert)</w:t>
            </w:r>
          </w:p>
        </w:tc>
        <w:tc>
          <w:tcPr/>
          <w:p>
            <w:pPr>
              <w:pStyle w:val="Compact"/>
            </w:pPr>
            <w:r>
              <w:t xml:space="preserve">Cohérence chromatique avec le panneau G. Rouge = instable, vert = stable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Marque utilisée</w:t>
      </w:r>
      <w:r>
        <w:t xml:space="preserve"> </w:t>
      </w:r>
      <w:r>
        <w:t xml:space="preserve">: rectangle (</w:t>
      </w:r>
      <w:r>
        <w:rPr>
          <w:i/>
          <w:iCs/>
        </w:rPr>
        <w:t xml:space="preserve">bar mark</w:t>
      </w:r>
      <w:r>
        <w:t xml:space="preserve">), suivant le même patron que le panneau B (Q1).</w:t>
      </w:r>
      <w:r>
        <w:t xml:space="preserve"> </w:t>
      </w:r>
      <w:r>
        <w:t xml:space="preserve">L’orientation horizontale assure la lisibilité des labels sans rotation de texte.</w:t>
      </w:r>
    </w:p>
    <w:bookmarkEnd w:id="43"/>
    <w:bookmarkStart w:id="44" w:name="X08dc0e6b301e571c378ca4106587829f6022b15"/>
    <w:p>
      <w:pPr>
        <w:pStyle w:val="Heading4"/>
      </w:pPr>
      <w:r>
        <w:t xml:space="preserve">4.3.3. Panneau I — Nuage de points turnover vs taille et rémunération</w:t>
      </w:r>
    </w:p>
    <w:p>
      <w:pPr>
        <w:pStyle w:val="FirstParagraph"/>
      </w:pPr>
      <w:r>
        <w:t xml:space="preserve">Ce panneau répond aux tâches</w:t>
      </w:r>
      <w:r>
        <w:t xml:space="preserve"> </w:t>
      </w:r>
      <w:r>
        <w:rPr>
          <w:i/>
          <w:iCs/>
        </w:rPr>
        <w:t xml:space="preserve">Identify → Correlation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Discover → Outliers</w:t>
      </w:r>
      <w:r>
        <w:t xml:space="preserve">. Il représente</w:t>
      </w:r>
      <w:r>
        <w:t xml:space="preserve"> </w:t>
      </w:r>
      <w:r>
        <w:t xml:space="preserve">chaque employeur dans un espace bidimensionnel croisant l’effectif moyen (X) et le taux de</w:t>
      </w:r>
      <w:r>
        <w:t xml:space="preserve"> </w:t>
      </w:r>
      <w:r>
        <w:t xml:space="preserve">turnover moyen (Y), avec un double encodage supplémentaire en taille (total des départs) et en</w:t>
      </w:r>
      <w:r>
        <w:t xml:space="preserve"> </w:t>
      </w:r>
      <w:r>
        <w:t xml:space="preserve">couleur (taux horaire moyen).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78"/>
        <w:gridCol w:w="1627"/>
        <w:gridCol w:w="2386"/>
        <w:gridCol w:w="16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 de données</w:t>
            </w:r>
          </w:p>
        </w:tc>
        <w:tc>
          <w:tcPr/>
          <w:p>
            <w:pPr>
              <w:pStyle w:val="Compact"/>
            </w:pPr>
            <w:r>
              <w:t xml:space="preserve">Type (Munzner)</w:t>
            </w:r>
          </w:p>
        </w:tc>
        <w:tc>
          <w:tcPr/>
          <w:p>
            <w:pPr>
              <w:pStyle w:val="Compact"/>
            </w:pPr>
            <w:r>
              <w:t xml:space="preserve">Marque / Canal visuel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Effectif moyen (</w:t>
            </w:r>
            <w:r>
              <w:rPr>
                <w:rStyle w:val="VerbatimChar"/>
              </w:rPr>
              <w:t xml:space="preserve">avg_headcount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Quantitatif continu</w:t>
            </w:r>
          </w:p>
        </w:tc>
        <w:tc>
          <w:tcPr/>
          <w:p>
            <w:pPr>
              <w:pStyle w:val="Compact"/>
            </w:pPr>
            <w:r>
              <w:t xml:space="preserve">Position X</w:t>
            </w:r>
          </w:p>
        </w:tc>
        <w:tc>
          <w:tcPr/>
          <w:p>
            <w:pPr>
              <w:pStyle w:val="Compact"/>
            </w:pPr>
            <w:r>
              <w:t xml:space="preserve">Canal le plus précis pour les quantités (</w:t>
            </w:r>
            <w:r>
              <w:rPr>
                <w:i/>
                <w:iCs/>
              </w:rPr>
              <w:t xml:space="preserve">Introduction</w:t>
            </w:r>
            <w:r>
              <w:t xml:space="preserve">, p. 34)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Taux de turnover moyen (</w:t>
            </w:r>
            <w:r>
              <w:rPr>
                <w:rStyle w:val="VerbatimChar"/>
              </w:rPr>
              <w:t xml:space="preserve">avg_turnover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Quantitatif continu</w:t>
            </w:r>
          </w:p>
        </w:tc>
        <w:tc>
          <w:tcPr/>
          <w:p>
            <w:pPr>
              <w:pStyle w:val="Compact"/>
            </w:pPr>
            <w:r>
              <w:t xml:space="preserve">Position Y</w:t>
            </w:r>
          </w:p>
        </w:tc>
        <w:tc>
          <w:tcPr/>
          <w:p>
            <w:pPr>
              <w:pStyle w:val="Compact"/>
            </w:pPr>
            <w:r>
              <w:t xml:space="preserve">Deuxième canal positionnel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des départs (</w:t>
            </w:r>
            <w:r>
              <w:rPr>
                <w:rStyle w:val="VerbatimChar"/>
              </w:rPr>
              <w:t xml:space="preserve">total_departures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Quantitatif continu</w:t>
            </w:r>
          </w:p>
        </w:tc>
        <w:tc>
          <w:tcPr/>
          <w:p>
            <w:pPr>
              <w:pStyle w:val="Compact"/>
            </w:pPr>
            <w:r>
              <w:t xml:space="preserve">Taille du cercle (</w:t>
            </w:r>
            <w:r>
              <w:rPr>
                <w:rStyle w:val="VerbatimChar"/>
              </w:rPr>
              <w:t xml:space="preserve">scaleSqrt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Troisième canal le plus efficace. Échelle en racine carrée pour la perception proportionnelle des aires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Taux horaire moyen (</w:t>
            </w:r>
            <w:r>
              <w:rPr>
                <w:rStyle w:val="VerbatimChar"/>
              </w:rPr>
              <w:t xml:space="preserve">avg_hourly_rate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Quantitatif continu</w:t>
            </w:r>
          </w:p>
        </w:tc>
        <w:tc>
          <w:tcPr/>
          <w:p>
            <w:pPr>
              <w:pStyle w:val="Compact"/>
            </w:pPr>
            <w:r>
              <w:t xml:space="preserve">Couleur (palette séquentielle RdYlGn)</w:t>
            </w:r>
          </w:p>
        </w:tc>
        <w:tc>
          <w:tcPr/>
          <w:p>
            <w:pPr>
              <w:pStyle w:val="Compact"/>
            </w:pPr>
            <w:r>
              <w:t xml:space="preserve">Canal de couleur divergent : vert = bien rémunéré, rouge = faiblement rémunéré. Double encodage justifié par la perception pré-attentive (</w:t>
            </w:r>
            <w:r>
              <w:rPr>
                <w:i/>
                <w:iCs/>
              </w:rPr>
              <w:t xml:space="preserve">Introduction</w:t>
            </w:r>
            <w:r>
              <w:t xml:space="preserve">, p. 18)</w:t>
            </w:r>
          </w:p>
        </w:tc>
      </w:tr>
    </w:tbl>
    <w:p>
      <w:pPr>
        <w:pStyle w:val="BodyText"/>
      </w:pPr>
      <w:r>
        <w:rPr>
          <w:b/>
          <w:bCs/>
        </w:rPr>
        <w:t xml:space="preserve">Marque utilisée</w:t>
      </w:r>
      <w:r>
        <w:t xml:space="preserve"> </w:t>
      </w:r>
      <w:r>
        <w:t xml:space="preserve">: point (</w:t>
      </w:r>
      <w:r>
        <w:rPr>
          <w:i/>
          <w:iCs/>
        </w:rPr>
        <w:t xml:space="preserve">dot mark</w:t>
      </w:r>
      <w:r>
        <w:t xml:space="preserve">), suivant le même patron multi-encodé que les</w:t>
      </w:r>
      <w:r>
        <w:t xml:space="preserve"> </w:t>
      </w:r>
      <w:r>
        <w:t xml:space="preserve">panneaux C (Q1) et F (Q2). Ce scatterplot encode quatre attributs simultanément, illustrant la</w:t>
      </w:r>
      <w:r>
        <w:t xml:space="preserve"> </w:t>
      </w:r>
      <w:r>
        <w:t xml:space="preserve">technique du scatterplot pour données multidimensionnelles (Ghoniem &amp; Médoc, 2026,</w:t>
      </w:r>
      <w:r>
        <w:t xml:space="preserve"> </w:t>
      </w:r>
      <w:r>
        <w:rPr>
          <w:i/>
          <w:iCs/>
        </w:rPr>
        <w:t xml:space="preserve">Multidimensionnelles</w:t>
      </w:r>
      <w:r>
        <w:t xml:space="preserve">) et s’inscrivant dans la lignée du tutoriel Tuto5 (Médoc, 2026). Deux</w:t>
      </w:r>
      <w:r>
        <w:t xml:space="preserve"> </w:t>
      </w:r>
      <w:r>
        <w:t xml:space="preserve">légendes (gradient de couleur + cercles de taille) accompagnent le graphique pour assurer la</w:t>
      </w:r>
      <w:r>
        <w:t xml:space="preserve"> </w:t>
      </w:r>
      <w:r>
        <w:t xml:space="preserve">lisibilité des deux canaux non positionnels.</w:t>
      </w:r>
    </w:p>
    <w:bookmarkEnd w:id="44"/>
    <w:bookmarkEnd w:id="45"/>
    <w:bookmarkStart w:id="46" w:name="vues-coordonnées-et-interaction"/>
    <w:p>
      <w:pPr>
        <w:pStyle w:val="Heading3"/>
      </w:pPr>
      <w:r>
        <w:t xml:space="preserve">4.4. Vues coordonnées et interaction</w:t>
      </w:r>
    </w:p>
    <w:p>
      <w:pPr>
        <w:pStyle w:val="FirstParagraph"/>
      </w:pPr>
      <w:r>
        <w:t xml:space="preserve">Chacun des trois tableaux de bord fonctionne comme un système de vues coordonnées multiples</w:t>
      </w:r>
      <w:r>
        <w:t xml:space="preserve"> </w:t>
      </w:r>
      <w:r>
        <w:t xml:space="preserve">(</w:t>
      </w:r>
      <w:r>
        <w:rPr>
          <w:i/>
          <w:iCs/>
        </w:rPr>
        <w:t xml:space="preserve">coordinated multiple views</w:t>
      </w:r>
      <w:r>
        <w:t xml:space="preserve">), concept central du cours sur les données multidimensionnelles</w:t>
      </w:r>
      <w:r>
        <w:t xml:space="preserve"> </w:t>
      </w:r>
      <w:r>
        <w:t xml:space="preserve">(Ghoniem &amp; Médoc, 2026,</w:t>
      </w:r>
      <w:r>
        <w:t xml:space="preserve"> </w:t>
      </w:r>
      <w:r>
        <w:rPr>
          <w:i/>
          <w:iCs/>
        </w:rPr>
        <w:t xml:space="preserve">Multidimensionnelles</w:t>
      </w:r>
      <w:r>
        <w:t xml:space="preserve">) et mis en œuvre dans les tutoriels Tuto5 et</w:t>
      </w:r>
      <w:r>
        <w:t xml:space="preserve"> </w:t>
      </w:r>
      <w:r>
        <w:t xml:space="preserve">Tuto6 (Médoc, 2026).</w:t>
      </w:r>
    </w:p>
    <w:p>
      <w:pPr>
        <w:pStyle w:val="BodyText"/>
      </w:pPr>
      <w:r>
        <w:t xml:space="preserve">La coordination repose, pour chaque tableau de bord, sur un</w:t>
      </w:r>
      <w:r>
        <w:t xml:space="preserve"> </w:t>
      </w:r>
      <w:r>
        <w:rPr>
          <w:i/>
          <w:iCs/>
        </w:rPr>
        <w:t xml:space="preserve">slice</w:t>
      </w:r>
      <w:r>
        <w:t xml:space="preserve"> </w:t>
      </w:r>
      <w:r>
        <w:t xml:space="preserve">Redux d’interaction dédié</w:t>
      </w:r>
      <w:r>
        <w:t xml:space="preserve"> </w:t>
      </w:r>
      <w:r>
        <w:t xml:space="preserve">qui maintient les variables d’état suivantes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4"/>
        <w:gridCol w:w="2970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Tableau de bord</w:t>
            </w:r>
          </w:p>
        </w:tc>
        <w:tc>
          <w:tcPr/>
          <w:p>
            <w:pPr>
              <w:pStyle w:val="Compact"/>
            </w:pPr>
            <w:r>
              <w:t xml:space="preserve">Slice d’interaction</w:t>
            </w:r>
          </w:p>
        </w:tc>
        <w:tc>
          <w:tcPr/>
          <w:p>
            <w:pPr>
              <w:pStyle w:val="Compact"/>
            </w:pPr>
            <w:r>
              <w:t xml:space="preserve">Variables d’état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InteractionSlice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hoveredEmployerId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selectedEmployerIds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topN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Q2InteractionSlice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hoveredResidentId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hoveredMonth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selectedResidentIds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selectedCluster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Q3InteractionSlice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hoveredEmployerId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selectedEmployerIds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topN</w:t>
            </w:r>
          </w:p>
        </w:tc>
      </w:tr>
    </w:tbl>
    <w:p>
      <w:pPr>
        <w:pStyle w:val="BodyText"/>
      </w:pPr>
      <w:r>
        <w:t xml:space="preserve">Le mécanisme de</w:t>
      </w:r>
      <w:r>
        <w:t xml:space="preserve"> </w:t>
      </w:r>
      <w:r>
        <w:rPr>
          <w:i/>
          <w:iCs/>
        </w:rPr>
        <w:t xml:space="preserve">brushing and linking</w:t>
      </w:r>
      <w:r>
        <w:t xml:space="preserve"> </w:t>
      </w:r>
      <w:r>
        <w:t xml:space="preserve">est identique dans les trois cas : lorsque l’utilisateur</w:t>
      </w:r>
      <w:r>
        <w:t xml:space="preserve"> </w:t>
      </w:r>
      <w:r>
        <w:t xml:space="preserve">survole un élément dans n’importe quel panneau, les trois vues du tableau de bord actif</w:t>
      </w:r>
      <w:r>
        <w:t xml:space="preserve"> </w:t>
      </w:r>
      <w:r>
        <w:t xml:space="preserve">réagissent simultanément — l’élément survolé est mis en relief (opacité et épaisseur de</w:t>
      </w:r>
      <w:r>
        <w:t xml:space="preserve"> </w:t>
      </w:r>
      <w:r>
        <w:t xml:space="preserve">contour accrues) tandis que les autres éléments sont atténués. Ce patron d’interaction</w:t>
      </w:r>
      <w:r>
        <w:t xml:space="preserve"> </w:t>
      </w:r>
      <w:r>
        <w:t xml:space="preserve">coordonnée est directement issu du tutoriel Tuto6 (Médoc, 2026), où le survol d’un nœud dans</w:t>
      </w:r>
      <w:r>
        <w:t xml:space="preserve"> </w:t>
      </w:r>
      <w:r>
        <w:t xml:space="preserve">le diagramme en réseau met en surbrillance les éléments correspondants dans les autres vues.</w:t>
      </w:r>
    </w:p>
    <w:p>
      <w:pPr>
        <w:pStyle w:val="BodyText"/>
      </w:pPr>
      <w:r>
        <w:t xml:space="preserve">Le tableau de bord Q2 introduit une dimension d’interaction supplémentaire : la</w:t>
      </w:r>
      <w:r>
        <w:t xml:space="preserve"> </w:t>
      </w:r>
      <w:r>
        <w:rPr>
          <w:b/>
          <w:bCs/>
        </w:rPr>
        <w:t xml:space="preserve">sélection de</w:t>
      </w:r>
      <w:r>
        <w:rPr>
          <w:b/>
          <w:bCs/>
        </w:rPr>
        <w:t xml:space="preserve"> </w:t>
      </w:r>
      <w:r>
        <w:rPr>
          <w:b/>
          <w:bCs/>
        </w:rPr>
        <w:t xml:space="preserve">cluster</w:t>
      </w:r>
      <w:r>
        <w:t xml:space="preserve">. Lorsqu’un cluster est sélectionné dans le panneau F (scatter), les panneaux D (aires</w:t>
      </w:r>
      <w:r>
        <w:t xml:space="preserve"> </w:t>
      </w:r>
      <w:r>
        <w:t xml:space="preserve">empilées) et E (boîtes à moustaches) se reconfigurent pour afficher les données spécifiques à</w:t>
      </w:r>
      <w:r>
        <w:t xml:space="preserve"> </w:t>
      </w:r>
      <w:r>
        <w:t xml:space="preserve">ce cluster, avec des lignes de référence pointillées montrant les médianes de l’ensemble des</w:t>
      </w:r>
      <w:r>
        <w:t xml:space="preserve"> </w:t>
      </w:r>
      <w:r>
        <w:t xml:space="preserve">résidents — patron</w:t>
      </w:r>
      <w:r>
        <w:t xml:space="preserve"> </w:t>
      </w:r>
      <w:r>
        <w:rPr>
          <w:i/>
          <w:iCs/>
        </w:rPr>
        <w:t xml:space="preserve">focus + context</w:t>
      </w:r>
      <w:r>
        <w:t xml:space="preserve">.</w:t>
      </w:r>
    </w:p>
    <w:p>
      <w:pPr>
        <w:pStyle w:val="BodyText"/>
      </w:pPr>
      <w:r>
        <w:t xml:space="preserve">L’ensemble de l’application suit le mantra de Shneiderman (1996) 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Vue d’ensemble</w:t>
      </w:r>
      <w:r>
        <w:t xml:space="preserve"> </w:t>
      </w:r>
      <w:r>
        <w:t xml:space="preserve">(</w:t>
      </w:r>
      <w:r>
        <w:rPr>
          <w:i/>
          <w:iCs/>
        </w:rPr>
        <w:t xml:space="preserve">overview</w:t>
      </w:r>
      <w:r>
        <w:t xml:space="preserve">) : chaque tableau de bord affiche simultanément les données</w:t>
      </w:r>
      <w:r>
        <w:t xml:space="preserve"> </w:t>
      </w:r>
      <w:r>
        <w:t xml:space="preserve">de l’ensemble des entités (employeurs ou résidents) dans ses trois panneaux.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Zoom et filtrage</w:t>
      </w:r>
      <w:r>
        <w:t xml:space="preserve"> </w:t>
      </w:r>
      <w:r>
        <w:t xml:space="preserve">(</w:t>
      </w:r>
      <w:r>
        <w:rPr>
          <w:i/>
          <w:iCs/>
        </w:rPr>
        <w:t xml:space="preserve">zoom and filter</w:t>
      </w:r>
      <w:r>
        <w:t xml:space="preserve">) : les contrôles</w:t>
      </w:r>
      <w:r>
        <w:t xml:space="preserve"> </w:t>
      </w:r>
      <w:r>
        <w:rPr>
          <w:rStyle w:val="VerbatimChar"/>
        </w:rPr>
        <w:t xml:space="preserve">topN</w:t>
      </w:r>
      <w:r>
        <w:t xml:space="preserve"> </w:t>
      </w:r>
      <w:r>
        <w:t xml:space="preserve">(Q1, Q3) et la sélection de</w:t>
      </w:r>
      <w:r>
        <w:t xml:space="preserve"> </w:t>
      </w:r>
      <w:r>
        <w:t xml:space="preserve">cluster (Q2) permettent de restreindre le sous-ensemble mis en avant.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Détails à la demande</w:t>
      </w:r>
      <w:r>
        <w:t xml:space="preserve"> </w:t>
      </w:r>
      <w:r>
        <w:t xml:space="preserve">(</w:t>
      </w:r>
      <w:r>
        <w:rPr>
          <w:i/>
          <w:iCs/>
        </w:rPr>
        <w:t xml:space="preserve">details-on-demand</w:t>
      </w:r>
      <w:r>
        <w:t xml:space="preserve">) : le survol affiche une infobulle</w:t>
      </w:r>
      <w:r>
        <w:t xml:space="preserve"> </w:t>
      </w:r>
      <w:r>
        <w:t xml:space="preserve">contextuelle adaptée à chaque tableau de bord — identifiant, métriques clés et rang de</w:t>
      </w:r>
      <w:r>
        <w:t xml:space="preserve"> </w:t>
      </w:r>
      <w:r>
        <w:t xml:space="preserve">turnover (Q3) ou cluster d’appartenance (Q2).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5" w:name="architecture-technique-munzner-niveau-4"/>
    <w:p>
      <w:pPr>
        <w:pStyle w:val="Heading2"/>
      </w:pPr>
      <w:r>
        <w:t xml:space="preserve">5. Architecture technique (Munzner — niveau 4)</w:t>
      </w:r>
    </w:p>
    <w:p>
      <w:pPr>
        <w:pStyle w:val="FirstParagraph"/>
      </w:pPr>
      <w:r>
        <w:t xml:space="preserve">Le quatrième niveau du modèle imbriqué concerne les choix algorithmiques et d’implémentation.</w:t>
      </w:r>
      <w:r>
        <w:t xml:space="preserve"> </w:t>
      </w:r>
      <w:r>
        <w:t xml:space="preserve">La menace à ce niveau est la lenteur de rendu (Munzner, 2014, ch. 14) : si l’interface ne</w:t>
      </w:r>
      <w:r>
        <w:t xml:space="preserve"> </w:t>
      </w:r>
      <w:r>
        <w:t xml:space="preserve">réagit pas en temps interactif, l’utilisateur ne peut pas explorer les données de manière</w:t>
      </w:r>
      <w:r>
        <w:t xml:space="preserve"> </w:t>
      </w:r>
      <w:r>
        <w:t xml:space="preserve">fluide.</w:t>
      </w:r>
    </w:p>
    <w:p>
      <w:pPr>
        <w:pStyle w:val="BodyText"/>
      </w:pPr>
      <w:r>
        <w:t xml:space="preserve">Notre architecture suit le patron d’architecture Modèle-Vue-Contrôleur (MVC) tel qu’enseigné</w:t>
      </w:r>
      <w:r>
        <w:t xml:space="preserve"> </w:t>
      </w:r>
      <w:r>
        <w:t xml:space="preserve">dans les tutoriels du cours (Médoc, 2026, Tuto4,</w:t>
      </w:r>
      <w:r>
        <w:t xml:space="preserve"> </w:t>
      </w:r>
      <w:r>
        <w:rPr>
          <w:i/>
          <w:iCs/>
        </w:rPr>
        <w:t xml:space="preserve">D3js in React</w:t>
      </w:r>
      <w:r>
        <w:t xml:space="preserve">) et étendu avec Redux</w:t>
      </w:r>
      <w:r>
        <w:t xml:space="preserve"> </w:t>
      </w:r>
      <w:r>
        <w:t xml:space="preserve">(Tuto5,</w:t>
      </w:r>
      <w:r>
        <w:t xml:space="preserve"> </w:t>
      </w:r>
      <w:r>
        <w:rPr>
          <w:i/>
          <w:iCs/>
        </w:rPr>
        <w:t xml:space="preserve">MultiDim Redux</w:t>
      </w:r>
      <w:r>
        <w:t xml:space="preserve">). Ce patron assure la séparation des responsabilités entre les</w:t>
      </w:r>
      <w:r>
        <w:t xml:space="preserve"> </w:t>
      </w:r>
      <w:r>
        <w:t xml:space="preserve">composants. L’ensemble des trois tableaux de bord partage la même pile technique et le même</w:t>
      </w:r>
      <w:r>
        <w:t xml:space="preserve"> </w:t>
      </w:r>
      <w:r>
        <w:t xml:space="preserve">patron de conception ; seuls les</w:t>
      </w:r>
      <w:r>
        <w:t xml:space="preserve"> </w:t>
      </w:r>
      <w:r>
        <w:rPr>
          <w:i/>
          <w:iCs/>
        </w:rPr>
        <w:t xml:space="preserve">slices</w:t>
      </w:r>
      <w:r>
        <w:t xml:space="preserve"> </w:t>
      </w:r>
      <w:r>
        <w:t xml:space="preserve">Redux, les classes D3 et les conteneurs React</w:t>
      </w:r>
      <w:r>
        <w:t xml:space="preserve"> </w:t>
      </w:r>
      <w:r>
        <w:t xml:space="preserve">diffèrent d’un onglet à l’autre.</w:t>
      </w:r>
    </w:p>
    <w:bookmarkStart w:id="48" w:name="architecture-client-serveur"/>
    <w:p>
      <w:pPr>
        <w:pStyle w:val="Heading3"/>
      </w:pPr>
      <w:r>
        <w:t xml:space="preserve">5.1. Architecture client-serveur</w:t>
      </w:r>
    </w:p>
    <w:p>
      <w:pPr>
        <w:pStyle w:val="FirstParagraph"/>
      </w:pPr>
      <w:r>
        <w:t xml:space="preserve">L’application se décompose en deux modules 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Serveur</w:t>
      </w:r>
      <w:r>
        <w:t xml:space="preserve"> </w:t>
      </w:r>
      <w:r>
        <w:t xml:space="preserve">(Python + Flask) : prétraitement des 17 Go de données brutes via DuckDB</w:t>
      </w:r>
      <w:r>
        <w:t xml:space="preserve"> </w:t>
      </w:r>
      <w:r>
        <w:t xml:space="preserve">(requêtes SQL en mémoire), puis exposition de trois points d’accès REST — un par question 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527"/>
        <w:gridCol w:w="2864"/>
        <w:gridCol w:w="25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Point d’accès</w:t>
            </w:r>
          </w:p>
        </w:tc>
        <w:tc>
          <w:tcPr/>
          <w:p>
            <w:pPr>
              <w:pStyle w:val="Compact"/>
            </w:pPr>
            <w:r>
              <w:t xml:space="preserve">Données servies</w:t>
            </w:r>
          </w:p>
        </w:tc>
        <w:tc>
          <w:tcPr/>
          <w:p>
            <w:pPr>
              <w:pStyle w:val="Compact"/>
            </w:pPr>
            <w:r>
              <w:t xml:space="preserve">Fichiers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/api/data</w:t>
            </w:r>
          </w:p>
        </w:tc>
        <w:tc>
          <w:tcPr/>
          <w:p>
            <w:pPr>
              <w:pStyle w:val="Compact"/>
            </w:pPr>
            <w:r>
              <w:t xml:space="preserve">Q1 — prospérité des employeurs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monthly.json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employers.json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/api/q2data</w:t>
            </w:r>
          </w:p>
        </w:tc>
        <w:tc>
          <w:tcPr/>
          <w:p>
            <w:pPr>
              <w:pStyle w:val="Compact"/>
            </w:pPr>
            <w:r>
              <w:t xml:space="preserve">Q2 — santé financière des résidents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residents_monthly.json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residents_summary.json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cluster_meta.json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/api/q3data</w:t>
            </w:r>
          </w:p>
        </w:tc>
        <w:tc>
          <w:tcPr/>
          <w:p>
            <w:pPr>
              <w:pStyle w:val="Compact"/>
            </w:pPr>
            <w:r>
              <w:t xml:space="preserve">Q3 — dynamique d’emploi et turnover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turnover_monthly.json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employers_turnover.json</w:t>
            </w:r>
          </w:p>
        </w:tc>
      </w:tr>
    </w:tbl>
    <w:p>
      <w:pPr>
        <w:numPr>
          <w:ilvl w:val="0"/>
          <w:numId w:val="1000"/>
        </w:numPr>
      </w:pPr>
      <w:r>
        <w:t xml:space="preserve">Ce choix est inspiré de l’architecture client-serveur des tutoriels Tuto6 et Tuto7</w:t>
      </w:r>
      <w:r>
        <w:t xml:space="preserve"> </w:t>
      </w:r>
      <w:r>
        <w:t xml:space="preserve">(Médoc, 2026), où un serveur Flask avec CORS fournit les données traitées au client React.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Client</w:t>
      </w:r>
      <w:r>
        <w:t xml:space="preserve"> </w:t>
      </w:r>
      <w:r>
        <w:t xml:space="preserve">(React 19 + Vite + D3.js 7.9 + Redux Toolkit) : application</w:t>
      </w:r>
      <w:r>
        <w:t xml:space="preserve"> </w:t>
      </w:r>
      <w:r>
        <w:t xml:space="preserve">monopage à onglets qui charge les données de chaque question de manière paresseuse (le</w:t>
      </w:r>
      <w:r>
        <w:t xml:space="preserve"> </w:t>
      </w:r>
      <w:r>
        <w:t xml:space="preserve">chargement n’est déclenché qu’à l’activation de l’onglet correspondant) et les stocke dans</w:t>
      </w:r>
      <w:r>
        <w:t xml:space="preserve"> </w:t>
      </w:r>
      <w:r>
        <w:t xml:space="preserve">un</w:t>
      </w:r>
      <w:r>
        <w:t xml:space="preserve"> </w:t>
      </w:r>
      <w:r>
        <w:rPr>
          <w:i/>
          <w:iCs/>
        </w:rPr>
        <w:t xml:space="preserve">store</w:t>
      </w:r>
      <w:r>
        <w:t xml:space="preserve"> </w:t>
      </w:r>
      <w:r>
        <w:t xml:space="preserve">Redux unique.</w:t>
      </w:r>
    </w:p>
    <w:bookmarkEnd w:id="48"/>
    <w:bookmarkStart w:id="49" w:name="patron-mvc-avec-redux"/>
    <w:p>
      <w:pPr>
        <w:pStyle w:val="Heading3"/>
      </w:pPr>
      <w:r>
        <w:t xml:space="preserve">5.2. Patron MVC avec Redux</w:t>
      </w:r>
    </w:p>
    <w:p>
      <w:pPr>
        <w:pStyle w:val="FirstParagraph"/>
      </w:pPr>
      <w:r>
        <w:t xml:space="preserve">Le tableau ci-dessous montre la correspondance entre les rôles MVC, nos fichiers et les</w:t>
      </w:r>
      <w:r>
        <w:t xml:space="preserve"> </w:t>
      </w:r>
      <w:r>
        <w:t xml:space="preserve">concepts des tutoriels pour l’ensemble des trois tableaux de bord :</w:t>
      </w:r>
    </w:p>
    <w:p>
      <w:pPr>
        <w:pStyle w:val="BodyText"/>
      </w:pPr>
      <w:r>
        <w:rPr>
          <w:b/>
          <w:bCs/>
        </w:rPr>
        <w:t xml:space="preserve">Slices Redux (Modèle)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1584"/>
        <w:gridCol w:w="44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Slice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Patron tutoriel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DataSetSlice.js</w:t>
            </w:r>
          </w:p>
        </w:tc>
        <w:tc>
          <w:tcPr/>
          <w:p>
            <w:pPr>
              <w:pStyle w:val="Compact"/>
            </w:pPr>
            <w:r>
              <w:t xml:space="preserve">Chargement asynchrone des données Q1 (</w:t>
            </w:r>
            <w:r>
              <w:rPr>
                <w:rStyle w:val="VerbatimChar"/>
              </w:rPr>
              <w:t xml:space="preserve">createAsyncThunk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extraReducers</w:t>
            </w:r>
            <w:r>
              <w:t xml:space="preserve"> </w:t>
            </w:r>
            <w:r>
              <w:t xml:space="preserve">pending/fulfilled/rejected)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DataSetSlice.js</w:t>
            </w:r>
            <w:r>
              <w:t xml:space="preserve"> </w:t>
            </w:r>
            <w:r>
              <w:t xml:space="preserve">(Tuto5)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InteractionSlice.js</w:t>
            </w:r>
          </w:p>
        </w:tc>
        <w:tc>
          <w:tcPr/>
          <w:p>
            <w:pPr>
              <w:pStyle w:val="Compact"/>
            </w:pPr>
            <w:r>
              <w:t xml:space="preserve">Hover/sélection Q1 :</w:t>
            </w:r>
            <w:r>
              <w:t xml:space="preserve"> </w:t>
            </w:r>
            <w:r>
              <w:rPr>
                <w:rStyle w:val="VerbatimChar"/>
              </w:rPr>
              <w:t xml:space="preserve">hoveredEmployerId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selectedEmployerIds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topN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ItemInteractionSlice.js</w:t>
            </w:r>
            <w:r>
              <w:t xml:space="preserve"> </w:t>
            </w:r>
            <w:r>
              <w:t xml:space="preserve">(Tuto6)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Q2DataSlice.js</w:t>
            </w:r>
          </w:p>
        </w:tc>
        <w:tc>
          <w:tcPr/>
          <w:p>
            <w:pPr>
              <w:pStyle w:val="Compact"/>
            </w:pPr>
            <w:r>
              <w:t xml:space="preserve">Chargement asynchrone des données Q2 (monthly + residents + clusters)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DataSetSlice.js</w:t>
            </w:r>
            <w:r>
              <w:t xml:space="preserve"> </w:t>
            </w:r>
            <w:r>
              <w:t xml:space="preserve">(Tuto5)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Q2InteractionSlice.js</w:t>
            </w:r>
          </w:p>
        </w:tc>
        <w:tc>
          <w:tcPr/>
          <w:p>
            <w:pPr>
              <w:pStyle w:val="Compact"/>
            </w:pPr>
            <w:r>
              <w:t xml:space="preserve">Hover/sélection Q2 :</w:t>
            </w:r>
            <w:r>
              <w:t xml:space="preserve"> </w:t>
            </w:r>
            <w:r>
              <w:rPr>
                <w:rStyle w:val="VerbatimChar"/>
              </w:rPr>
              <w:t xml:space="preserve">hoveredResidentId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hoveredMonth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selectedResidentIds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selectedCluster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ItemInteractionSlice.js</w:t>
            </w:r>
            <w:r>
              <w:t xml:space="preserve"> </w:t>
            </w:r>
            <w:r>
              <w:t xml:space="preserve">(Tuto6)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Q3DataSlice.js</w:t>
            </w:r>
          </w:p>
        </w:tc>
        <w:tc>
          <w:tcPr/>
          <w:p>
            <w:pPr>
              <w:pStyle w:val="Compact"/>
            </w:pPr>
            <w:r>
              <w:t xml:space="preserve">Chargement asynchrone des données Q3 (monthly + employers)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DataSetSlice.js</w:t>
            </w:r>
            <w:r>
              <w:t xml:space="preserve"> </w:t>
            </w:r>
            <w:r>
              <w:t xml:space="preserve">(Tuto5)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Q3InteractionSlice.js</w:t>
            </w:r>
          </w:p>
        </w:tc>
        <w:tc>
          <w:tcPr/>
          <w:p>
            <w:pPr>
              <w:pStyle w:val="Compact"/>
            </w:pPr>
            <w:r>
              <w:t xml:space="preserve">Hover/sélection Q3 :</w:t>
            </w:r>
            <w:r>
              <w:t xml:space="preserve"> </w:t>
            </w:r>
            <w:r>
              <w:rPr>
                <w:rStyle w:val="VerbatimChar"/>
              </w:rPr>
              <w:t xml:space="preserve">hoveredEmployerId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selectedEmployerIds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topN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InteractionSlice.js</w:t>
            </w:r>
            <w:r>
              <w:t xml:space="preserve"> </w:t>
            </w:r>
            <w:r>
              <w:t xml:space="preserve">(Q1)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NavigationSlice.js</w:t>
            </w:r>
          </w:p>
        </w:tc>
        <w:tc>
          <w:tcPr/>
          <w:p>
            <w:pPr>
              <w:pStyle w:val="Compact"/>
            </w:pPr>
            <w:r>
              <w:t xml:space="preserve">Onglet actif (</w:t>
            </w:r>
            <w:r>
              <w:rPr>
                <w:rStyle w:val="VerbatimChar"/>
              </w:rPr>
              <w:t xml:space="preserve">activeTab</w:t>
            </w:r>
            <w:r>
              <w:t xml:space="preserve"> </w:t>
            </w:r>
            <w:r>
              <w:t xml:space="preserve">: q1, q2, q3)</w:t>
            </w:r>
          </w:p>
        </w:tc>
        <w:tc>
          <w:tcPr/>
          <w:p>
            <w:pPr>
              <w:pStyle w:val="Compact"/>
            </w:pPr>
            <w:r>
              <w:t xml:space="preserve">Original (pas d’équivalent tutoriel)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Conteneurs React (Contrôleur) et classes D3 (Vue)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71"/>
        <w:gridCol w:w="2501"/>
        <w:gridCol w:w="1875"/>
        <w:gridCol w:w="17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Tableau de bord</w:t>
            </w:r>
          </w:p>
        </w:tc>
        <w:tc>
          <w:tcPr/>
          <w:p>
            <w:pPr>
              <w:pStyle w:val="Compact"/>
            </w:pPr>
            <w:r>
              <w:t xml:space="preserve">Conteneurs (Contrôleur)</w:t>
            </w:r>
          </w:p>
        </w:tc>
        <w:tc>
          <w:tcPr/>
          <w:p>
            <w:pPr>
              <w:pStyle w:val="Compact"/>
            </w:pPr>
            <w:r>
              <w:t xml:space="preserve">Classes D3 (Vue)</w:t>
            </w:r>
          </w:p>
        </w:tc>
        <w:tc>
          <w:tcPr/>
          <w:p>
            <w:pPr>
              <w:pStyle w:val="Compact"/>
            </w:pPr>
            <w:r>
              <w:t xml:space="preserve">Patron tutoriel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TimeSeriesContainer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BarChartContainer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ScatterplotContainer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TimeSeriesD3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BarChartD3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ScatterplotD3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ScatterplotContainer.js</w:t>
            </w:r>
            <w:r>
              <w:t xml:space="preserve"> </w:t>
            </w:r>
            <w:r>
              <w:t xml:space="preserve">(Tuto5),</w:t>
            </w:r>
            <w:r>
              <w:t xml:space="preserve"> </w:t>
            </w:r>
            <w:r>
              <w:rPr>
                <w:rStyle w:val="VerbatimChar"/>
              </w:rPr>
              <w:t xml:space="preserve">Matrix-d3.js</w:t>
            </w:r>
            <w:r>
              <w:t xml:space="preserve"> </w:t>
            </w:r>
            <w:r>
              <w:t xml:space="preserve">(Tuto4)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AreaChartContainer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BoxPlotContainer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ResidentScatterContainer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AreaChartD3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BoxPlotD3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ResidentScatterD3</w:t>
            </w:r>
          </w:p>
        </w:tc>
        <w:tc>
          <w:tcPr/>
          <w:p>
            <w:pPr>
              <w:pStyle w:val="Compact"/>
            </w:pPr>
            <w:r>
              <w:t xml:space="preserve">Même patron Tuto4/5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HeatmapContainer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TurnoverBarContainer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TurnoverScatterContainer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HeatmapD3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TurnoverBarD3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TurnoverScatterD3</w:t>
            </w:r>
          </w:p>
        </w:tc>
        <w:tc>
          <w:tcPr/>
          <w:p>
            <w:pPr>
              <w:pStyle w:val="Compact"/>
            </w:pPr>
            <w:r>
              <w:t xml:space="preserve">Même patron Tuto4/5 ;</w:t>
            </w:r>
            <w:r>
              <w:t xml:space="preserve"> </w:t>
            </w:r>
            <w:r>
              <w:rPr>
                <w:rStyle w:val="VerbatimChar"/>
              </w:rPr>
              <w:t xml:space="preserve">HeatmapD3</w:t>
            </w:r>
            <w:r>
              <w:t xml:space="preserve"> </w:t>
            </w:r>
            <w:r>
              <w:t xml:space="preserve">s’inspire de</w:t>
            </w:r>
            <w:r>
              <w:t xml:space="preserve"> </w:t>
            </w:r>
            <w:r>
              <w:rPr>
                <w:rStyle w:val="VerbatimChar"/>
              </w:rPr>
              <w:t xml:space="preserve">Matrix-d3.js</w:t>
            </w:r>
            <w:r>
              <w:t xml:space="preserve"> </w:t>
            </w:r>
            <w:r>
              <w:t xml:space="preserve">(Tuto2/4)</w:t>
            </w:r>
          </w:p>
        </w:tc>
      </w:tr>
    </w:tbl>
    <w:bookmarkEnd w:id="49"/>
    <w:bookmarkStart w:id="50" w:name="cycle-de-vie-des-composants"/>
    <w:p>
      <w:pPr>
        <w:pStyle w:val="Heading3"/>
      </w:pPr>
      <w:r>
        <w:t xml:space="preserve">5.3. Cycle de vie des composants</w:t>
      </w:r>
    </w:p>
    <w:p>
      <w:pPr>
        <w:pStyle w:val="FirstParagraph"/>
      </w:pPr>
      <w:r>
        <w:t xml:space="preserve">Chaque panneau de visualisation suit un cycle de vie en trois temps, conforme au patron</w:t>
      </w:r>
      <w:r>
        <w:t xml:space="preserve"> </w:t>
      </w:r>
      <w:r>
        <w:t xml:space="preserve">introduit dans le tutoriel Tuto4 (Médoc, 2026,</w:t>
      </w:r>
      <w:r>
        <w:t xml:space="preserve"> </w:t>
      </w:r>
      <w:r>
        <w:rPr>
          <w:i/>
          <w:iCs/>
        </w:rPr>
        <w:t xml:space="preserve">D3js in React</w:t>
      </w:r>
      <w:r>
        <w:t xml:space="preserve">) :</w:t>
      </w:r>
    </w:p>
    <w:p>
      <w:pPr>
        <w:numPr>
          <w:ilvl w:val="0"/>
          <w:numId w:val="1011"/>
        </w:numPr>
      </w:pPr>
      <w:r>
        <w:rPr>
          <w:rStyle w:val="VerbatimChar"/>
          <w:b/>
          <w:bCs/>
        </w:rPr>
        <w:t xml:space="preserve">create()</w:t>
      </w:r>
      <w:r>
        <w:t xml:space="preserve"> </w:t>
      </w:r>
      <w:r>
        <w:t xml:space="preserve">: appelé une seule fois au montage du composant React (via le</w:t>
      </w:r>
      <w:r>
        <w:t xml:space="preserve"> </w:t>
      </w:r>
      <w:r>
        <w:rPr>
          <w:i/>
          <w:iCs/>
        </w:rPr>
        <w:t xml:space="preserve">hook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avec un tableau de dépendances vide). Crée l’élément SVG, les groupes</w:t>
      </w:r>
      <w:r>
        <w:t xml:space="preserve"> </w:t>
      </w:r>
      <w:r>
        <w:rPr>
          <w:rStyle w:val="VerbatimChar"/>
        </w:rPr>
        <w:t xml:space="preserve">&lt;g&gt;</w:t>
      </w:r>
      <w:r>
        <w:t xml:space="preserve"> </w:t>
      </w:r>
      <w:r>
        <w:t xml:space="preserve">pour les axes, les données et les éléments de fond. Aucune donnée n’est bindée à ce stade.</w:t>
      </w:r>
    </w:p>
    <w:p>
      <w:pPr>
        <w:numPr>
          <w:ilvl w:val="0"/>
          <w:numId w:val="1011"/>
        </w:numPr>
      </w:pPr>
      <w:r>
        <w:rPr>
          <w:rStyle w:val="VerbatimChar"/>
          <w:b/>
          <w:bCs/>
        </w:rPr>
        <w:t xml:space="preserve">update()</w:t>
      </w:r>
      <w:r>
        <w:t xml:space="preserve"> </w:t>
      </w:r>
      <w:r>
        <w:t xml:space="preserve">: appelé à chaque changement de données (via un second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qui</w:t>
      </w:r>
      <w:r>
        <w:t xml:space="preserve"> </w:t>
      </w:r>
      <w:r>
        <w:t xml:space="preserve">observe les sélecteurs Redux). Applique le</w:t>
      </w:r>
      <w:r>
        <w:t xml:space="preserve"> </w:t>
      </w:r>
      <w:r>
        <w:rPr>
          <w:i/>
          <w:iCs/>
        </w:rPr>
        <w:t xml:space="preserve">pattern update</w:t>
      </w:r>
      <w:r>
        <w:t xml:space="preserve"> </w:t>
      </w:r>
      <w:r>
        <w:t xml:space="preserve">de D3 avec la méthode</w:t>
      </w:r>
      <w:r>
        <w:t xml:space="preserve"> </w:t>
      </w:r>
      <w:r>
        <w:rPr>
          <w:rStyle w:val="VerbatimChar"/>
        </w:rPr>
        <w:t xml:space="preserve">.join(enter, update, exit)</w:t>
      </w:r>
      <w:r>
        <w:t xml:space="preserve"> </w:t>
      </w:r>
      <w:r>
        <w:t xml:space="preserve">: les nouveaux éléments sont créés (</w:t>
      </w:r>
      <w:r>
        <w:rPr>
          <w:i/>
          <w:iCs/>
        </w:rPr>
        <w:t xml:space="preserve">enter</w:t>
      </w:r>
      <w:r>
        <w:t xml:space="preserve">), les éléments</w:t>
      </w:r>
      <w:r>
        <w:t xml:space="preserve"> </w:t>
      </w:r>
      <w:r>
        <w:t xml:space="preserve">existants sont mis à jour (</w:t>
      </w:r>
      <w:r>
        <w:rPr>
          <w:i/>
          <w:iCs/>
        </w:rPr>
        <w:t xml:space="preserve">update</w:t>
      </w:r>
      <w:r>
        <w:t xml:space="preserve">) avec des transitions animées, et les éléments obsolètes</w:t>
      </w:r>
      <w:r>
        <w:t xml:space="preserve"> </w:t>
      </w:r>
      <w:r>
        <w:t xml:space="preserve">sont supprimés (</w:t>
      </w:r>
      <w:r>
        <w:rPr>
          <w:i/>
          <w:iCs/>
        </w:rPr>
        <w:t xml:space="preserve">exit</w:t>
      </w:r>
      <w:r>
        <w:t xml:space="preserve">).</w:t>
      </w:r>
    </w:p>
    <w:p>
      <w:pPr>
        <w:numPr>
          <w:ilvl w:val="0"/>
          <w:numId w:val="1011"/>
        </w:numPr>
      </w:pPr>
      <w:r>
        <w:rPr>
          <w:rStyle w:val="VerbatimChar"/>
          <w:b/>
          <w:bCs/>
        </w:rPr>
        <w:t xml:space="preserve">clear()</w:t>
      </w:r>
      <w:r>
        <w:t xml:space="preserve"> </w:t>
      </w:r>
      <w:r>
        <w:t xml:space="preserve">: appelé au démontage du composant React (via la fonction de nettoyage du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). Supprime le SVG pour éviter les fuites mémoire.</w:t>
      </w:r>
    </w:p>
    <w:p>
      <w:pPr>
        <w:pStyle w:val="FirstParagraph"/>
      </w:pPr>
      <w:r>
        <w:t xml:space="preserve">Pour éviter les effets de bord (</w:t>
      </w:r>
      <w:r>
        <w:rPr>
          <w:i/>
          <w:iCs/>
        </w:rPr>
        <w:t xml:space="preserve">side effects</w:t>
      </w:r>
      <w:r>
        <w:t xml:space="preserve">), la référence à l’instance D3 est maintenue</w:t>
      </w:r>
      <w:r>
        <w:t xml:space="preserve"> </w:t>
      </w:r>
      <w:r>
        <w:t xml:space="preserve">via le</w:t>
      </w:r>
      <w:r>
        <w:t xml:space="preserve"> </w:t>
      </w:r>
      <w:r>
        <w:rPr>
          <w:i/>
          <w:iCs/>
        </w:rPr>
        <w:t xml:space="preserve">hook</w:t>
      </w:r>
      <w:r>
        <w:t xml:space="preserve"> </w:t>
      </w:r>
      <w:r>
        <w:rPr>
          <w:rStyle w:val="VerbatimChar"/>
        </w:rPr>
        <w:t xml:space="preserve">useRef</w:t>
      </w:r>
      <w:r>
        <w:t xml:space="preserve"> </w:t>
      </w:r>
      <w:r>
        <w:t xml:space="preserve">— la classe D3 vit en dehors du cycle de rendu de React, conformément</w:t>
      </w:r>
      <w:r>
        <w:t xml:space="preserve"> </w:t>
      </w:r>
      <w:r>
        <w:t xml:space="preserve">au principe de séparation des responsabilités enseigné dans le tutoriel Tuto4. Ce cycle de vie</w:t>
      </w:r>
      <w:r>
        <w:t xml:space="preserve"> </w:t>
      </w:r>
      <w:r>
        <w:t xml:space="preserve">est identique pour les neuf classes D3 de l’application.</w:t>
      </w:r>
    </w:p>
    <w:bookmarkEnd w:id="50"/>
    <w:bookmarkStart w:id="51" w:name="séparation-update-updatehighlighting"/>
    <w:p>
      <w:pPr>
        <w:pStyle w:val="Heading3"/>
      </w:pPr>
      <w:r>
        <w:t xml:space="preserve">5.4. Séparation update / updateHighlighting</w:t>
      </w:r>
    </w:p>
    <w:p>
      <w:pPr>
        <w:pStyle w:val="FirstParagraph"/>
      </w:pPr>
      <w:r>
        <w:t xml:space="preserve">Nous avons introduit une optimisation non présente dans les tutoriels : chaque classe D3</w:t>
      </w:r>
      <w:r>
        <w:t xml:space="preserve"> </w:t>
      </w:r>
      <w:r>
        <w:t xml:space="preserve">expose une méthode</w:t>
      </w:r>
      <w:r>
        <w:t xml:space="preserve"> </w:t>
      </w:r>
      <w:r>
        <w:rPr>
          <w:rStyle w:val="VerbatimChar"/>
        </w:rPr>
        <w:t xml:space="preserve">updateHighlighting(hoveredId, selectedIds)</w:t>
      </w:r>
      <w:r>
        <w:t xml:space="preserve"> </w:t>
      </w:r>
      <w:r>
        <w:t xml:space="preserve">distincte de</w:t>
      </w:r>
      <w:r>
        <w:t xml:space="preserve"> </w:t>
      </w:r>
      <w:r>
        <w:rPr>
          <w:rStyle w:val="VerbatimChar"/>
        </w:rPr>
        <w:t xml:space="preserve">update()</w:t>
      </w:r>
      <w:r>
        <w:t xml:space="preserve">. Cette</w:t>
      </w:r>
      <w:r>
        <w:t xml:space="preserve"> </w:t>
      </w:r>
      <w:r>
        <w:t xml:space="preserve">séparation des responsabilités garantit que les changements d’état d’interaction (survol, clic)</w:t>
      </w:r>
      <w:r>
        <w:t xml:space="preserve"> </w:t>
      </w:r>
      <w:r>
        <w:t xml:space="preserve">ne déclenchent pas un rebindage complet des données — seules les propriétés visuelles</w:t>
      </w:r>
      <w:r>
        <w:t xml:space="preserve"> </w:t>
      </w:r>
      <w:r>
        <w:t xml:space="preserve">(opacité, épaisseur de contour, couleur de surbrillance) sont modifiées. Cela assure une</w:t>
      </w:r>
      <w:r>
        <w:t xml:space="preserve"> </w:t>
      </w:r>
      <w:r>
        <w:t xml:space="preserve">réactivité fluide même avec plusieurs centaines d’éléments simultanés.</w:t>
      </w:r>
    </w:p>
    <w:bookmarkEnd w:id="51"/>
    <w:bookmarkStart w:id="52" w:name="méthodes-du-contrôleur"/>
    <w:p>
      <w:pPr>
        <w:pStyle w:val="Heading3"/>
      </w:pPr>
      <w:r>
        <w:t xml:space="preserve">5.5. Méthodes du contrôleur</w:t>
      </w:r>
    </w:p>
    <w:p>
      <w:pPr>
        <w:pStyle w:val="FirstParagraph"/>
      </w:pPr>
      <w:r>
        <w:t xml:space="preserve">Chaque composant conteneur définit un objet</w:t>
      </w:r>
      <w:r>
        <w:t xml:space="preserve"> </w:t>
      </w:r>
      <w:r>
        <w:rPr>
          <w:rStyle w:val="VerbatimChar"/>
        </w:rPr>
        <w:t xml:space="preserve">controllerMethods</w:t>
      </w:r>
      <w:r>
        <w:t xml:space="preserve"> </w:t>
      </w:r>
      <w:r>
        <w:t xml:space="preserve">transmis à la classe D3 lors</w:t>
      </w:r>
      <w:r>
        <w:t xml:space="preserve"> </w:t>
      </w:r>
      <w:r>
        <w:t xml:space="preserve">de sa construction, suivant exactement le patron des tutoriels Tuto5 et Tuto6 (Médoc, 2026) 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controllerMethods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handleHover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(employerId)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setHoveredEmployer</w:t>
      </w:r>
      <w:r>
        <w:rPr>
          <w:rStyle w:val="NormalTok"/>
        </w:rPr>
        <w:t xml:space="preserve">(employerId))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handleUnhover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         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setHoveredEmployer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handleClick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(employerId)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toggleSelectedEmployer</w:t>
      </w:r>
      <w:r>
        <w:rPr>
          <w:rStyle w:val="NormalTok"/>
        </w:rPr>
        <w:t xml:space="preserve">(employerId))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La classe D3 attache ces méthodes aux événements</w:t>
      </w:r>
      <w:r>
        <w:t xml:space="preserve"> </w:t>
      </w:r>
      <w:r>
        <w:rPr>
          <w:rStyle w:val="VerbatimChar"/>
        </w:rPr>
        <w:t xml:space="preserve">mouseenter</w:t>
      </w:r>
      <w:r>
        <w:t xml:space="preserve">,</w:t>
      </w:r>
      <w:r>
        <w:t xml:space="preserve"> </w:t>
      </w:r>
      <w:r>
        <w:rPr>
          <w:rStyle w:val="VerbatimChar"/>
        </w:rPr>
        <w:t xml:space="preserve">mouseleave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click</w:t>
      </w:r>
      <w:r>
        <w:t xml:space="preserve"> </w:t>
      </w:r>
      <w:r>
        <w:t xml:space="preserve">de</w:t>
      </w:r>
      <w:r>
        <w:t xml:space="preserve"> </w:t>
      </w:r>
      <w:r>
        <w:t xml:space="preserve">chaque élément SVG. Ainsi, l’interaction utilisateur remonte du DOM vers le</w:t>
      </w:r>
      <w:r>
        <w:t xml:space="preserve"> </w:t>
      </w:r>
      <w:r>
        <w:rPr>
          <w:i/>
          <w:iCs/>
        </w:rPr>
        <w:t xml:space="preserve">store</w:t>
      </w:r>
      <w:r>
        <w:t xml:space="preserve"> </w:t>
      </w:r>
      <w:r>
        <w:t xml:space="preserve">Redux via</w:t>
      </w:r>
      <w:r>
        <w:t xml:space="preserve"> </w:t>
      </w:r>
      <w:r>
        <w:t xml:space="preserve">le contrôleur, puis redescend vers les trois vues coordonnées — boucle MVC complète. Ce patron</w:t>
      </w:r>
      <w:r>
        <w:t xml:space="preserve"> </w:t>
      </w:r>
      <w:r>
        <w:t xml:space="preserve">est répliqué dans les neuf conteneurs de l’application, avec des actions Redux adaptées à</w:t>
      </w:r>
      <w:r>
        <w:t xml:space="preserve"> </w:t>
      </w:r>
      <w:r>
        <w:t xml:space="preserve">chaque</w:t>
      </w:r>
      <w:r>
        <w:t xml:space="preserve"> </w:t>
      </w:r>
      <w:r>
        <w:rPr>
          <w:i/>
          <w:iCs/>
        </w:rPr>
        <w:t xml:space="preserve">slice</w:t>
      </w:r>
      <w:r>
        <w:t xml:space="preserve"> </w:t>
      </w:r>
      <w:r>
        <w:t xml:space="preserve">d’interaction.</w:t>
      </w:r>
    </w:p>
    <w:bookmarkEnd w:id="52"/>
    <w:bookmarkStart w:id="53" w:name="navigation-par-onglets"/>
    <w:p>
      <w:pPr>
        <w:pStyle w:val="Heading3"/>
      </w:pPr>
      <w:r>
        <w:t xml:space="preserve">5.6. Navigation par onglets</w:t>
      </w:r>
    </w:p>
    <w:p>
      <w:pPr>
        <w:pStyle w:val="FirstParagraph"/>
      </w:pPr>
      <w:r>
        <w:t xml:space="preserve">L’application propose trois onglets (Q1, Q2, Q3) gérés par un composant</w:t>
      </w:r>
      <w:r>
        <w:t xml:space="preserve"> </w:t>
      </w:r>
      <w:r>
        <w:rPr>
          <w:rStyle w:val="VerbatimChar"/>
        </w:rPr>
        <w:t xml:space="preserve">TabBar.jsx</w:t>
      </w:r>
      <w:r>
        <w:t xml:space="preserve"> </w:t>
      </w:r>
      <w:r>
        <w:t xml:space="preserve">et un</w:t>
      </w:r>
      <w:r>
        <w:t xml:space="preserve"> </w:t>
      </w:r>
      <w:r>
        <w:rPr>
          <w:i/>
          <w:iCs/>
        </w:rPr>
        <w:t xml:space="preserve">slice</w:t>
      </w:r>
      <w:r>
        <w:t xml:space="preserve"> </w:t>
      </w:r>
      <w:r>
        <w:t xml:space="preserve">Redux dédié (</w:t>
      </w:r>
      <w:r>
        <w:rPr>
          <w:rStyle w:val="VerbatimChar"/>
        </w:rPr>
        <w:t xml:space="preserve">NavigationSlice.js</w:t>
      </w:r>
      <w:r>
        <w:t xml:space="preserve">) 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TabBar.jsx</w:t>
      </w:r>
      <w:r>
        <w:t xml:space="preserve"> </w:t>
      </w:r>
      <w:r>
        <w:t xml:space="preserve">rend trois boutons et dispatch l’action</w:t>
      </w:r>
      <w:r>
        <w:t xml:space="preserve"> </w:t>
      </w:r>
      <w:r>
        <w:rPr>
          <w:rStyle w:val="VerbatimChar"/>
        </w:rPr>
        <w:t xml:space="preserve">setActiveTab</w:t>
      </w:r>
      <w:r>
        <w:t xml:space="preserve"> </w:t>
      </w:r>
      <w:r>
        <w:t xml:space="preserve">au clic.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NavigationSlice.js</w:t>
      </w:r>
      <w:r>
        <w:t xml:space="preserve"> </w:t>
      </w:r>
      <w:r>
        <w:t xml:space="preserve">maintient un état unique</w:t>
      </w:r>
      <w:r>
        <w:t xml:space="preserve"> </w:t>
      </w:r>
      <w:r>
        <w:rPr>
          <w:rStyle w:val="VerbatimChar"/>
        </w:rPr>
        <w:t xml:space="preserve">activeTab</w:t>
      </w:r>
      <w:r>
        <w:t xml:space="preserve"> </w:t>
      </w:r>
      <w:r>
        <w:t xml:space="preserve">(valeur par défaut :</w:t>
      </w:r>
      <w:r>
        <w:t xml:space="preserve"> </w:t>
      </w:r>
      <w:r>
        <w:rPr>
          <w:rStyle w:val="VerbatimChar"/>
        </w:rPr>
        <w:t xml:space="preserve">"q1"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App.jsx</w:t>
      </w:r>
      <w:r>
        <w:t xml:space="preserve"> </w:t>
      </w:r>
      <w:r>
        <w:t xml:space="preserve">effectue un rendu conditionnel en fonction de</w:t>
      </w:r>
      <w:r>
        <w:t xml:space="preserve"> </w:t>
      </w:r>
      <w:r>
        <w:rPr>
          <w:rStyle w:val="VerbatimChar"/>
        </w:rPr>
        <w:t xml:space="preserve">activeTab</w:t>
      </w:r>
      <w:r>
        <w:t xml:space="preserve">, montant le tableau de</w:t>
      </w:r>
      <w:r>
        <w:t xml:space="preserve"> </w:t>
      </w:r>
      <w:r>
        <w:t xml:space="preserve">bord correspondant et déclenchant le chargement paresseux des données associées.</w:t>
      </w:r>
    </w:p>
    <w:p>
      <w:pPr>
        <w:pStyle w:val="FirstParagraph"/>
      </w:pPr>
      <w:r>
        <w:t xml:space="preserve">Ce mécanisme de chargement paresseux (</w:t>
      </w:r>
      <w:r>
        <w:rPr>
          <w:i/>
          <w:iCs/>
        </w:rPr>
        <w:t xml:space="preserve">lazy loading</w:t>
      </w:r>
      <w:r>
        <w:t xml:space="preserve">) évite de charger les données des trois</w:t>
      </w:r>
      <w:r>
        <w:t xml:space="preserve"> </w:t>
      </w:r>
      <w:r>
        <w:t xml:space="preserve">questions au démarrage : seules les données de l’onglet actif sont récupérées via</w:t>
      </w:r>
      <w:r>
        <w:t xml:space="preserve"> </w:t>
      </w:r>
      <w:r>
        <w:rPr>
          <w:rStyle w:val="VerbatimChar"/>
        </w:rPr>
        <w:t xml:space="preserve">createAsyncThunk</w:t>
      </w:r>
      <w:r>
        <w:t xml:space="preserve">, les autres étant chargées à la première activation de leur onglet.</w:t>
      </w:r>
    </w:p>
    <w:bookmarkEnd w:id="53"/>
    <w:bookmarkStart w:id="54" w:name="pipelines-de-prétraitement"/>
    <w:p>
      <w:pPr>
        <w:pStyle w:val="Heading3"/>
      </w:pPr>
      <w:r>
        <w:t xml:space="preserve">5.7. Pipelines de prétraitement</w:t>
      </w:r>
    </w:p>
    <w:p>
      <w:pPr>
        <w:pStyle w:val="FirstParagraph"/>
      </w:pPr>
      <w:r>
        <w:t xml:space="preserve">Trois scripts Python transforment les données brutes en fichiers JSON compacts consommables</w:t>
      </w:r>
      <w:r>
        <w:t xml:space="preserve"> </w:t>
      </w:r>
      <w:r>
        <w:t xml:space="preserve">par le client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1926"/>
        <w:gridCol w:w="2354"/>
        <w:gridCol w:w="19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Entrées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  <w:tc>
          <w:tcPr/>
          <w:p>
            <w:pPr>
              <w:pStyle w:val="Compact"/>
            </w:pPr>
            <w:r>
              <w:t xml:space="preserve">Sorties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preprocess.py</w:t>
            </w:r>
          </w:p>
        </w:tc>
        <w:tc>
          <w:tcPr/>
          <w:p>
            <w:pPr>
              <w:pStyle w:val="Compact"/>
            </w:pPr>
            <w:r>
              <w:t xml:space="preserve">Activity Logs (113,9 M lignes) + Financial Journal (1,8 M lignes) + Jobs</w:t>
            </w:r>
          </w:p>
        </w:tc>
        <w:tc>
          <w:tcPr/>
          <w:p>
            <w:pPr>
              <w:pStyle w:val="Compact"/>
            </w:pPr>
            <w:r>
              <w:t xml:space="preserve">DuckDB : jointure temporelle, agrégation mensuelle, régression linéaire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monthly.json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employers.json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preprocess_q2.py</w:t>
            </w:r>
          </w:p>
        </w:tc>
        <w:tc>
          <w:tcPr/>
          <w:p>
            <w:pPr>
              <w:pStyle w:val="Compact"/>
            </w:pPr>
            <w:r>
              <w:t xml:space="preserve">Financial Journal + Participants</w:t>
            </w:r>
          </w:p>
        </w:tc>
        <w:tc>
          <w:tcPr/>
          <w:p>
            <w:pPr>
              <w:pStyle w:val="Compact"/>
            </w:pPr>
            <w:r>
              <w:t xml:space="preserve">DuckDB : agrégation par catégorie + scikit-learn KMeans (méthode du coude)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residents_monthly.json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residents_summary.json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cluster_meta.json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preprocess_q3.py</w:t>
            </w:r>
          </w:p>
        </w:tc>
        <w:tc>
          <w:tcPr/>
          <w:p>
            <w:pPr>
              <w:pStyle w:val="Compact"/>
            </w:pPr>
            <w:r>
              <w:t xml:space="preserve">Activity Logs + Jobs</w:t>
            </w:r>
          </w:p>
        </w:tc>
        <w:tc>
          <w:tcPr/>
          <w:p>
            <w:pPr>
              <w:pStyle w:val="Compact"/>
            </w:pPr>
            <w:r>
              <w:t xml:space="preserve">DuckDB : détection d’arrivées/départs par comparaison d’affectations mois à mois, calcul du turnover normalisé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turnover_monthly.json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employers_turnover.json</w:t>
            </w:r>
          </w:p>
        </w:tc>
      </w:tr>
    </w:tbl>
    <w:p>
      <w:pPr>
        <w:pStyle w:val="BodyText"/>
      </w:pPr>
      <w:r>
        <w:t xml:space="preserve">Le pipeline Q1 (</w:t>
      </w:r>
      <w:r>
        <w:rPr>
          <w:rStyle w:val="VerbatimChar"/>
        </w:rPr>
        <w:t xml:space="preserve">preprocess.py</w:t>
      </w:r>
      <w:r>
        <w:t xml:space="preserve">) suit quatre étapes : (1) jointure temporelle pour résoudre</w:t>
      </w:r>
      <w:r>
        <w:t xml:space="preserve"> </w:t>
      </w:r>
      <w:r>
        <w:t xml:space="preserve">l’employeur de chaque participant par mois, (2) agrégation des salaires par employeur et par</w:t>
      </w:r>
      <w:r>
        <w:t xml:space="preserve"> </w:t>
      </w:r>
      <w:r>
        <w:t xml:space="preserve">mois, (3) calcul des pentes par régression linéaire sur les 15 mois, (4) export JSON.</w:t>
      </w:r>
    </w:p>
    <w:p>
      <w:pPr>
        <w:pStyle w:val="BodyText"/>
      </w:pPr>
      <w:r>
        <w:t xml:space="preserve">Le pipeline Q2 (</w:t>
      </w:r>
      <w:r>
        <w:rPr>
          <w:rStyle w:val="VerbatimChar"/>
        </w:rPr>
        <w:t xml:space="preserve">preprocess_q2.py</w:t>
      </w:r>
      <w:r>
        <w:t xml:space="preserve">) ajoute une étape de clustering : après le calcul des</w:t>
      </w:r>
      <w:r>
        <w:t xml:space="preserve"> </w:t>
      </w:r>
      <w:r>
        <w:t xml:space="preserve">pentes et des moyennes par résident, les indicateurs sont normalisés puis soumis à un KMeans</w:t>
      </w:r>
      <w:r>
        <w:t xml:space="preserve"> </w:t>
      </w:r>
      <w:r>
        <w:t xml:space="preserve">(scikit-learn) dont le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optimal est déterminé par la méthode du coude. Les labels de</w:t>
      </w:r>
      <w:r>
        <w:t xml:space="preserve"> </w:t>
      </w:r>
      <w:r>
        <w:t xml:space="preserve">cluster (Improving, Stable, Declining) sont attribués en fonction de la position des</w:t>
      </w:r>
      <w:r>
        <w:t xml:space="preserve"> </w:t>
      </w:r>
      <w:r>
        <w:t xml:space="preserve">centroïdes.</w:t>
      </w:r>
    </w:p>
    <w:p>
      <w:pPr>
        <w:pStyle w:val="BodyText"/>
      </w:pPr>
      <w:r>
        <w:t xml:space="preserve">Le pipeline Q3 (</w:t>
      </w:r>
      <w:r>
        <w:rPr>
          <w:rStyle w:val="VerbatimChar"/>
        </w:rPr>
        <w:t xml:space="preserve">preprocess_q3.py</w:t>
      </w:r>
      <w:r>
        <w:t xml:space="preserve">) reconstitue les flux de main-d’œuvre en comparant les</w:t>
      </w:r>
      <w:r>
        <w:t xml:space="preserve"> </w:t>
      </w:r>
      <w:r>
        <w:t xml:space="preserve">affectations mensuelles : une arrivée est détectée lorsqu’un participant apparaît chez un</w:t>
      </w:r>
      <w:r>
        <w:t xml:space="preserve"> </w:t>
      </w:r>
      <w:r>
        <w:t xml:space="preserve">nouvel employeur, un départ lorsqu’il quitte un employeur. Le taux de turnover mensuel est</w:t>
      </w:r>
      <w:r>
        <w:t xml:space="preserve"> </w:t>
      </w:r>
      <w:r>
        <w:t xml:space="preserve">normalisé par l’effectif pour permettre la comparaison entre employeurs de tailles différentes.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guide-dutilisation"/>
    <w:p>
      <w:pPr>
        <w:pStyle w:val="Heading2"/>
      </w:pPr>
      <w:r>
        <w:t xml:space="preserve">6. Guide d’utilisation</w:t>
      </w:r>
    </w:p>
    <w:p>
      <w:pPr>
        <w:pStyle w:val="FirstParagraph"/>
      </w:pPr>
      <w:r>
        <w:t xml:space="preserve">L’application s’utilise selon le mantra de Shneiderman (1996) : vue d’ensemble d’abord, zoom</w:t>
      </w:r>
      <w:r>
        <w:t xml:space="preserve"> </w:t>
      </w:r>
      <w:r>
        <w:t xml:space="preserve">et filtrage ensuite, détails à la demande enfin. La barre d’onglets en haut de l’interface</w:t>
      </w:r>
      <w:r>
        <w:t xml:space="preserve"> </w:t>
      </w:r>
      <w:r>
        <w:t xml:space="preserve">permet de basculer entre les trois tableaux de bord (Q1, Q2, Q3).</w:t>
      </w:r>
    </w:p>
    <w:bookmarkStart w:id="56" w:name="onglet-q1-prospérité-des-employeurs"/>
    <w:p>
      <w:pPr>
        <w:pStyle w:val="Heading3"/>
      </w:pPr>
      <w:r>
        <w:t xml:space="preserve">6.1. Onglet Q1 — Prospérité des employeurs</w:t>
      </w:r>
    </w:p>
    <w:p>
      <w:pPr>
        <w:pStyle w:val="FirstParagraph"/>
      </w:pPr>
      <w:r>
        <w:rPr>
          <w:b/>
          <w:bCs/>
        </w:rPr>
        <w:t xml:space="preserve">1. Vue d’ensemble.</w:t>
      </w:r>
      <w:r>
        <w:t xml:space="preserve"> </w:t>
      </w:r>
      <w:r>
        <w:t xml:space="preserve">Au chargement, les trois panneaux s’affichent simultanément. Le</w:t>
      </w:r>
      <w:r>
        <w:t xml:space="preserve"> </w:t>
      </w:r>
      <w:r>
        <w:t xml:space="preserve">panneau A (séries temporelles) montre les 10 employeurs les plus prospères en vert et les 10</w:t>
      </w:r>
      <w:r>
        <w:t xml:space="preserve"> </w:t>
      </w:r>
      <w:r>
        <w:t xml:space="preserve">plus en difficulté en rouge, sur fond de l’ensemble des 253 courbes en gris. Le panneau B</w:t>
      </w:r>
      <w:r>
        <w:t xml:space="preserve"> </w:t>
      </w:r>
      <w:r>
        <w:t xml:space="preserve">(barres divergentes) classe ces 20 employeurs par pente salariale. Le panneau C (nuage de</w:t>
      </w:r>
      <w:r>
        <w:t xml:space="preserve"> </w:t>
      </w:r>
      <w:r>
        <w:t xml:space="preserve">points) positionne les 253 employeurs dans l’espace des deux pentes.</w:t>
      </w:r>
    </w:p>
    <w:p>
      <w:pPr>
        <w:pStyle w:val="BodyText"/>
      </w:pPr>
      <w:r>
        <w:rPr>
          <w:b/>
          <w:bCs/>
        </w:rPr>
        <w:t xml:space="preserve">2. Zoom et filtrage.</w:t>
      </w:r>
      <w:r>
        <w:t xml:space="preserve"> </w:t>
      </w:r>
      <w:r>
        <w:t xml:space="preserve">La barre de contrôle contient un champ numérique « Show top/bottom »</w:t>
      </w:r>
      <w:r>
        <w:t xml:space="preserve"> </w:t>
      </w:r>
      <w:r>
        <w:t xml:space="preserve">qui permet d’ajuster la valeur</w:t>
      </w:r>
      <w:r>
        <w:t xml:space="preserve"> </w:t>
      </w:r>
      <w:r>
        <w:rPr>
          <w:i/>
          <w:iCs/>
        </w:rPr>
        <w:t xml:space="preserve">N</w:t>
      </w:r>
      <w:r>
        <w:t xml:space="preserve">. Augmenter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révèle davantage d’employeurs dans les</w:t>
      </w:r>
      <w:r>
        <w:t xml:space="preserve"> </w:t>
      </w:r>
      <w:r>
        <w:t xml:space="preserve">panneaux A et B ; le réduire concentre l’attention sur les cas les plus extrêmes.</w:t>
      </w:r>
    </w:p>
    <w:p>
      <w:pPr>
        <w:pStyle w:val="BodyText"/>
      </w:pPr>
      <w:r>
        <w:rPr>
          <w:b/>
          <w:bCs/>
        </w:rPr>
        <w:t xml:space="preserve">3. Sélection et survol.</w:t>
      </w:r>
      <w:r>
        <w:t xml:space="preserve"> </w:t>
      </w:r>
      <w:r>
        <w:t xml:space="preserve">Un clic sur un employeur dans n’importe quel panneau le</w:t>
      </w:r>
      <w:r>
        <w:t xml:space="preserve"> </w:t>
      </w:r>
      <w:r>
        <w:t xml:space="preserve">sélectionne dans les trois vues simultanément. Le survol affiche une infobulle contextuelle</w:t>
      </w:r>
      <w:r>
        <w:t xml:space="preserve"> </w:t>
      </w:r>
      <w:r>
        <w:t xml:space="preserve">indiquant l’identifiant de l’employeur, son effectif moyen, sa pente salariale, sa pente</w:t>
      </w:r>
      <w:r>
        <w:t xml:space="preserve"> </w:t>
      </w:r>
      <w:r>
        <w:t xml:space="preserve">d’effectif et sa masse salariale totale.</w:t>
      </w:r>
    </w:p>
    <w:p>
      <w:pPr>
        <w:pStyle w:val="BodyText"/>
      </w:pPr>
      <w:r>
        <w:rPr>
          <w:b/>
          <w:bCs/>
        </w:rPr>
        <w:t xml:space="preserve">4. Lecture des quadrants (panneau C).</w:t>
      </w:r>
      <w:r>
        <w:t xml:space="preserve"> </w:t>
      </w:r>
      <w:r>
        <w:t xml:space="preserve">Les lignes de référence en pointillés à zéro</w:t>
      </w:r>
      <w:r>
        <w:t xml:space="preserve"> </w:t>
      </w:r>
      <w:r>
        <w:t xml:space="preserve">divisent le nuage de points en quatre quadrants. Le quadrant supérieur droit regroupe les</w:t>
      </w:r>
      <w:r>
        <w:t xml:space="preserve"> </w:t>
      </w:r>
      <w:r>
        <w:t xml:space="preserve">employeurs prospères ; le quadrant inférieur gauche ceux en difficulté. Les quadrants mixtes</w:t>
      </w:r>
      <w:r>
        <w:t xml:space="preserve"> </w:t>
      </w:r>
      <w:r>
        <w:t xml:space="preserve">signalent des situations ambiguës méritant une investigation plus fine via les panneaux A et B.</w:t>
      </w:r>
    </w:p>
    <w:bookmarkEnd w:id="56"/>
    <w:bookmarkStart w:id="57" w:name="onglet-q2-santé-financière-des-résidents"/>
    <w:p>
      <w:pPr>
        <w:pStyle w:val="Heading3"/>
      </w:pPr>
      <w:r>
        <w:t xml:space="preserve">6.2. Onglet Q2 — Santé financière des résidents</w:t>
      </w:r>
    </w:p>
    <w:p>
      <w:pPr>
        <w:pStyle w:val="FirstParagraph"/>
      </w:pPr>
      <w:r>
        <w:rPr>
          <w:b/>
          <w:bCs/>
        </w:rPr>
        <w:t xml:space="preserve">1. Vue d’ensemble.</w:t>
      </w:r>
      <w:r>
        <w:t xml:space="preserve"> </w:t>
      </w:r>
      <w:r>
        <w:t xml:space="preserve">Le panneau D (aires empilées) montre l’évolution des dépenses par</w:t>
      </w:r>
      <w:r>
        <w:t xml:space="preserve"> </w:t>
      </w:r>
      <w:r>
        <w:t xml:space="preserve">catégorie et du revenu pour l’ensemble des résidents. Le panneau E (boîtes à moustaches)</w:t>
      </w:r>
      <w:r>
        <w:t xml:space="preserve"> </w:t>
      </w:r>
      <w:r>
        <w:t xml:space="preserve">affiche la distribution mensuelle du solde net. Le panneau F (nuage de points) positionne</w:t>
      </w:r>
      <w:r>
        <w:t xml:space="preserve"> </w:t>
      </w:r>
      <w:r>
        <w:t xml:space="preserve">chaque résident dans l’espace des pentes, coloré par cluster.</w:t>
      </w:r>
    </w:p>
    <w:p>
      <w:pPr>
        <w:pStyle w:val="BodyText"/>
      </w:pPr>
      <w:r>
        <w:rPr>
          <w:b/>
          <w:bCs/>
        </w:rPr>
        <w:t xml:space="preserve">2. Filtrage par cluster.</w:t>
      </w:r>
      <w:r>
        <w:t xml:space="preserve"> </w:t>
      </w:r>
      <w:r>
        <w:t xml:space="preserve">Un clic sur un cluster dans le panneau F reconfigure les</w:t>
      </w:r>
      <w:r>
        <w:t xml:space="preserve"> </w:t>
      </w:r>
      <w:r>
        <w:t xml:space="preserve">panneaux D et E pour n’afficher que les données du cluster sélectionné, avec des lignes</w:t>
      </w:r>
      <w:r>
        <w:t xml:space="preserve"> </w:t>
      </w:r>
      <w:r>
        <w:t xml:space="preserve">pointillées de référence représentant les médianes de l’ensemble des résidents (</w:t>
      </w:r>
      <w:r>
        <w:rPr>
          <w:i/>
          <w:iCs/>
        </w:rPr>
        <w:t xml:space="preserve">focus +</w:t>
      </w:r>
      <w:r>
        <w:rPr>
          <w:i/>
          <w:iCs/>
        </w:rPr>
        <w:t xml:space="preserve"> </w:t>
      </w:r>
      <w:r>
        <w:rPr>
          <w:i/>
          <w:iCs/>
        </w:rPr>
        <w:t xml:space="preserve">context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3. Exploration individuelle.</w:t>
      </w:r>
      <w:r>
        <w:t xml:space="preserve"> </w:t>
      </w:r>
      <w:r>
        <w:t xml:space="preserve">Le survol d’un résident dans le panneau F superpose sa</w:t>
      </w:r>
      <w:r>
        <w:t xml:space="preserve"> </w:t>
      </w:r>
      <w:r>
        <w:t xml:space="preserve">trajectoire individuelle sur les boîtes à moustaches du panneau E, permettant de situer ce</w:t>
      </w:r>
      <w:r>
        <w:t xml:space="preserve"> </w:t>
      </w:r>
      <w:r>
        <w:t xml:space="preserve">résident par rapport à la distribution générale. L’infobulle affiche le cluster</w:t>
      </w:r>
      <w:r>
        <w:t xml:space="preserve"> </w:t>
      </w:r>
      <w:r>
        <w:t xml:space="preserve">d’appartenance, le revenu moyen, les pentes et le solde net moyen.</w:t>
      </w:r>
    </w:p>
    <w:bookmarkEnd w:id="57"/>
    <w:bookmarkStart w:id="58" w:name="onglet-q3-dynamique-demploi-et-turnover"/>
    <w:p>
      <w:pPr>
        <w:pStyle w:val="Heading3"/>
      </w:pPr>
      <w:r>
        <w:t xml:space="preserve">6.3. Onglet Q3 — Dynamique d’emploi et turnover</w:t>
      </w:r>
    </w:p>
    <w:p>
      <w:pPr>
        <w:pStyle w:val="FirstParagraph"/>
      </w:pPr>
      <w:r>
        <w:rPr>
          <w:b/>
          <w:bCs/>
        </w:rPr>
        <w:t xml:space="preserve">1. Vue d’ensemble.</w:t>
      </w:r>
      <w:r>
        <w:t xml:space="preserve"> </w:t>
      </w:r>
      <w:r>
        <w:t xml:space="preserve">Le panneau G (carte de chaleur) montre le taux de turnover de chaque</w:t>
      </w:r>
      <w:r>
        <w:t xml:space="preserve"> </w:t>
      </w:r>
      <w:r>
        <w:t xml:space="preserve">employeur mois par mois. Le panneau H (barres horizontales) classe les employeurs par turnover</w:t>
      </w:r>
      <w:r>
        <w:t xml:space="preserve"> </w:t>
      </w:r>
      <w:r>
        <w:t xml:space="preserve">moyen. Le panneau I (nuage de points) croise l’effectif moyen et le turnover, dimensionné par</w:t>
      </w:r>
      <w:r>
        <w:t xml:space="preserve"> </w:t>
      </w:r>
      <w:r>
        <w:t xml:space="preserve">les départs et coloré par le taux horaire.</w:t>
      </w:r>
    </w:p>
    <w:p>
      <w:pPr>
        <w:pStyle w:val="BodyText"/>
      </w:pPr>
      <w:r>
        <w:rPr>
          <w:b/>
          <w:bCs/>
        </w:rPr>
        <w:t xml:space="preserve">2. Zoom et filtrage.</w:t>
      </w:r>
      <w:r>
        <w:t xml:space="preserve"> </w:t>
      </w:r>
      <w:r>
        <w:t xml:space="preserve">Le contrôle</w:t>
      </w:r>
      <w:r>
        <w:t xml:space="preserve"> </w:t>
      </w:r>
      <w:r>
        <w:rPr>
          <w:rStyle w:val="VerbatimChar"/>
        </w:rPr>
        <w:t xml:space="preserve">topN</w:t>
      </w:r>
      <w:r>
        <w:t xml:space="preserve"> </w:t>
      </w:r>
      <w:r>
        <w:t xml:space="preserve">ajuste le nombre d’employeurs affichés dans les</w:t>
      </w:r>
      <w:r>
        <w:t xml:space="preserve"> </w:t>
      </w:r>
      <w:r>
        <w:t xml:space="preserve">panneaux G et H — les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plus instables et les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plus stables.</w:t>
      </w:r>
    </w:p>
    <w:p>
      <w:pPr>
        <w:pStyle w:val="BodyText"/>
      </w:pPr>
      <w:r>
        <w:rPr>
          <w:b/>
          <w:bCs/>
        </w:rPr>
        <w:t xml:space="preserve">3. Sélection et survol.</w:t>
      </w:r>
      <w:r>
        <w:t xml:space="preserve"> </w:t>
      </w:r>
      <w:r>
        <w:t xml:space="preserve">Même mécanisme que Q1 : le survol et le clic coordonnent les</w:t>
      </w:r>
      <w:r>
        <w:t xml:space="preserve"> </w:t>
      </w:r>
      <w:r>
        <w:t xml:space="preserve">trois panneaux. L’infobulle affiche l’identifiant de l’employeur, son effectif moyen, son taux</w:t>
      </w:r>
      <w:r>
        <w:t xml:space="preserve"> </w:t>
      </w:r>
      <w:r>
        <w:t xml:space="preserve">de turnover, son nombre total de départs et son rang de turnover.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conclusion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Ce rapport a présenté la conception et l’implémentation d’une application de visualisation</w:t>
      </w:r>
      <w:r>
        <w:t xml:space="preserve"> </w:t>
      </w:r>
      <w:r>
        <w:t xml:space="preserve">interactive répondant aux trois questions économiques (Q1, Q2, Q3) du mini-challenge 3 du VAST</w:t>
      </w:r>
      <w:r>
        <w:t xml:space="preserve"> </w:t>
      </w:r>
      <w:r>
        <w:t xml:space="preserve">Challenge 2022. L’approche est structurée selon les quatre niveaux du modèle imbriqué de</w:t>
      </w:r>
      <w:r>
        <w:t xml:space="preserve"> </w:t>
      </w:r>
      <w:r>
        <w:t xml:space="preserve">Munzner (2014) :</w:t>
      </w:r>
    </w:p>
    <w:p>
      <w:pPr>
        <w:pStyle w:val="Compact"/>
        <w:numPr>
          <w:ilvl w:val="0"/>
          <w:numId w:val="1013"/>
        </w:numPr>
      </w:pPr>
      <w:r>
        <w:t xml:space="preserve">Au</w:t>
      </w:r>
      <w:r>
        <w:t xml:space="preserve"> </w:t>
      </w:r>
      <w:r>
        <w:rPr>
          <w:b/>
          <w:bCs/>
        </w:rPr>
        <w:t xml:space="preserve">niveau 1</w:t>
      </w:r>
      <w:r>
        <w:t xml:space="preserve"> </w:t>
      </w:r>
      <w:r>
        <w:t xml:space="preserve">(domaine), nous avons caractérisé les besoins des décideurs municipaux</w:t>
      </w:r>
      <w:r>
        <w:t xml:space="preserve"> </w:t>
      </w:r>
      <w:r>
        <w:t xml:space="preserve">d’Engagement, Ohio, et formulé les objectifs analytiques propres à chaque question :</w:t>
      </w:r>
      <w:r>
        <w:t xml:space="preserve"> </w:t>
      </w:r>
      <w:r>
        <w:t xml:space="preserve">prospérité des employeurs (Q1), santé financière des résidents (Q2) et dynamique d’emploi</w:t>
      </w:r>
      <w:r>
        <w:t xml:space="preserve"> </w:t>
      </w:r>
      <w:r>
        <w:t xml:space="preserve">(Q3).</w:t>
      </w:r>
    </w:p>
    <w:p>
      <w:pPr>
        <w:pStyle w:val="Compact"/>
        <w:numPr>
          <w:ilvl w:val="0"/>
          <w:numId w:val="1013"/>
        </w:numPr>
      </w:pPr>
      <w:r>
        <w:t xml:space="preserve">Au</w:t>
      </w:r>
      <w:r>
        <w:t xml:space="preserve"> </w:t>
      </w:r>
      <w:r>
        <w:rPr>
          <w:b/>
          <w:bCs/>
        </w:rPr>
        <w:t xml:space="preserve">niveau 2</w:t>
      </w:r>
      <w:r>
        <w:t xml:space="preserve"> </w:t>
      </w:r>
      <w:r>
        <w:t xml:space="preserve">(abstraction), nous avons identifié les tables sources, classé les attributs</w:t>
      </w:r>
      <w:r>
        <w:t xml:space="preserve"> </w:t>
      </w:r>
      <w:r>
        <w:t xml:space="preserve">selon la taxonomie de Munzner (Ghoniem &amp; Médoc, 2026,</w:t>
      </w:r>
      <w:r>
        <w:t xml:space="preserve"> </w:t>
      </w:r>
      <w:r>
        <w:rPr>
          <w:i/>
          <w:iCs/>
        </w:rPr>
        <w:t xml:space="preserve">Introduction</w:t>
      </w:r>
      <w:r>
        <w:t xml:space="preserve">, p. 32), défini les</w:t>
      </w:r>
      <w:r>
        <w:t xml:space="preserve"> </w:t>
      </w:r>
      <w:r>
        <w:t xml:space="preserve">attributs dérivés (pentes, clusters, taux de turnover) et traduit les objectifs en tâches</w:t>
      </w:r>
      <w:r>
        <w:t xml:space="preserve"> </w:t>
      </w:r>
      <w:r>
        <w:t xml:space="preserve">abstraites (actions → cibles) selon la taxonomie du cours (</w:t>
      </w:r>
      <w:r>
        <w:rPr>
          <w:i/>
          <w:iCs/>
        </w:rPr>
        <w:t xml:space="preserve">Introduction</w:t>
      </w:r>
      <w:r>
        <w:t xml:space="preserve">, p. 70–72).</w:t>
      </w:r>
    </w:p>
    <w:p>
      <w:pPr>
        <w:pStyle w:val="Compact"/>
        <w:numPr>
          <w:ilvl w:val="0"/>
          <w:numId w:val="1013"/>
        </w:numPr>
      </w:pPr>
      <w:r>
        <w:t xml:space="preserve">Au</w:t>
      </w:r>
      <w:r>
        <w:t xml:space="preserve"> </w:t>
      </w:r>
      <w:r>
        <w:rPr>
          <w:b/>
          <w:bCs/>
        </w:rPr>
        <w:t xml:space="preserve">niveau 3</w:t>
      </w:r>
      <w:r>
        <w:t xml:space="preserve"> </w:t>
      </w:r>
      <w:r>
        <w:t xml:space="preserve">(encodage), nous avons conçu neuf panneaux répartis en trois systèmes de</w:t>
      </w:r>
      <w:r>
        <w:t xml:space="preserve"> </w:t>
      </w:r>
      <w:r>
        <w:t xml:space="preserve">vues coordonnées — un par question. Chaque canal visuel est justifié par le principe</w:t>
      </w:r>
      <w:r>
        <w:t xml:space="preserve"> </w:t>
      </w:r>
      <w:r>
        <w:t xml:space="preserve">d’efficacité des canaux (</w:t>
      </w:r>
      <w:r>
        <w:rPr>
          <w:i/>
          <w:iCs/>
        </w:rPr>
        <w:t xml:space="preserve">Introduction</w:t>
      </w:r>
      <w:r>
        <w:t xml:space="preserve">, p. 34), la perception pré-attentive (</w:t>
      </w:r>
      <w:r>
        <w:rPr>
          <w:i/>
          <w:iCs/>
        </w:rPr>
        <w:t xml:space="preserve">Introduction</w:t>
      </w:r>
      <w:r>
        <w:t xml:space="preserve">,</w:t>
      </w:r>
      <w:r>
        <w:t xml:space="preserve"> </w:t>
      </w:r>
      <w:r>
        <w:t xml:space="preserve">p. 18) et les palettes de couleurs (</w:t>
      </w:r>
      <w:r>
        <w:rPr>
          <w:i/>
          <w:iCs/>
        </w:rPr>
        <w:t xml:space="preserve">Introduction</w:t>
      </w:r>
      <w:r>
        <w:t xml:space="preserve">, p. 53). Les techniques mobilisées</w:t>
      </w:r>
      <w:r>
        <w:t xml:space="preserve"> </w:t>
      </w:r>
      <w:r>
        <w:t xml:space="preserve">couvrent les séries temporelles, les diagrammes en barres, les nuages de points</w:t>
      </w:r>
      <w:r>
        <w:t xml:space="preserve"> </w:t>
      </w:r>
      <w:r>
        <w:t xml:space="preserve">multi-encodés, les aires empilées, les boîtes à moustaches et les cartes de chaleur —</w:t>
      </w:r>
      <w:r>
        <w:t xml:space="preserve"> </w:t>
      </w:r>
      <w:r>
        <w:t xml:space="preserve">illustrant les techniques axiales et basées sur les tableaux pour données</w:t>
      </w:r>
      <w:r>
        <w:t xml:space="preserve"> </w:t>
      </w:r>
      <w:r>
        <w:t xml:space="preserve">multidimensionnelles (Ghoniem &amp; Médoc, 2026,</w:t>
      </w:r>
      <w:r>
        <w:t xml:space="preserve"> </w:t>
      </w:r>
      <w:r>
        <w:rPr>
          <w:i/>
          <w:iCs/>
        </w:rPr>
        <w:t xml:space="preserve">Multidimensionnelles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Au</w:t>
      </w:r>
      <w:r>
        <w:t xml:space="preserve"> </w:t>
      </w:r>
      <w:r>
        <w:rPr>
          <w:b/>
          <w:bCs/>
        </w:rPr>
        <w:t xml:space="preserve">niveau 4</w:t>
      </w:r>
      <w:r>
        <w:t xml:space="preserve"> </w:t>
      </w:r>
      <w:r>
        <w:t xml:space="preserve">(implémentation), nous avons réalisé l’application en suivant le patron MVC</w:t>
      </w:r>
      <w:r>
        <w:t xml:space="preserve"> </w:t>
      </w:r>
      <w:r>
        <w:t xml:space="preserve">avec séparation des responsabilités (classe D3 encapsulée + conteneur React +</w:t>
      </w:r>
      <w:r>
        <w:t xml:space="preserve"> </w:t>
      </w:r>
      <w:r>
        <w:rPr>
          <w:i/>
          <w:iCs/>
        </w:rPr>
        <w:t xml:space="preserve">store</w:t>
      </w:r>
      <w:r>
        <w:t xml:space="preserve"> </w:t>
      </w:r>
      <w:r>
        <w:t xml:space="preserve">Redux), conformément à l’architecture des tutoriels Tuto4 et Tuto5 (Médoc, 2026).</w:t>
      </w:r>
      <w:r>
        <w:t xml:space="preserve"> </w:t>
      </w:r>
      <w:r>
        <w:t xml:space="preserve">L’interface à onglets, les sept</w:t>
      </w:r>
      <w:r>
        <w:t xml:space="preserve"> </w:t>
      </w:r>
      <w:r>
        <w:rPr>
          <w:i/>
          <w:iCs/>
        </w:rPr>
        <w:t xml:space="preserve">slices</w:t>
      </w:r>
      <w:r>
        <w:t xml:space="preserve"> </w:t>
      </w:r>
      <w:r>
        <w:t xml:space="preserve">Redux et les trois pipelines de prétraitement</w:t>
      </w:r>
      <w:r>
        <w:t xml:space="preserve"> </w:t>
      </w:r>
      <w:r>
        <w:t xml:space="preserve">(DuckDB + scikit-learn) assurent la modularité et la performance.</w:t>
      </w:r>
    </w:p>
    <w:p>
      <w:pPr>
        <w:pStyle w:val="FirstParagraph"/>
      </w:pPr>
      <w:r>
        <w:rPr>
          <w:b/>
          <w:bCs/>
        </w:rPr>
        <w:t xml:space="preserve">Limites.</w:t>
      </w:r>
      <w:r>
        <w:t xml:space="preserve"> </w:t>
      </w:r>
      <w:r>
        <w:t xml:space="preserve">Pour Q1, notre approche repose sur un indicateur indirect de prospérité (effectif</w:t>
      </w:r>
      <w:r>
        <w:t xml:space="preserve"> </w:t>
      </w:r>
      <w:r>
        <w:t xml:space="preserve">et masse salariale) en l’absence de chiffre d’affaires dans le jeu de données. Pour Q2, le</w:t>
      </w:r>
      <w:r>
        <w:t xml:space="preserve"> </w:t>
      </w:r>
      <w:r>
        <w:t xml:space="preserve">nombre de clusters est déterminé par la méthode du coude, qui peut être sensible à la</w:t>
      </w:r>
      <w:r>
        <w:t xml:space="preserve"> </w:t>
      </w:r>
      <w:r>
        <w:t xml:space="preserve">normalisation choisie. Pour Q3, la détection d’arrivées et de départs repose sur une</w:t>
      </w:r>
      <w:r>
        <w:t xml:space="preserve"> </w:t>
      </w:r>
      <w:r>
        <w:t xml:space="preserve">discrétisation mensuelle qui peut masquer des mouvements infra-mensuels. Enfin, la pente</w:t>
      </w:r>
      <w:r>
        <w:t xml:space="preserve"> </w:t>
      </w:r>
      <w:r>
        <w:t xml:space="preserve">linéaire utilisée comme mesure de tendance (Q1, Q2) ne capte pas les ruptures brutales ni les</w:t>
      </w:r>
      <w:r>
        <w:t xml:space="preserve"> </w:t>
      </w:r>
      <w:r>
        <w:t xml:space="preserve">variations saisonnières. Le jeu de données étant tabulaire, les cours sur la visualisation de</w:t>
      </w:r>
      <w:r>
        <w:t xml:space="preserve"> </w:t>
      </w:r>
      <w:r>
        <w:t xml:space="preserve">graphes et de données hiérarchiques n’ont pas été directement mobilisés.</w:t>
      </w:r>
    </w:p>
    <w:p>
      <w:pPr>
        <w:pStyle w:val="BodyText"/>
      </w:pPr>
      <w:r>
        <w:rPr>
          <w:b/>
          <w:bCs/>
        </w:rPr>
        <w:t xml:space="preserve">Perspectives.</w:t>
      </w:r>
      <w:r>
        <w:t xml:space="preserve"> </w:t>
      </w:r>
      <w:r>
        <w:t xml:space="preserve">L’application pourrait être enrichie par une animation temporelle (</w:t>
      </w:r>
      <w:r>
        <w:rPr>
          <w:i/>
          <w:iCs/>
        </w:rPr>
        <w:t xml:space="preserve">small</w:t>
      </w:r>
      <w:r>
        <w:rPr>
          <w:i/>
          <w:iCs/>
        </w:rPr>
        <w:t xml:space="preserve"> </w:t>
      </w:r>
      <w:r>
        <w:rPr>
          <w:i/>
          <w:iCs/>
        </w:rPr>
        <w:t xml:space="preserve">multiples</w:t>
      </w:r>
      <w:r>
        <w:t xml:space="preserve"> </w:t>
      </w:r>
      <w:r>
        <w:t xml:space="preserve">ou curseur de temps) permettant d’observer les transitions mois par mois. L’ajout</w:t>
      </w:r>
      <w:r>
        <w:t xml:space="preserve"> </w:t>
      </w:r>
      <w:r>
        <w:t xml:space="preserve">de données de fréquentation (CheckinJournal) pourrait élargir la définition de prospérité aux</w:t>
      </w:r>
      <w:r>
        <w:t xml:space="preserve"> </w:t>
      </w:r>
      <w:r>
        <w:t xml:space="preserve">commerces de détail. Un quatrième onglet croisant les résultats des trois questions offrirait</w:t>
      </w:r>
      <w:r>
        <w:t xml:space="preserve"> </w:t>
      </w:r>
      <w:r>
        <w:t xml:space="preserve">une vue intégrée de la dynamique économique de la ville.</w:t>
      </w:r>
    </w:p>
    <w:p>
      <w:pPr>
        <w:pStyle w:val="BodyText"/>
      </w:pPr>
      <w:r>
        <w:rPr>
          <w:b/>
          <w:bCs/>
        </w:rPr>
        <w:t xml:space="preserve">Note.</w:t>
      </w:r>
      <w:r>
        <w:t xml:space="preserve"> </w:t>
      </w:r>
      <w:r>
        <w:t xml:space="preserve">Certaines métriques techniques et statistiques de volumétrie ont été extraites et</w:t>
      </w:r>
      <w:r>
        <w:t xml:space="preserve"> </w:t>
      </w:r>
      <w:r>
        <w:t xml:space="preserve">vérifiées à l’aide d’une intelligence artificielle, notamment le décompte précis des lignes</w:t>
      </w:r>
      <w:r>
        <w:t xml:space="preserve"> </w:t>
      </w:r>
      <w:r>
        <w:t xml:space="preserve">des jeux de données, le nombre exact d’identifiants uniques ainsi que la validation des calculs</w:t>
      </w:r>
      <w:r>
        <w:t xml:space="preserve"> </w:t>
      </w:r>
      <w:r>
        <w:t xml:space="preserve">d’agrégation pour les structures cibles.</w:t>
      </w:r>
    </w:p>
    <w:p>
      <w:r>
        <w:pict>
          <v:rect style="width:0;height:1.5pt" o:hralign="center" o:hrstd="t" o:hr="t"/>
        </w:pict>
      </w:r>
    </w:p>
    <w:bookmarkEnd w:id="60"/>
    <w:bookmarkStart w:id="61" w:name="références"/>
    <w:p>
      <w:pPr>
        <w:pStyle w:val="Heading2"/>
      </w:pPr>
      <w:r>
        <w:t xml:space="preserve">8. Références</w:t>
      </w:r>
    </w:p>
    <w:p>
      <w:pPr>
        <w:pStyle w:val="Compact"/>
        <w:numPr>
          <w:ilvl w:val="0"/>
          <w:numId w:val="1014"/>
        </w:numPr>
      </w:pPr>
      <w:r>
        <w:t xml:space="preserve">Munzner, T. (2014).</w:t>
      </w:r>
      <w:r>
        <w:t xml:space="preserve"> </w:t>
      </w:r>
      <w:r>
        <w:rPr>
          <w:i/>
          <w:iCs/>
        </w:rPr>
        <w:t xml:space="preserve">Visualization Analysis and Design</w:t>
      </w:r>
      <w:r>
        <w:t xml:space="preserve">. A K Peters Visualization Series, CRC Press.</w:t>
      </w:r>
    </w:p>
    <w:p>
      <w:pPr>
        <w:pStyle w:val="Compact"/>
        <w:numPr>
          <w:ilvl w:val="0"/>
          <w:numId w:val="1014"/>
        </w:numPr>
      </w:pPr>
      <w:r>
        <w:t xml:space="preserve">Shneiderman, B. (1996). « The Eyes Have It: A Task by Data Type Taxonomy for Information Visualizations ».</w:t>
      </w:r>
      <w:r>
        <w:t xml:space="preserve"> </w:t>
      </w:r>
      <w:r>
        <w:rPr>
          <w:i/>
          <w:iCs/>
        </w:rPr>
        <w:t xml:space="preserve">Proceedings of the IEEE Symposium on Visual Languages</w:t>
      </w:r>
      <w:r>
        <w:t xml:space="preserve">, pp. 336–343.</w:t>
      </w:r>
    </w:p>
    <w:p>
      <w:pPr>
        <w:pStyle w:val="Compact"/>
        <w:numPr>
          <w:ilvl w:val="0"/>
          <w:numId w:val="1014"/>
        </w:numPr>
      </w:pPr>
      <w:r>
        <w:t xml:space="preserve">Ghoniem, M. &amp; Médoc, N. (2026).</w:t>
      </w:r>
      <w:r>
        <w:t xml:space="preserve"> </w:t>
      </w:r>
      <w:r>
        <w:rPr>
          <w:i/>
          <w:iCs/>
        </w:rPr>
        <w:t xml:space="preserve">Introduction à la visualisation d’information</w:t>
      </w:r>
      <w:r>
        <w:t xml:space="preserve"> </w:t>
      </w:r>
      <w:r>
        <w:t xml:space="preserve">[support de cours]. M2 IHM.</w:t>
      </w:r>
    </w:p>
    <w:p>
      <w:pPr>
        <w:pStyle w:val="Compact"/>
        <w:numPr>
          <w:ilvl w:val="0"/>
          <w:numId w:val="1014"/>
        </w:numPr>
      </w:pPr>
      <w:r>
        <w:t xml:space="preserve">Ghoniem, M. &amp; Médoc, N. (2026).</w:t>
      </w:r>
      <w:r>
        <w:t xml:space="preserve"> </w:t>
      </w:r>
      <w:r>
        <w:rPr>
          <w:i/>
          <w:iCs/>
        </w:rPr>
        <w:t xml:space="preserve">Visualisation de données multidimensionnelles</w:t>
      </w:r>
      <w:r>
        <w:t xml:space="preserve"> </w:t>
      </w:r>
      <w:r>
        <w:t xml:space="preserve">[support de cours]. M2 IHM.</w:t>
      </w:r>
    </w:p>
    <w:p>
      <w:pPr>
        <w:pStyle w:val="Compact"/>
        <w:numPr>
          <w:ilvl w:val="0"/>
          <w:numId w:val="1014"/>
        </w:numPr>
      </w:pPr>
      <w:r>
        <w:t xml:space="preserve">Médoc, N. (2026). Tutoriels Tuto1–Tuto7 [dépôts GitHub]. https://github.com/nicolasmedoc</w:t>
      </w:r>
    </w:p>
    <w:p>
      <w:pPr>
        <w:pStyle w:val="Compact"/>
        <w:numPr>
          <w:ilvl w:val="0"/>
          <w:numId w:val="1014"/>
        </w:numPr>
      </w:pPr>
      <w:r>
        <w:t xml:space="preserve">Pedregosa, F.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(2011). « Scikit-learn: Machine Learning in Python ».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12, pp. 2825–2830.</w:t>
      </w:r>
    </w:p>
    <w:p>
      <w:pPr>
        <w:pStyle w:val="Compact"/>
        <w:numPr>
          <w:ilvl w:val="0"/>
          <w:numId w:val="1014"/>
        </w:numPr>
      </w:pPr>
      <w:r>
        <w:t xml:space="preserve">VAST Challenge 2022, Mini-Challenge 3 — Economic (Q1, Q2, Q3). https://vast-challenge.github.io/2022/</w:t>
      </w:r>
    </w:p>
    <w:p>
      <w:pPr>
        <w:pStyle w:val="Compact"/>
        <w:numPr>
          <w:ilvl w:val="0"/>
          <w:numId w:val="1014"/>
        </w:numPr>
      </w:pPr>
      <w:r>
        <w:t xml:space="preserve">Benerrazam, C. E., Mathis, A., Maniboda Ngouanat, L. C. &amp; Maraj, A. (2025).</w:t>
      </w:r>
      <w:r>
        <w:t xml:space="preserve"> </w:t>
      </w:r>
      <w:r>
        <w:rPr>
          <w:i/>
          <w:iCs/>
        </w:rPr>
        <w:t xml:space="preserve">Rapport de conception de données — VAST Challenge 2022, Mini-challenge Économique (Q1)</w:t>
      </w:r>
      <w:r>
        <w:t xml:space="preserve">.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r-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fr-FR</dc:language>
  <cp:keywords/>
  <dcterms:created xsi:type="dcterms:W3CDTF">2026-03-13T18:05:07Z</dcterms:created>
  <dcterms:modified xsi:type="dcterms:W3CDTF">2026-03-13T18:05:07Z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