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CDA32" w14:textId="77777777" w:rsidR="00065630" w:rsidRDefault="00000000">
      <w:pPr>
        <w:pStyle w:val="Title"/>
      </w:pPr>
      <w:r>
        <w:t>Global Happiness Trends: A Power BI Data Analysis Report</w:t>
      </w:r>
    </w:p>
    <w:p w14:paraId="380B5D32" w14:textId="77777777" w:rsidR="00065630" w:rsidRDefault="00000000">
      <w:pPr>
        <w:pStyle w:val="Heading1"/>
        <w:spacing w:line="480" w:lineRule="auto"/>
      </w:pPr>
      <w:r>
        <w:t>Introduction</w:t>
      </w:r>
    </w:p>
    <w:p w14:paraId="27032760" w14:textId="77777777" w:rsidR="00065630" w:rsidRDefault="00000000">
      <w:pPr>
        <w:spacing w:line="360" w:lineRule="auto"/>
        <w:jc w:val="both"/>
        <w:rPr>
          <w:rFonts w:cs="Times New Roman"/>
          <w:szCs w:val="24"/>
        </w:rPr>
      </w:pPr>
      <w:r>
        <w:rPr>
          <w:rFonts w:eastAsia="sans-serif" w:cs="Times New Roman"/>
          <w:color w:val="3B3A3B"/>
          <w:spacing w:val="5"/>
          <w:szCs w:val="24"/>
          <w:shd w:val="clear" w:color="auto" w:fill="FFFFFF"/>
        </w:rPr>
        <w:t xml:space="preserve">The aim of this project is to examine </w:t>
      </w:r>
      <w:r>
        <w:rPr>
          <w:rFonts w:eastAsia="SimSun" w:cs="Times New Roman"/>
          <w:szCs w:val="24"/>
        </w:rPr>
        <w:t>the</w:t>
      </w:r>
      <w:r>
        <w:rPr>
          <w:rFonts w:eastAsia="sans-serif" w:cs="Times New Roman"/>
          <w:color w:val="3B3A3B"/>
          <w:spacing w:val="5"/>
          <w:szCs w:val="24"/>
          <w:shd w:val="clear" w:color="auto" w:fill="FFFFFF"/>
        </w:rPr>
        <w:t xml:space="preserve"> happiness and well-being levels across the globe through interactive Power BI dashboards. It will identify the main drivers of happiness and how they vary from nation to nation and across regions. This research will provide figures that </w:t>
      </w:r>
      <w:r>
        <w:rPr>
          <w:rFonts w:eastAsia="sans-serif" w:cs="Times New Roman"/>
          <w:color w:val="3B3A3B"/>
          <w:spacing w:val="5"/>
          <w:szCs w:val="24"/>
          <w:shd w:val="clear" w:color="auto" w:fill="FFFFFF"/>
          <w:lang w:val="en-IN"/>
        </w:rPr>
        <w:t>will</w:t>
      </w:r>
      <w:r>
        <w:rPr>
          <w:rFonts w:eastAsia="sans-serif" w:cs="Times New Roman"/>
          <w:color w:val="3B3A3B"/>
          <w:spacing w:val="5"/>
          <w:szCs w:val="24"/>
          <w:shd w:val="clear" w:color="auto" w:fill="FFFFFF"/>
        </w:rPr>
        <w:t xml:space="preserve"> be extremely valuable in policymaking, social advancement, and efforts i</w:t>
      </w:r>
      <w:r>
        <w:rPr>
          <w:rFonts w:eastAsia="SimSun" w:cs="Times New Roman"/>
          <w:szCs w:val="24"/>
        </w:rPr>
        <w:t>n wo</w:t>
      </w:r>
      <w:r>
        <w:rPr>
          <w:rFonts w:eastAsia="sans-serif" w:cs="Times New Roman"/>
          <w:color w:val="3B3A3B"/>
          <w:spacing w:val="5"/>
          <w:szCs w:val="24"/>
          <w:shd w:val="clear" w:color="auto" w:fill="FFFFFF"/>
        </w:rPr>
        <w:t>rld well-being.</w:t>
      </w:r>
    </w:p>
    <w:p w14:paraId="3F0A4A0B" w14:textId="77777777" w:rsidR="00065630" w:rsidRDefault="00000000">
      <w:pPr>
        <w:spacing w:line="480" w:lineRule="auto"/>
        <w:jc w:val="both"/>
        <w:rPr>
          <w:b/>
          <w:bCs/>
        </w:rPr>
      </w:pPr>
      <w:r>
        <w:rPr>
          <w:b/>
          <w:bCs/>
        </w:rPr>
        <w:t>Dataset Description</w:t>
      </w:r>
    </w:p>
    <w:p w14:paraId="08C75C5E" w14:textId="77777777" w:rsidR="00065630" w:rsidRDefault="00000000">
      <w:pPr>
        <w:numPr>
          <w:ilvl w:val="0"/>
          <w:numId w:val="7"/>
        </w:numPr>
        <w:spacing w:line="480" w:lineRule="auto"/>
        <w:jc w:val="both"/>
        <w:rPr>
          <w:lang w:val="en-IN"/>
        </w:rPr>
      </w:pPr>
      <w:r>
        <w:t xml:space="preserve">What it is: The data introduces the World Happiness Report 2024, based on life satisfaction scores (Ladder Score) and some explanatory variables at </w:t>
      </w:r>
      <w:r>
        <w:rPr>
          <w:lang w:val="en-IN"/>
        </w:rPr>
        <w:t xml:space="preserve">the </w:t>
      </w:r>
      <w:r>
        <w:t>country level</w:t>
      </w:r>
      <w:r>
        <w:rPr>
          <w:lang w:val="en-IN"/>
        </w:rPr>
        <w:t>.</w:t>
      </w:r>
    </w:p>
    <w:p w14:paraId="632F49DA" w14:textId="77777777" w:rsidR="00065630" w:rsidRDefault="00000000">
      <w:pPr>
        <w:numPr>
          <w:ilvl w:val="0"/>
          <w:numId w:val="7"/>
        </w:numPr>
        <w:spacing w:line="480" w:lineRule="auto"/>
        <w:jc w:val="both"/>
      </w:pPr>
      <w:r>
        <w:t xml:space="preserve"> Source URL to </w:t>
      </w:r>
      <w:r>
        <w:rPr>
          <w:lang w:val="en-IN"/>
        </w:rPr>
        <w:t>dataset</w:t>
      </w:r>
      <w:r>
        <w:t>: Retrieved</w:t>
      </w:r>
      <w:r>
        <w:rPr>
          <w:lang w:val="en-IN"/>
        </w:rPr>
        <w:t xml:space="preserve"> </w:t>
      </w:r>
      <w:r>
        <w:t xml:space="preserve">from Kaggle — </w:t>
      </w:r>
      <w:r>
        <w:rPr>
          <w:lang w:val="en-IN"/>
        </w:rPr>
        <w:t xml:space="preserve">    </w:t>
      </w:r>
      <w:r>
        <w:t>[</w:t>
      </w:r>
      <w:r>
        <w:rPr>
          <w:lang w:val="en-IN"/>
        </w:rPr>
        <w:t xml:space="preserve"> </w:t>
      </w:r>
      <w:r>
        <w:t>https://www.kaggle.com/datasets/ajaypalsinghlo/world-happiness-report-2024</w:t>
      </w:r>
      <w:r>
        <w:rPr>
          <w:lang w:val="en-IN"/>
        </w:rPr>
        <w:t xml:space="preserve"> </w:t>
      </w:r>
      <w:r>
        <w:t>].</w:t>
      </w:r>
    </w:p>
    <w:p w14:paraId="283129E1" w14:textId="77777777" w:rsidR="00065630" w:rsidRDefault="00000000">
      <w:pPr>
        <w:numPr>
          <w:ilvl w:val="0"/>
          <w:numId w:val="7"/>
        </w:numPr>
        <w:spacing w:line="480" w:lineRule="auto"/>
        <w:jc w:val="both"/>
      </w:pPr>
      <w:r>
        <w:t xml:space="preserve">Column headers: Include Country, Region, Ladder </w:t>
      </w:r>
      <w:r>
        <w:rPr>
          <w:lang w:val="en-IN"/>
        </w:rPr>
        <w:t>S</w:t>
      </w:r>
      <w:r>
        <w:t>core, Explained by: Log GDP per capita, Social support, Healthy life expectancy, Freedom to make life choices, Generosity, Perceptions of corruption, and Dystopia + residual.</w:t>
      </w:r>
    </w:p>
    <w:p w14:paraId="012075FB" w14:textId="77777777" w:rsidR="00065630" w:rsidRDefault="00000000">
      <w:pPr>
        <w:numPr>
          <w:ilvl w:val="0"/>
          <w:numId w:val="7"/>
        </w:numPr>
        <w:spacing w:line="480" w:lineRule="auto"/>
        <w:jc w:val="both"/>
      </w:pPr>
      <w:r>
        <w:t>-Data rows: Over 1,000 rows from a number of countries with complete well-being indicator data.</w:t>
      </w:r>
      <w:r>
        <w:br w:type="page"/>
      </w:r>
    </w:p>
    <w:p w14:paraId="555ADE79" w14:textId="77777777" w:rsidR="00065630" w:rsidRDefault="00000000">
      <w:pPr>
        <w:pStyle w:val="Heading2"/>
        <w:spacing w:line="480" w:lineRule="auto"/>
        <w:rPr>
          <w:rFonts w:ascii="Times New Roman" w:hAnsi="Times New Roman" w:cs="Times New Roman"/>
        </w:rPr>
      </w:pPr>
      <w:r>
        <w:rPr>
          <w:rFonts w:ascii="Times New Roman" w:hAnsi="Times New Roman" w:cs="Times New Roman"/>
        </w:rPr>
        <w:lastRenderedPageBreak/>
        <w:t>Methodology</w:t>
      </w:r>
    </w:p>
    <w:p w14:paraId="1A159BF5" w14:textId="77777777" w:rsidR="00065630" w:rsidRDefault="00000000">
      <w:pPr>
        <w:spacing w:line="480" w:lineRule="auto"/>
        <w:rPr>
          <w:rFonts w:cs="Times New Roman"/>
        </w:rPr>
      </w:pPr>
      <w:r>
        <w:rPr>
          <w:rFonts w:cs="Times New Roman"/>
        </w:rPr>
        <w:t>Tool utilized</w:t>
      </w:r>
    </w:p>
    <w:p w14:paraId="4A0CB655" w14:textId="77777777" w:rsidR="00065630" w:rsidRDefault="00000000">
      <w:pPr>
        <w:spacing w:line="480" w:lineRule="auto"/>
        <w:rPr>
          <w:rFonts w:cs="Times New Roman"/>
          <w:lang w:val="en-IN"/>
        </w:rPr>
      </w:pPr>
      <w:r>
        <w:rPr>
          <w:rFonts w:cs="Times New Roman"/>
        </w:rPr>
        <w:t>Power BI was chosen because of its advanced data modeling, simple dash boarding, and strong interactive visualization features. Its DAX calculations, slicers, and custom visuals also positioned it to be effective in analyzing well-being data and communicating dynamic insights in an effective way.</w:t>
      </w:r>
    </w:p>
    <w:p w14:paraId="64BBBAC9" w14:textId="77777777" w:rsidR="00065630" w:rsidRDefault="00000000">
      <w:pPr>
        <w:pStyle w:val="Heading2"/>
        <w:spacing w:line="480" w:lineRule="auto"/>
        <w:rPr>
          <w:rFonts w:ascii="Times New Roman" w:hAnsi="Times New Roman" w:cs="Times New Roman"/>
          <w:sz w:val="24"/>
          <w:szCs w:val="24"/>
          <w:lang w:val="en-IN"/>
        </w:rPr>
      </w:pPr>
      <w:r>
        <w:rPr>
          <w:rFonts w:ascii="Times New Roman" w:eastAsia="SimSun" w:hAnsi="Times New Roman" w:cs="Times New Roman"/>
          <w:sz w:val="24"/>
          <w:szCs w:val="24"/>
        </w:rPr>
        <w:t>Visualization Creation Process</w:t>
      </w:r>
    </w:p>
    <w:p w14:paraId="10F99E0B" w14:textId="77777777" w:rsidR="00065630" w:rsidRDefault="00000000">
      <w:pPr>
        <w:spacing w:line="480" w:lineRule="auto"/>
        <w:jc w:val="both"/>
      </w:pPr>
      <w:r>
        <w:rPr>
          <w:rFonts w:eastAsia="sans-serif" w:cs="Times New Roman"/>
          <w:color w:val="3B3A3B"/>
          <w:spacing w:val="5"/>
          <w:szCs w:val="24"/>
          <w:shd w:val="clear" w:color="auto" w:fill="FFFFFF"/>
        </w:rPr>
        <w:t xml:space="preserve">The information was exported to Power BI and purified using Power Query for data validity and consistency. Several types of </w:t>
      </w:r>
      <w:r>
        <w:rPr>
          <w:rFonts w:eastAsia="SimSun" w:cs="Times New Roman"/>
          <w:szCs w:val="24"/>
        </w:rPr>
        <w:t>visualizations such as</w:t>
      </w:r>
      <w:r>
        <w:rPr>
          <w:rFonts w:eastAsia="sans-serif" w:cs="Times New Roman"/>
          <w:color w:val="3B3A3B"/>
          <w:spacing w:val="5"/>
          <w:szCs w:val="24"/>
          <w:shd w:val="clear" w:color="auto" w:fill="FFFFFF"/>
        </w:rPr>
        <w:t xml:space="preserve"> bar charts, pie charts, map charts, line charts, and donut </w:t>
      </w:r>
      <w:r>
        <w:rPr>
          <w:rFonts w:eastAsia="SimSun" w:cs="Times New Roman"/>
          <w:szCs w:val="24"/>
        </w:rPr>
        <w:t>charts</w:t>
      </w:r>
      <w:r>
        <w:rPr>
          <w:rFonts w:eastAsia="sans-serif" w:cs="Times New Roman"/>
          <w:color w:val="3B3A3B"/>
          <w:spacing w:val="5"/>
          <w:szCs w:val="24"/>
          <w:shd w:val="clear" w:color="auto" w:fill="FFFFFF"/>
        </w:rPr>
        <w:t xml:space="preserve"> were used to graph the happiness trends of nations and regions. Slicers and </w:t>
      </w:r>
      <w:r>
        <w:rPr>
          <w:rFonts w:eastAsia="sans-serif" w:cs="Times New Roman"/>
          <w:color w:val="3B3A3B"/>
          <w:spacing w:val="5"/>
          <w:szCs w:val="24"/>
          <w:shd w:val="clear" w:color="auto" w:fill="FFFFFF"/>
          <w:lang w:val="en-IN"/>
        </w:rPr>
        <w:t>tooltips</w:t>
      </w:r>
      <w:r>
        <w:rPr>
          <w:rFonts w:eastAsia="sans-serif" w:cs="Times New Roman"/>
          <w:color w:val="3B3A3B"/>
          <w:spacing w:val="5"/>
          <w:szCs w:val="24"/>
          <w:shd w:val="clear" w:color="auto" w:fill="FFFFFF"/>
        </w:rPr>
        <w:t xml:space="preserve"> have also been used in the dashboards to allow dynamic filtering and additional analysis of the outcome. Standard color schemes and appropriately captioned graphs were employed to enhance readability, comprehensibility, and effective communication of pertinent results.</w:t>
      </w:r>
      <w:r>
        <w:rPr>
          <w:rFonts w:eastAsia="sans-serif" w:cs="Times New Roman"/>
          <w:color w:val="3B3A3B"/>
          <w:spacing w:val="5"/>
          <w:szCs w:val="24"/>
          <w:shd w:val="clear" w:color="auto" w:fill="FFFFFF"/>
          <w:lang w:val="en-IN"/>
        </w:rPr>
        <w:tab/>
      </w:r>
      <w:r>
        <w:br w:type="page"/>
      </w:r>
    </w:p>
    <w:p w14:paraId="5330CA7C" w14:textId="77777777" w:rsidR="00065630" w:rsidRDefault="00000000">
      <w:pPr>
        <w:pStyle w:val="Heading1"/>
      </w:pPr>
      <w:r>
        <w:lastRenderedPageBreak/>
        <w:t>Analysis Results Table</w:t>
      </w:r>
    </w:p>
    <w:p w14:paraId="11D4E39F" w14:textId="77777777" w:rsidR="00065630" w:rsidRDefault="00000000">
      <w:pPr>
        <w:pStyle w:val="Heading3"/>
      </w:pPr>
      <w:r>
        <w:t>Dashboard 1:Global Happiness Overview</w:t>
      </w:r>
    </w:p>
    <w:tbl>
      <w:tblPr>
        <w:tblW w:w="9594"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3198"/>
        <w:gridCol w:w="3198"/>
        <w:gridCol w:w="3198"/>
      </w:tblGrid>
      <w:tr w:rsidR="00065630" w14:paraId="0B894641" w14:textId="77777777" w:rsidTr="005C474A">
        <w:trPr>
          <w:trHeight w:val="221"/>
        </w:trPr>
        <w:tc>
          <w:tcPr>
            <w:tcW w:w="3198" w:type="dxa"/>
            <w:tcBorders>
              <w:top w:val="single" w:sz="6" w:space="0" w:color="auto"/>
              <w:left w:val="single" w:sz="6" w:space="0" w:color="auto"/>
              <w:bottom w:val="single" w:sz="6" w:space="0" w:color="auto"/>
              <w:right w:val="single" w:sz="6" w:space="0" w:color="auto"/>
            </w:tcBorders>
            <w:shd w:val="clear" w:color="auto" w:fill="auto"/>
          </w:tcPr>
          <w:p w14:paraId="2F2D05CE" w14:textId="77777777" w:rsidR="00065630" w:rsidRDefault="00000000">
            <w:pPr>
              <w:pStyle w:val="NormalWeb"/>
              <w:spacing w:beforeAutospacing="0" w:afterAutospacing="0"/>
              <w:jc w:val="center"/>
              <w:textAlignment w:val="baseline"/>
            </w:pPr>
            <w:r>
              <w:rPr>
                <w:rFonts w:eastAsia="sans-serif"/>
                <w:b/>
                <w:bCs/>
              </w:rPr>
              <w:t>Positive Insights</w:t>
            </w:r>
            <w:r>
              <w:rPr>
                <w:rFonts w:eastAsia="sans-serif"/>
              </w:rPr>
              <w:t> </w:t>
            </w:r>
          </w:p>
          <w:p w14:paraId="6D448EC5" w14:textId="77777777" w:rsidR="00065630" w:rsidRDefault="00000000">
            <w:pPr>
              <w:pStyle w:val="NormalWeb"/>
              <w:spacing w:beforeAutospacing="0" w:afterAutospacing="0"/>
              <w:textAlignment w:val="baseline"/>
            </w:pPr>
            <w:r>
              <w:rPr>
                <w:rFonts w:eastAsia="sans-serif"/>
              </w:rPr>
              <w:t> </w:t>
            </w:r>
          </w:p>
        </w:tc>
        <w:tc>
          <w:tcPr>
            <w:tcW w:w="3198" w:type="dxa"/>
            <w:tcBorders>
              <w:top w:val="single" w:sz="6" w:space="0" w:color="auto"/>
              <w:left w:val="single" w:sz="6" w:space="0" w:color="auto"/>
              <w:bottom w:val="single" w:sz="6" w:space="0" w:color="auto"/>
              <w:right w:val="single" w:sz="6" w:space="0" w:color="auto"/>
            </w:tcBorders>
            <w:shd w:val="clear" w:color="auto" w:fill="auto"/>
          </w:tcPr>
          <w:p w14:paraId="7A25FAB9" w14:textId="77777777" w:rsidR="00065630" w:rsidRDefault="00000000">
            <w:pPr>
              <w:pStyle w:val="NormalWeb"/>
              <w:spacing w:beforeAutospacing="0" w:afterAutospacing="0"/>
              <w:jc w:val="center"/>
              <w:textAlignment w:val="baseline"/>
            </w:pPr>
            <w:r>
              <w:rPr>
                <w:rFonts w:eastAsia="sans-serif"/>
                <w:b/>
                <w:bCs/>
              </w:rPr>
              <w:t>Negative Insight</w:t>
            </w:r>
            <w:r>
              <w:rPr>
                <w:rFonts w:eastAsia="sans-serif"/>
              </w:rPr>
              <w:t> </w:t>
            </w:r>
          </w:p>
          <w:p w14:paraId="1E107F6C" w14:textId="77777777" w:rsidR="00065630" w:rsidRDefault="00000000">
            <w:pPr>
              <w:pStyle w:val="NormalWeb"/>
              <w:spacing w:beforeAutospacing="0" w:afterAutospacing="0"/>
              <w:textAlignment w:val="baseline"/>
            </w:pPr>
            <w:r>
              <w:rPr>
                <w:rFonts w:eastAsia="sans-serif"/>
              </w:rPr>
              <w:t> </w:t>
            </w:r>
          </w:p>
        </w:tc>
        <w:tc>
          <w:tcPr>
            <w:tcW w:w="3198" w:type="dxa"/>
            <w:tcBorders>
              <w:top w:val="single" w:sz="6" w:space="0" w:color="auto"/>
              <w:left w:val="single" w:sz="6" w:space="0" w:color="auto"/>
              <w:bottom w:val="single" w:sz="6" w:space="0" w:color="auto"/>
              <w:right w:val="single" w:sz="6" w:space="0" w:color="auto"/>
            </w:tcBorders>
            <w:shd w:val="clear" w:color="auto" w:fill="auto"/>
          </w:tcPr>
          <w:p w14:paraId="79F52195" w14:textId="77777777" w:rsidR="00065630" w:rsidRDefault="00000000">
            <w:pPr>
              <w:pStyle w:val="NormalWeb"/>
              <w:spacing w:beforeAutospacing="0" w:afterAutospacing="0"/>
              <w:jc w:val="center"/>
              <w:textAlignment w:val="baseline"/>
            </w:pPr>
            <w:r>
              <w:rPr>
                <w:rFonts w:eastAsia="sans-serif"/>
                <w:b/>
                <w:bCs/>
              </w:rPr>
              <w:t>Additional Comments</w:t>
            </w:r>
            <w:r>
              <w:rPr>
                <w:rFonts w:eastAsia="sans-serif"/>
              </w:rPr>
              <w:t> </w:t>
            </w:r>
          </w:p>
          <w:p w14:paraId="4C1638AE" w14:textId="77777777" w:rsidR="00065630" w:rsidRDefault="00000000">
            <w:pPr>
              <w:pStyle w:val="NormalWeb"/>
              <w:spacing w:beforeAutospacing="0" w:afterAutospacing="0"/>
              <w:textAlignment w:val="baseline"/>
            </w:pPr>
            <w:r>
              <w:rPr>
                <w:rFonts w:eastAsia="sans-serif"/>
              </w:rPr>
              <w:t> </w:t>
            </w:r>
          </w:p>
        </w:tc>
      </w:tr>
      <w:tr w:rsidR="00065630" w14:paraId="1C609C8C" w14:textId="77777777" w:rsidTr="005C474A">
        <w:trPr>
          <w:trHeight w:val="221"/>
        </w:trPr>
        <w:tc>
          <w:tcPr>
            <w:tcW w:w="3198" w:type="dxa"/>
            <w:tcBorders>
              <w:top w:val="single" w:sz="6" w:space="0" w:color="auto"/>
              <w:left w:val="single" w:sz="6" w:space="0" w:color="auto"/>
              <w:bottom w:val="single" w:sz="6" w:space="0" w:color="auto"/>
              <w:right w:val="single" w:sz="6" w:space="0" w:color="auto"/>
            </w:tcBorders>
            <w:shd w:val="clear" w:color="auto" w:fill="auto"/>
          </w:tcPr>
          <w:p w14:paraId="2C58D354" w14:textId="77777777" w:rsidR="00065630" w:rsidRDefault="00000000">
            <w:pPr>
              <w:pStyle w:val="NormalWeb"/>
              <w:spacing w:beforeAutospacing="0" w:afterAutospacing="0"/>
              <w:jc w:val="both"/>
              <w:textAlignment w:val="baseline"/>
            </w:pPr>
            <w:r>
              <w:rPr>
                <w:rFonts w:eastAsia="Segoe UI"/>
              </w:rPr>
              <w:t>Europe and the "Other" region contribute the highest ladder scores, indicating stronger well-being across those areas. </w:t>
            </w:r>
          </w:p>
          <w:p w14:paraId="66AFFB54" w14:textId="77777777" w:rsidR="00065630" w:rsidRDefault="00000000">
            <w:pPr>
              <w:pStyle w:val="NormalWeb"/>
              <w:spacing w:beforeAutospacing="0" w:afterAutospacing="0"/>
              <w:jc w:val="both"/>
              <w:textAlignment w:val="baseline"/>
            </w:pPr>
            <w:r>
              <w:rPr>
                <w:rFonts w:eastAsia="Segoe UI"/>
              </w:rPr>
              <w:t> </w:t>
            </w:r>
          </w:p>
        </w:tc>
        <w:tc>
          <w:tcPr>
            <w:tcW w:w="3198" w:type="dxa"/>
            <w:tcBorders>
              <w:top w:val="single" w:sz="6" w:space="0" w:color="auto"/>
              <w:left w:val="single" w:sz="6" w:space="0" w:color="auto"/>
              <w:bottom w:val="single" w:sz="6" w:space="0" w:color="auto"/>
              <w:right w:val="single" w:sz="6" w:space="0" w:color="auto"/>
            </w:tcBorders>
            <w:shd w:val="clear" w:color="auto" w:fill="auto"/>
          </w:tcPr>
          <w:p w14:paraId="0849C01A" w14:textId="77777777" w:rsidR="00065630" w:rsidRDefault="00000000">
            <w:pPr>
              <w:pStyle w:val="NormalWeb"/>
              <w:spacing w:beforeAutospacing="0" w:afterAutospacing="0"/>
              <w:jc w:val="both"/>
              <w:textAlignment w:val="baseline"/>
            </w:pPr>
            <w:r>
              <w:rPr>
                <w:rFonts w:eastAsia="Segoe UI"/>
              </w:rPr>
              <w:t xml:space="preserve">Oceania records the smallest share of </w:t>
            </w:r>
            <w:r>
              <w:rPr>
                <w:rFonts w:eastAsia="Segoe UI"/>
                <w:lang w:val="en-IN"/>
              </w:rPr>
              <w:t>the total</w:t>
            </w:r>
            <w:r>
              <w:rPr>
                <w:rFonts w:eastAsia="Segoe UI"/>
              </w:rPr>
              <w:t xml:space="preserve"> ladder score, possibly reflecting lower life satisfaction or underrepresentation. </w:t>
            </w:r>
          </w:p>
        </w:tc>
        <w:tc>
          <w:tcPr>
            <w:tcW w:w="3198" w:type="dxa"/>
            <w:tcBorders>
              <w:top w:val="single" w:sz="6" w:space="0" w:color="auto"/>
              <w:left w:val="single" w:sz="6" w:space="0" w:color="auto"/>
              <w:bottom w:val="single" w:sz="6" w:space="0" w:color="auto"/>
              <w:right w:val="single" w:sz="6" w:space="0" w:color="auto"/>
            </w:tcBorders>
            <w:shd w:val="clear" w:color="auto" w:fill="auto"/>
          </w:tcPr>
          <w:p w14:paraId="105B5F38" w14:textId="77777777" w:rsidR="00065630" w:rsidRDefault="00000000">
            <w:pPr>
              <w:pStyle w:val="NormalWeb"/>
              <w:spacing w:beforeAutospacing="0" w:afterAutospacing="0"/>
              <w:textAlignment w:val="baseline"/>
            </w:pPr>
            <w:r>
              <w:rPr>
                <w:rFonts w:eastAsia="Segoe UI"/>
              </w:rPr>
              <w:t>Treemap allows for quick</w:t>
            </w:r>
            <w:r>
              <w:rPr>
                <w:rFonts w:eastAsia="Segoe UI"/>
                <w:lang w:val="en-IN"/>
              </w:rPr>
              <w:t xml:space="preserve"> </w:t>
            </w:r>
            <w:r>
              <w:rPr>
                <w:rFonts w:eastAsia="Segoe UI"/>
              </w:rPr>
              <w:t>, comparative regional overview</w:t>
            </w:r>
            <w:r>
              <w:rPr>
                <w:rFonts w:eastAsia="Segoe UI"/>
                <w:lang w:val="en-IN"/>
              </w:rPr>
              <w:t xml:space="preserve"> </w:t>
            </w:r>
            <w:r>
              <w:rPr>
                <w:rFonts w:eastAsia="Segoe UI"/>
              </w:rPr>
              <w:t> </w:t>
            </w:r>
          </w:p>
        </w:tc>
      </w:tr>
      <w:tr w:rsidR="00065630" w14:paraId="226C6424" w14:textId="77777777" w:rsidTr="005C474A">
        <w:trPr>
          <w:trHeight w:val="221"/>
        </w:trPr>
        <w:tc>
          <w:tcPr>
            <w:tcW w:w="3198" w:type="dxa"/>
            <w:tcBorders>
              <w:top w:val="single" w:sz="6" w:space="0" w:color="auto"/>
              <w:left w:val="single" w:sz="6" w:space="0" w:color="auto"/>
              <w:bottom w:val="single" w:sz="6" w:space="0" w:color="auto"/>
              <w:right w:val="single" w:sz="6" w:space="0" w:color="auto"/>
            </w:tcBorders>
            <w:shd w:val="clear" w:color="auto" w:fill="auto"/>
          </w:tcPr>
          <w:p w14:paraId="416258FD" w14:textId="77777777" w:rsidR="00065630" w:rsidRDefault="00000000">
            <w:pPr>
              <w:pStyle w:val="NormalWeb"/>
              <w:spacing w:beforeAutospacing="0" w:afterAutospacing="0"/>
              <w:jc w:val="both"/>
              <w:textAlignment w:val="baseline"/>
            </w:pPr>
            <w:r>
              <w:rPr>
                <w:rFonts w:eastAsia="Segoe UI"/>
              </w:rPr>
              <w:t>North America &amp; South America show consistent ladder score contributions, indicating social and economic stability. </w:t>
            </w:r>
          </w:p>
          <w:p w14:paraId="74FCA93D" w14:textId="77777777" w:rsidR="00065630" w:rsidRDefault="00000000">
            <w:pPr>
              <w:pStyle w:val="NormalWeb"/>
              <w:spacing w:beforeAutospacing="0" w:afterAutospacing="0"/>
              <w:jc w:val="both"/>
              <w:textAlignment w:val="baseline"/>
            </w:pPr>
            <w:r>
              <w:rPr>
                <w:rFonts w:eastAsia="Segoe UI"/>
              </w:rPr>
              <w:t> </w:t>
            </w:r>
          </w:p>
        </w:tc>
        <w:tc>
          <w:tcPr>
            <w:tcW w:w="3198" w:type="dxa"/>
            <w:tcBorders>
              <w:top w:val="single" w:sz="6" w:space="0" w:color="auto"/>
              <w:left w:val="single" w:sz="6" w:space="0" w:color="auto"/>
              <w:bottom w:val="single" w:sz="6" w:space="0" w:color="auto"/>
              <w:right w:val="single" w:sz="6" w:space="0" w:color="auto"/>
            </w:tcBorders>
            <w:shd w:val="clear" w:color="auto" w:fill="auto"/>
          </w:tcPr>
          <w:p w14:paraId="1BF5865E" w14:textId="77777777" w:rsidR="00065630" w:rsidRDefault="00000000">
            <w:pPr>
              <w:pStyle w:val="NormalWeb"/>
              <w:spacing w:beforeAutospacing="0" w:afterAutospacing="0"/>
              <w:textAlignment w:val="baseline"/>
            </w:pPr>
            <w:r>
              <w:rPr>
                <w:rFonts w:ascii="sans-serif" w:eastAsia="sans-serif" w:hAnsi="sans-serif" w:cs="sans-serif"/>
              </w:rPr>
              <w:t> </w:t>
            </w:r>
          </w:p>
        </w:tc>
        <w:tc>
          <w:tcPr>
            <w:tcW w:w="3198" w:type="dxa"/>
            <w:tcBorders>
              <w:top w:val="single" w:sz="6" w:space="0" w:color="auto"/>
              <w:left w:val="single" w:sz="6" w:space="0" w:color="auto"/>
              <w:bottom w:val="single" w:sz="6" w:space="0" w:color="auto"/>
              <w:right w:val="single" w:sz="6" w:space="0" w:color="auto"/>
            </w:tcBorders>
            <w:shd w:val="clear" w:color="auto" w:fill="auto"/>
          </w:tcPr>
          <w:p w14:paraId="35308BB5" w14:textId="77777777" w:rsidR="00065630" w:rsidRDefault="00000000">
            <w:pPr>
              <w:pStyle w:val="NormalWeb"/>
              <w:spacing w:beforeAutospacing="0" w:afterAutospacing="0"/>
              <w:textAlignment w:val="baseline"/>
            </w:pPr>
            <w:r>
              <w:rPr>
                <w:rFonts w:ascii="sans-serif" w:eastAsia="sans-serif" w:hAnsi="sans-serif" w:cs="sans-serif"/>
              </w:rPr>
              <w:t> </w:t>
            </w:r>
          </w:p>
        </w:tc>
      </w:tr>
      <w:tr w:rsidR="00065630" w14:paraId="3E99E044" w14:textId="77777777" w:rsidTr="005C474A">
        <w:trPr>
          <w:trHeight w:val="221"/>
        </w:trPr>
        <w:tc>
          <w:tcPr>
            <w:tcW w:w="3198" w:type="dxa"/>
            <w:tcBorders>
              <w:top w:val="single" w:sz="6" w:space="0" w:color="auto"/>
              <w:left w:val="single" w:sz="6" w:space="0" w:color="auto"/>
              <w:bottom w:val="single" w:sz="6" w:space="0" w:color="auto"/>
              <w:right w:val="single" w:sz="6" w:space="0" w:color="auto"/>
            </w:tcBorders>
            <w:shd w:val="clear" w:color="auto" w:fill="auto"/>
          </w:tcPr>
          <w:p w14:paraId="334A7433" w14:textId="77777777" w:rsidR="00065630" w:rsidRDefault="00000000">
            <w:pPr>
              <w:pStyle w:val="NormalWeb"/>
              <w:spacing w:beforeAutospacing="0" w:afterAutospacing="0"/>
              <w:jc w:val="both"/>
              <w:textAlignment w:val="baseline"/>
            </w:pPr>
            <w:r>
              <w:rPr>
                <w:rFonts w:eastAsia="Segoe UI"/>
              </w:rPr>
              <w:t>Asia and Africa exhibit moderate scores, revealing varied but improving well-being levels across emerging nations. </w:t>
            </w:r>
          </w:p>
          <w:p w14:paraId="4A588811" w14:textId="77777777" w:rsidR="00065630" w:rsidRDefault="00000000">
            <w:pPr>
              <w:pStyle w:val="NormalWeb"/>
              <w:spacing w:beforeAutospacing="0" w:afterAutospacing="0"/>
              <w:jc w:val="both"/>
              <w:textAlignment w:val="baseline"/>
            </w:pPr>
            <w:r>
              <w:rPr>
                <w:rFonts w:eastAsia="Segoe UI"/>
              </w:rPr>
              <w:t> </w:t>
            </w:r>
          </w:p>
        </w:tc>
        <w:tc>
          <w:tcPr>
            <w:tcW w:w="3198" w:type="dxa"/>
            <w:tcBorders>
              <w:top w:val="single" w:sz="6" w:space="0" w:color="auto"/>
              <w:left w:val="single" w:sz="6" w:space="0" w:color="auto"/>
              <w:bottom w:val="single" w:sz="6" w:space="0" w:color="auto"/>
              <w:right w:val="single" w:sz="6" w:space="0" w:color="auto"/>
            </w:tcBorders>
            <w:shd w:val="clear" w:color="auto" w:fill="auto"/>
          </w:tcPr>
          <w:p w14:paraId="4168CF37" w14:textId="77777777" w:rsidR="00065630" w:rsidRDefault="00000000">
            <w:pPr>
              <w:pStyle w:val="NormalWeb"/>
              <w:spacing w:beforeAutospacing="0" w:afterAutospacing="0"/>
              <w:textAlignment w:val="baseline"/>
            </w:pPr>
            <w:r>
              <w:rPr>
                <w:rFonts w:ascii="sans-serif" w:eastAsia="sans-serif" w:hAnsi="sans-serif" w:cs="sans-serif"/>
              </w:rPr>
              <w:t> </w:t>
            </w:r>
          </w:p>
        </w:tc>
        <w:tc>
          <w:tcPr>
            <w:tcW w:w="3198" w:type="dxa"/>
            <w:tcBorders>
              <w:top w:val="single" w:sz="6" w:space="0" w:color="auto"/>
              <w:left w:val="single" w:sz="6" w:space="0" w:color="auto"/>
              <w:bottom w:val="single" w:sz="6" w:space="0" w:color="auto"/>
              <w:right w:val="single" w:sz="6" w:space="0" w:color="auto"/>
            </w:tcBorders>
            <w:shd w:val="clear" w:color="auto" w:fill="auto"/>
          </w:tcPr>
          <w:p w14:paraId="6CE23F0E" w14:textId="77777777" w:rsidR="00065630" w:rsidRDefault="00000000">
            <w:pPr>
              <w:pStyle w:val="NormalWeb"/>
              <w:spacing w:beforeAutospacing="0" w:afterAutospacing="0"/>
              <w:textAlignment w:val="baseline"/>
            </w:pPr>
            <w:r>
              <w:rPr>
                <w:rFonts w:ascii="sans-serif" w:eastAsia="sans-serif" w:hAnsi="sans-serif" w:cs="sans-serif"/>
              </w:rPr>
              <w:t> </w:t>
            </w:r>
          </w:p>
        </w:tc>
      </w:tr>
      <w:tr w:rsidR="00065630" w14:paraId="231EB950" w14:textId="77777777" w:rsidTr="005C474A">
        <w:trPr>
          <w:trHeight w:val="221"/>
        </w:trPr>
        <w:tc>
          <w:tcPr>
            <w:tcW w:w="3198" w:type="dxa"/>
            <w:tcBorders>
              <w:top w:val="single" w:sz="6" w:space="0" w:color="auto"/>
              <w:left w:val="single" w:sz="6" w:space="0" w:color="auto"/>
              <w:bottom w:val="single" w:sz="6" w:space="0" w:color="auto"/>
              <w:right w:val="single" w:sz="6" w:space="0" w:color="auto"/>
            </w:tcBorders>
            <w:shd w:val="clear" w:color="auto" w:fill="auto"/>
          </w:tcPr>
          <w:p w14:paraId="303D6500" w14:textId="77777777" w:rsidR="00065630" w:rsidRDefault="00000000">
            <w:pPr>
              <w:pStyle w:val="NormalWeb"/>
              <w:spacing w:beforeAutospacing="0" w:afterAutospacing="0"/>
              <w:jc w:val="both"/>
              <w:textAlignment w:val="baseline"/>
            </w:pPr>
            <w:r>
              <w:rPr>
                <w:rFonts w:eastAsia="Segoe UI"/>
              </w:rPr>
              <w:t>Map visualization helps geographically contextualize well-being across continents </w:t>
            </w:r>
          </w:p>
        </w:tc>
        <w:tc>
          <w:tcPr>
            <w:tcW w:w="3198" w:type="dxa"/>
            <w:tcBorders>
              <w:top w:val="single" w:sz="6" w:space="0" w:color="auto"/>
              <w:left w:val="single" w:sz="6" w:space="0" w:color="auto"/>
              <w:bottom w:val="single" w:sz="6" w:space="0" w:color="auto"/>
              <w:right w:val="single" w:sz="6" w:space="0" w:color="auto"/>
            </w:tcBorders>
            <w:shd w:val="clear" w:color="auto" w:fill="auto"/>
          </w:tcPr>
          <w:p w14:paraId="3E5871BD" w14:textId="77777777" w:rsidR="00065630" w:rsidRDefault="00000000">
            <w:pPr>
              <w:pStyle w:val="NormalWeb"/>
              <w:spacing w:beforeAutospacing="0" w:afterAutospacing="0"/>
              <w:textAlignment w:val="baseline"/>
            </w:pPr>
            <w:r>
              <w:rPr>
                <w:rFonts w:ascii="sans-serif" w:eastAsia="sans-serif" w:hAnsi="sans-serif" w:cs="sans-serif"/>
              </w:rPr>
              <w:t> </w:t>
            </w:r>
          </w:p>
        </w:tc>
        <w:tc>
          <w:tcPr>
            <w:tcW w:w="3198" w:type="dxa"/>
            <w:tcBorders>
              <w:top w:val="single" w:sz="6" w:space="0" w:color="auto"/>
              <w:left w:val="single" w:sz="6" w:space="0" w:color="auto"/>
              <w:bottom w:val="single" w:sz="6" w:space="0" w:color="auto"/>
              <w:right w:val="single" w:sz="6" w:space="0" w:color="auto"/>
            </w:tcBorders>
            <w:shd w:val="clear" w:color="auto" w:fill="auto"/>
          </w:tcPr>
          <w:p w14:paraId="6210371A" w14:textId="77777777" w:rsidR="00065630" w:rsidRDefault="00000000">
            <w:pPr>
              <w:pStyle w:val="NormalWeb"/>
              <w:spacing w:beforeAutospacing="0" w:afterAutospacing="0"/>
              <w:textAlignment w:val="baseline"/>
            </w:pPr>
            <w:r>
              <w:rPr>
                <w:rFonts w:ascii="sans-serif" w:eastAsia="sans-serif" w:hAnsi="sans-serif" w:cs="sans-serif"/>
              </w:rPr>
              <w:t> </w:t>
            </w:r>
          </w:p>
        </w:tc>
      </w:tr>
    </w:tbl>
    <w:p w14:paraId="6860549C" w14:textId="77777777" w:rsidR="00065630" w:rsidRDefault="00000000">
      <w:pPr>
        <w:pStyle w:val="Heading2"/>
        <w:rPr>
          <w:lang w:val="en-IN"/>
        </w:rPr>
      </w:pPr>
      <w:r>
        <w:rPr>
          <w:lang w:val="en-IN"/>
        </w:rPr>
        <w:t>Dashboard 1</w:t>
      </w:r>
    </w:p>
    <w:p w14:paraId="529AD464" w14:textId="77777777" w:rsidR="00065630" w:rsidRDefault="00000000">
      <w:pPr>
        <w:pStyle w:val="Heading2"/>
      </w:pPr>
      <w:r>
        <w:rPr>
          <w:noProof/>
        </w:rPr>
        <w:drawing>
          <wp:inline distT="0" distB="0" distL="114300" distR="114300" wp14:anchorId="0BCAC3AC" wp14:editId="0F8AA665">
            <wp:extent cx="5441950" cy="2698971"/>
            <wp:effectExtent l="0" t="0" r="6350" b="635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8"/>
                    <a:stretch>
                      <a:fillRect/>
                    </a:stretch>
                  </pic:blipFill>
                  <pic:spPr>
                    <a:xfrm>
                      <a:off x="0" y="0"/>
                      <a:ext cx="5485897" cy="2720767"/>
                    </a:xfrm>
                    <a:prstGeom prst="rect">
                      <a:avLst/>
                    </a:prstGeom>
                    <a:noFill/>
                    <a:ln>
                      <a:noFill/>
                    </a:ln>
                  </pic:spPr>
                </pic:pic>
              </a:graphicData>
            </a:graphic>
          </wp:inline>
        </w:drawing>
      </w:r>
    </w:p>
    <w:p w14:paraId="18D2D380" w14:textId="77777777" w:rsidR="00065630" w:rsidRDefault="00065630"/>
    <w:p w14:paraId="7EE5C83B" w14:textId="77777777" w:rsidR="005C474A" w:rsidRDefault="005C474A"/>
    <w:p w14:paraId="2F697E07" w14:textId="77777777" w:rsidR="005C474A" w:rsidRDefault="005C474A"/>
    <w:p w14:paraId="1D459BDA" w14:textId="77777777" w:rsidR="005C474A" w:rsidRDefault="005C474A"/>
    <w:p w14:paraId="3F517B9E" w14:textId="77777777" w:rsidR="005C474A" w:rsidRDefault="005C474A"/>
    <w:p w14:paraId="6B08A0CD" w14:textId="77777777" w:rsidR="00065630" w:rsidRDefault="00000000">
      <w:pPr>
        <w:pStyle w:val="NormalWeb"/>
        <w:spacing w:before="80" w:beforeAutospacing="0" w:after="40" w:afterAutospacing="0"/>
        <w:textAlignment w:val="baseline"/>
        <w:rPr>
          <w:i/>
          <w:iCs/>
          <w:color w:val="0F4761"/>
        </w:rPr>
      </w:pPr>
      <w:r>
        <w:rPr>
          <w:rFonts w:eastAsia="Segoe UI"/>
          <w:color w:val="0F4761"/>
          <w:shd w:val="clear" w:color="auto" w:fill="FFFFFF"/>
        </w:rPr>
        <w:t>Dashboard 2: </w:t>
      </w:r>
      <w:r>
        <w:rPr>
          <w:rFonts w:eastAsia="sans-serif"/>
          <w:color w:val="0F4761"/>
          <w:shd w:val="clear" w:color="auto" w:fill="FFFFFF"/>
        </w:rPr>
        <w:t>Economic &amp; Social Influence </w:t>
      </w:r>
      <w:r>
        <w:rPr>
          <w:rFonts w:ascii="sans-serif" w:eastAsia="sans-serif" w:hAnsi="sans-serif" w:cs="sans-serif"/>
          <w:i/>
          <w:iCs/>
          <w:color w:val="0F4761"/>
          <w:shd w:val="clear" w:color="auto" w:fill="FFFFFF"/>
        </w:rPr>
        <w:t> </w:t>
      </w:r>
    </w:p>
    <w:tbl>
      <w:tblPr>
        <w:tblW w:w="9156"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3052"/>
        <w:gridCol w:w="3052"/>
        <w:gridCol w:w="3052"/>
      </w:tblGrid>
      <w:tr w:rsidR="00065630" w14:paraId="39744024" w14:textId="77777777" w:rsidTr="005C474A">
        <w:trPr>
          <w:trHeight w:val="250"/>
        </w:trPr>
        <w:tc>
          <w:tcPr>
            <w:tcW w:w="3052" w:type="dxa"/>
            <w:tcBorders>
              <w:top w:val="single" w:sz="6" w:space="0" w:color="auto"/>
              <w:left w:val="single" w:sz="6" w:space="0" w:color="auto"/>
              <w:bottom w:val="single" w:sz="6" w:space="0" w:color="auto"/>
              <w:right w:val="single" w:sz="6" w:space="0" w:color="auto"/>
            </w:tcBorders>
            <w:shd w:val="clear" w:color="auto" w:fill="auto"/>
          </w:tcPr>
          <w:p w14:paraId="450DC75E" w14:textId="77777777" w:rsidR="00065630" w:rsidRDefault="00000000">
            <w:pPr>
              <w:pStyle w:val="NormalWeb"/>
              <w:spacing w:beforeAutospacing="0" w:afterAutospacing="0"/>
              <w:jc w:val="center"/>
              <w:textAlignment w:val="baseline"/>
            </w:pPr>
            <w:r>
              <w:rPr>
                <w:b/>
                <w:bCs/>
              </w:rPr>
              <w:t>Positive Insights</w:t>
            </w:r>
            <w:r>
              <w:t> </w:t>
            </w:r>
          </w:p>
        </w:tc>
        <w:tc>
          <w:tcPr>
            <w:tcW w:w="3052" w:type="dxa"/>
            <w:tcBorders>
              <w:top w:val="single" w:sz="6" w:space="0" w:color="auto"/>
              <w:left w:val="single" w:sz="6" w:space="0" w:color="auto"/>
              <w:bottom w:val="single" w:sz="6" w:space="0" w:color="auto"/>
              <w:right w:val="single" w:sz="6" w:space="0" w:color="auto"/>
            </w:tcBorders>
            <w:shd w:val="clear" w:color="auto" w:fill="auto"/>
          </w:tcPr>
          <w:p w14:paraId="3CA63465" w14:textId="77777777" w:rsidR="00065630" w:rsidRDefault="00000000">
            <w:pPr>
              <w:pStyle w:val="NormalWeb"/>
              <w:spacing w:beforeAutospacing="0" w:afterAutospacing="0"/>
              <w:jc w:val="center"/>
              <w:textAlignment w:val="baseline"/>
            </w:pPr>
            <w:r>
              <w:rPr>
                <w:b/>
                <w:bCs/>
              </w:rPr>
              <w:t>Negative Insight</w:t>
            </w:r>
          </w:p>
        </w:tc>
        <w:tc>
          <w:tcPr>
            <w:tcW w:w="3052" w:type="dxa"/>
            <w:tcBorders>
              <w:top w:val="single" w:sz="6" w:space="0" w:color="auto"/>
              <w:left w:val="single" w:sz="6" w:space="0" w:color="auto"/>
              <w:bottom w:val="single" w:sz="6" w:space="0" w:color="auto"/>
              <w:right w:val="single" w:sz="6" w:space="0" w:color="auto"/>
            </w:tcBorders>
            <w:shd w:val="clear" w:color="auto" w:fill="auto"/>
          </w:tcPr>
          <w:p w14:paraId="4F34D8F6" w14:textId="77777777" w:rsidR="00065630" w:rsidRDefault="00000000">
            <w:pPr>
              <w:pStyle w:val="NormalWeb"/>
              <w:spacing w:beforeAutospacing="0" w:afterAutospacing="0"/>
              <w:ind w:firstLineChars="100" w:firstLine="241"/>
              <w:jc w:val="center"/>
              <w:textAlignment w:val="baseline"/>
            </w:pPr>
            <w:r>
              <w:rPr>
                <w:b/>
                <w:bCs/>
              </w:rPr>
              <w:t>Additional comments</w:t>
            </w:r>
          </w:p>
        </w:tc>
      </w:tr>
      <w:tr w:rsidR="00065630" w14:paraId="19615755" w14:textId="77777777" w:rsidTr="005C474A">
        <w:trPr>
          <w:trHeight w:val="1561"/>
        </w:trPr>
        <w:tc>
          <w:tcPr>
            <w:tcW w:w="3052" w:type="dxa"/>
            <w:tcBorders>
              <w:top w:val="single" w:sz="6" w:space="0" w:color="auto"/>
              <w:left w:val="single" w:sz="6" w:space="0" w:color="auto"/>
              <w:bottom w:val="single" w:sz="6" w:space="0" w:color="auto"/>
              <w:right w:val="single" w:sz="6" w:space="0" w:color="auto"/>
            </w:tcBorders>
            <w:shd w:val="clear" w:color="auto" w:fill="auto"/>
          </w:tcPr>
          <w:p w14:paraId="3BCD78B3" w14:textId="77777777" w:rsidR="00065630" w:rsidRDefault="00000000">
            <w:pPr>
              <w:pStyle w:val="NormalWeb"/>
              <w:spacing w:before="240" w:beforeAutospacing="0" w:after="240" w:afterAutospacing="0"/>
              <w:jc w:val="both"/>
              <w:textAlignment w:val="baseline"/>
            </w:pPr>
            <w:r>
              <w:t>GDP is a consistently influential factor across all regions, highlighting the importance of economic stability. </w:t>
            </w:r>
          </w:p>
        </w:tc>
        <w:tc>
          <w:tcPr>
            <w:tcW w:w="3052" w:type="dxa"/>
            <w:tcBorders>
              <w:top w:val="single" w:sz="6" w:space="0" w:color="auto"/>
              <w:left w:val="single" w:sz="6" w:space="0" w:color="auto"/>
              <w:bottom w:val="single" w:sz="6" w:space="0" w:color="auto"/>
              <w:right w:val="single" w:sz="6" w:space="0" w:color="auto"/>
            </w:tcBorders>
            <w:shd w:val="clear" w:color="auto" w:fill="auto"/>
          </w:tcPr>
          <w:p w14:paraId="549C39C7" w14:textId="77777777" w:rsidR="00065630" w:rsidRDefault="00000000">
            <w:pPr>
              <w:pStyle w:val="NormalWeb"/>
              <w:spacing w:before="240" w:beforeAutospacing="0" w:after="240" w:afterAutospacing="0"/>
              <w:jc w:val="both"/>
              <w:textAlignment w:val="baseline"/>
              <w:rPr>
                <w:lang w:val="en-IN"/>
              </w:rPr>
            </w:pPr>
            <w:r>
              <w:t>Africa and the Middle East exhibit relatively low social support scores, which may impact overall happiness</w:t>
            </w:r>
            <w:r>
              <w:rPr>
                <w:lang w:val="en-IN"/>
              </w:rPr>
              <w:t xml:space="preserve">. </w:t>
            </w:r>
            <w:r>
              <w:t> </w:t>
            </w:r>
            <w:r>
              <w:rPr>
                <w:lang w:val="en-IN"/>
              </w:rPr>
              <w:t xml:space="preserve"> </w:t>
            </w:r>
          </w:p>
          <w:p w14:paraId="08615D77" w14:textId="77777777" w:rsidR="00065630" w:rsidRDefault="00000000">
            <w:pPr>
              <w:pStyle w:val="NormalWeb"/>
              <w:spacing w:beforeAutospacing="0" w:afterAutospacing="0"/>
              <w:jc w:val="both"/>
              <w:textAlignment w:val="baseline"/>
            </w:pPr>
            <w:r>
              <w:t> </w:t>
            </w:r>
          </w:p>
        </w:tc>
        <w:tc>
          <w:tcPr>
            <w:tcW w:w="3052" w:type="dxa"/>
            <w:tcBorders>
              <w:top w:val="single" w:sz="6" w:space="0" w:color="auto"/>
              <w:left w:val="single" w:sz="6" w:space="0" w:color="auto"/>
              <w:bottom w:val="single" w:sz="6" w:space="0" w:color="auto"/>
              <w:right w:val="single" w:sz="6" w:space="0" w:color="auto"/>
            </w:tcBorders>
            <w:shd w:val="clear" w:color="auto" w:fill="auto"/>
          </w:tcPr>
          <w:p w14:paraId="1A4B4D5D" w14:textId="77777777" w:rsidR="00065630" w:rsidRDefault="00000000">
            <w:pPr>
              <w:pStyle w:val="NormalWeb"/>
              <w:spacing w:before="240" w:beforeAutospacing="0" w:after="240" w:afterAutospacing="0"/>
              <w:jc w:val="both"/>
              <w:textAlignment w:val="baseline"/>
            </w:pPr>
            <w:r>
              <w:t>The stacked column format is effective in comparing multiple variables by region. </w:t>
            </w:r>
          </w:p>
          <w:p w14:paraId="55E3A5ED" w14:textId="77777777" w:rsidR="00065630" w:rsidRDefault="00000000">
            <w:pPr>
              <w:pStyle w:val="NormalWeb"/>
              <w:spacing w:beforeAutospacing="0" w:afterAutospacing="0"/>
              <w:jc w:val="both"/>
              <w:textAlignment w:val="baseline"/>
            </w:pPr>
            <w:r>
              <w:t> </w:t>
            </w:r>
          </w:p>
        </w:tc>
      </w:tr>
      <w:tr w:rsidR="00065630" w14:paraId="3BE689F7" w14:textId="77777777" w:rsidTr="005C474A">
        <w:trPr>
          <w:trHeight w:val="1331"/>
        </w:trPr>
        <w:tc>
          <w:tcPr>
            <w:tcW w:w="3052" w:type="dxa"/>
            <w:tcBorders>
              <w:top w:val="single" w:sz="6" w:space="0" w:color="auto"/>
              <w:left w:val="single" w:sz="6" w:space="0" w:color="auto"/>
              <w:bottom w:val="single" w:sz="6" w:space="0" w:color="auto"/>
              <w:right w:val="single" w:sz="6" w:space="0" w:color="auto"/>
            </w:tcBorders>
            <w:shd w:val="clear" w:color="auto" w:fill="auto"/>
          </w:tcPr>
          <w:p w14:paraId="46601060" w14:textId="77777777" w:rsidR="00065630" w:rsidRDefault="00000000">
            <w:pPr>
              <w:pStyle w:val="NormalWeb"/>
              <w:spacing w:before="240" w:beforeAutospacing="0" w:after="240" w:afterAutospacing="0"/>
              <w:jc w:val="both"/>
              <w:textAlignment w:val="baseline"/>
              <w:rPr>
                <w:lang w:val="en-IN"/>
              </w:rPr>
            </w:pPr>
            <w:r>
              <w:t>Social support is most prominent in North America and Oceania, aligning with their higher ladder score</w:t>
            </w:r>
            <w:r>
              <w:rPr>
                <w:lang w:val="en-IN"/>
              </w:rPr>
              <w:t>.</w:t>
            </w:r>
          </w:p>
        </w:tc>
        <w:tc>
          <w:tcPr>
            <w:tcW w:w="3052" w:type="dxa"/>
            <w:tcBorders>
              <w:top w:val="single" w:sz="6" w:space="0" w:color="auto"/>
              <w:left w:val="single" w:sz="6" w:space="0" w:color="auto"/>
              <w:bottom w:val="single" w:sz="6" w:space="0" w:color="auto"/>
              <w:right w:val="single" w:sz="6" w:space="0" w:color="auto"/>
            </w:tcBorders>
            <w:shd w:val="clear" w:color="auto" w:fill="auto"/>
          </w:tcPr>
          <w:p w14:paraId="6E610B10" w14:textId="77777777" w:rsidR="00065630" w:rsidRDefault="00000000">
            <w:pPr>
              <w:pStyle w:val="NormalWeb"/>
              <w:spacing w:beforeAutospacing="0" w:afterAutospacing="0"/>
              <w:textAlignment w:val="baseline"/>
            </w:pPr>
            <w:r>
              <w:rPr>
                <w:rFonts w:ascii="sans-serif" w:eastAsia="sans-serif" w:hAnsi="sans-serif" w:cs="sans-serif"/>
              </w:rPr>
              <w:t> </w:t>
            </w:r>
          </w:p>
        </w:tc>
        <w:tc>
          <w:tcPr>
            <w:tcW w:w="3052" w:type="dxa"/>
            <w:tcBorders>
              <w:top w:val="single" w:sz="6" w:space="0" w:color="auto"/>
              <w:left w:val="single" w:sz="6" w:space="0" w:color="auto"/>
              <w:bottom w:val="single" w:sz="6" w:space="0" w:color="auto"/>
              <w:right w:val="single" w:sz="6" w:space="0" w:color="auto"/>
            </w:tcBorders>
            <w:shd w:val="clear" w:color="auto" w:fill="auto"/>
          </w:tcPr>
          <w:p w14:paraId="1BF25D00" w14:textId="77777777" w:rsidR="00065630" w:rsidRDefault="00000000">
            <w:pPr>
              <w:pStyle w:val="NormalWeb"/>
              <w:spacing w:beforeAutospacing="0" w:afterAutospacing="0"/>
              <w:textAlignment w:val="baseline"/>
            </w:pPr>
            <w:r>
              <w:rPr>
                <w:rFonts w:ascii="sans-serif" w:eastAsia="sans-serif" w:hAnsi="sans-serif" w:cs="sans-serif"/>
              </w:rPr>
              <w:t> </w:t>
            </w:r>
          </w:p>
        </w:tc>
      </w:tr>
      <w:tr w:rsidR="00065630" w14:paraId="28EC72B8" w14:textId="77777777" w:rsidTr="005C474A">
        <w:trPr>
          <w:trHeight w:val="1331"/>
        </w:trPr>
        <w:tc>
          <w:tcPr>
            <w:tcW w:w="3052" w:type="dxa"/>
            <w:tcBorders>
              <w:top w:val="single" w:sz="6" w:space="0" w:color="auto"/>
              <w:left w:val="single" w:sz="6" w:space="0" w:color="auto"/>
              <w:bottom w:val="single" w:sz="6" w:space="0" w:color="auto"/>
              <w:right w:val="single" w:sz="6" w:space="0" w:color="auto"/>
            </w:tcBorders>
            <w:shd w:val="clear" w:color="auto" w:fill="auto"/>
          </w:tcPr>
          <w:p w14:paraId="16478EB7" w14:textId="77777777" w:rsidR="00065630" w:rsidRDefault="00000000">
            <w:pPr>
              <w:pStyle w:val="NormalWeb"/>
              <w:spacing w:before="240" w:beforeAutospacing="0" w:after="240" w:afterAutospacing="0"/>
              <w:jc w:val="both"/>
              <w:textAlignment w:val="baseline"/>
            </w:pPr>
            <w:r>
              <w:t>Healthy life expectancy remains relatively balanced, showing baseline health equity across several regions. </w:t>
            </w:r>
          </w:p>
        </w:tc>
        <w:tc>
          <w:tcPr>
            <w:tcW w:w="3052" w:type="dxa"/>
            <w:tcBorders>
              <w:top w:val="single" w:sz="6" w:space="0" w:color="auto"/>
              <w:left w:val="single" w:sz="6" w:space="0" w:color="auto"/>
              <w:bottom w:val="single" w:sz="6" w:space="0" w:color="auto"/>
              <w:right w:val="single" w:sz="6" w:space="0" w:color="auto"/>
            </w:tcBorders>
            <w:shd w:val="clear" w:color="auto" w:fill="auto"/>
          </w:tcPr>
          <w:p w14:paraId="523ACEFB" w14:textId="77777777" w:rsidR="00065630" w:rsidRDefault="00000000">
            <w:pPr>
              <w:pStyle w:val="NormalWeb"/>
              <w:spacing w:beforeAutospacing="0" w:afterAutospacing="0"/>
              <w:textAlignment w:val="baseline"/>
            </w:pPr>
            <w:r>
              <w:rPr>
                <w:rFonts w:ascii="sans-serif" w:eastAsia="sans-serif" w:hAnsi="sans-serif" w:cs="sans-serif"/>
              </w:rPr>
              <w:t> </w:t>
            </w:r>
          </w:p>
        </w:tc>
        <w:tc>
          <w:tcPr>
            <w:tcW w:w="3052" w:type="dxa"/>
            <w:tcBorders>
              <w:top w:val="single" w:sz="6" w:space="0" w:color="auto"/>
              <w:left w:val="single" w:sz="6" w:space="0" w:color="auto"/>
              <w:bottom w:val="single" w:sz="6" w:space="0" w:color="auto"/>
              <w:right w:val="single" w:sz="6" w:space="0" w:color="auto"/>
            </w:tcBorders>
            <w:shd w:val="clear" w:color="auto" w:fill="auto"/>
          </w:tcPr>
          <w:p w14:paraId="35235E7B" w14:textId="77777777" w:rsidR="00065630" w:rsidRDefault="00000000">
            <w:pPr>
              <w:pStyle w:val="NormalWeb"/>
              <w:spacing w:beforeAutospacing="0" w:afterAutospacing="0"/>
              <w:textAlignment w:val="baseline"/>
            </w:pPr>
            <w:r>
              <w:rPr>
                <w:rFonts w:ascii="sans-serif" w:eastAsia="sans-serif" w:hAnsi="sans-serif" w:cs="sans-serif"/>
              </w:rPr>
              <w:t> </w:t>
            </w:r>
          </w:p>
        </w:tc>
      </w:tr>
      <w:tr w:rsidR="00065630" w14:paraId="40C190C3" w14:textId="77777777" w:rsidTr="005C474A">
        <w:trPr>
          <w:trHeight w:val="1344"/>
        </w:trPr>
        <w:tc>
          <w:tcPr>
            <w:tcW w:w="3052" w:type="dxa"/>
            <w:tcBorders>
              <w:top w:val="single" w:sz="6" w:space="0" w:color="auto"/>
              <w:left w:val="single" w:sz="6" w:space="0" w:color="auto"/>
              <w:bottom w:val="single" w:sz="6" w:space="0" w:color="auto"/>
              <w:right w:val="single" w:sz="6" w:space="0" w:color="auto"/>
            </w:tcBorders>
            <w:shd w:val="clear" w:color="auto" w:fill="auto"/>
          </w:tcPr>
          <w:p w14:paraId="11F9D51D" w14:textId="77777777" w:rsidR="00065630" w:rsidRDefault="00000000">
            <w:pPr>
              <w:pStyle w:val="NormalWeb"/>
              <w:spacing w:before="240" w:beforeAutospacing="0" w:after="240" w:afterAutospacing="0"/>
              <w:jc w:val="both"/>
              <w:textAlignment w:val="baseline"/>
            </w:pPr>
            <w:r>
              <w:t>Visuals provide clear comparisons, with line charts emphasizing disparities between contributing factors</w:t>
            </w:r>
            <w:r>
              <w:rPr>
                <w:lang w:val="en-IN"/>
              </w:rPr>
              <w:t>.</w:t>
            </w:r>
            <w:r>
              <w:t> </w:t>
            </w:r>
          </w:p>
        </w:tc>
        <w:tc>
          <w:tcPr>
            <w:tcW w:w="3052" w:type="dxa"/>
            <w:tcBorders>
              <w:top w:val="single" w:sz="6" w:space="0" w:color="auto"/>
              <w:left w:val="single" w:sz="6" w:space="0" w:color="auto"/>
              <w:bottom w:val="single" w:sz="6" w:space="0" w:color="auto"/>
              <w:right w:val="single" w:sz="6" w:space="0" w:color="auto"/>
            </w:tcBorders>
            <w:shd w:val="clear" w:color="auto" w:fill="auto"/>
          </w:tcPr>
          <w:p w14:paraId="38716BF6" w14:textId="77777777" w:rsidR="00065630" w:rsidRDefault="00000000">
            <w:pPr>
              <w:pStyle w:val="NormalWeb"/>
              <w:spacing w:beforeAutospacing="0" w:afterAutospacing="0"/>
              <w:textAlignment w:val="baseline"/>
            </w:pPr>
            <w:r>
              <w:rPr>
                <w:rFonts w:ascii="sans-serif" w:eastAsia="sans-serif" w:hAnsi="sans-serif" w:cs="sans-serif"/>
              </w:rPr>
              <w:t> </w:t>
            </w:r>
          </w:p>
        </w:tc>
        <w:tc>
          <w:tcPr>
            <w:tcW w:w="3052" w:type="dxa"/>
            <w:tcBorders>
              <w:top w:val="single" w:sz="6" w:space="0" w:color="auto"/>
              <w:left w:val="single" w:sz="6" w:space="0" w:color="auto"/>
              <w:bottom w:val="single" w:sz="6" w:space="0" w:color="auto"/>
              <w:right w:val="single" w:sz="6" w:space="0" w:color="auto"/>
            </w:tcBorders>
            <w:shd w:val="clear" w:color="auto" w:fill="auto"/>
          </w:tcPr>
          <w:p w14:paraId="72479F92" w14:textId="77777777" w:rsidR="00065630" w:rsidRDefault="00000000">
            <w:pPr>
              <w:pStyle w:val="NormalWeb"/>
              <w:spacing w:beforeAutospacing="0" w:afterAutospacing="0"/>
              <w:textAlignment w:val="baseline"/>
            </w:pPr>
            <w:r>
              <w:rPr>
                <w:rFonts w:ascii="sans-serif" w:eastAsia="sans-serif" w:hAnsi="sans-serif" w:cs="sans-serif"/>
              </w:rPr>
              <w:t> </w:t>
            </w:r>
          </w:p>
        </w:tc>
      </w:tr>
    </w:tbl>
    <w:p w14:paraId="5CDB51E5" w14:textId="77777777" w:rsidR="00065630" w:rsidRDefault="00000000">
      <w:pPr>
        <w:pStyle w:val="NormalWeb"/>
        <w:spacing w:beforeAutospacing="0" w:after="160" w:afterAutospacing="0"/>
        <w:textAlignment w:val="baseline"/>
      </w:pPr>
      <w:r>
        <w:rPr>
          <w:rFonts w:eastAsia="Segoe UI"/>
          <w:shd w:val="clear" w:color="auto" w:fill="FFFFFF"/>
        </w:rPr>
        <w:t> </w:t>
      </w:r>
    </w:p>
    <w:p w14:paraId="0CDDF290" w14:textId="77777777" w:rsidR="005C474A" w:rsidRDefault="005C474A">
      <w:pPr>
        <w:pStyle w:val="NormalWeb"/>
        <w:spacing w:beforeAutospacing="0" w:after="160" w:afterAutospacing="0"/>
        <w:textAlignment w:val="baseline"/>
        <w:rPr>
          <w:rFonts w:eastAsia="Segoe UI"/>
          <w:shd w:val="clear" w:color="auto" w:fill="FFFFFF"/>
        </w:rPr>
      </w:pPr>
    </w:p>
    <w:p w14:paraId="11F05A3B" w14:textId="77777777" w:rsidR="005C474A" w:rsidRDefault="005C474A">
      <w:pPr>
        <w:pStyle w:val="NormalWeb"/>
        <w:spacing w:beforeAutospacing="0" w:after="160" w:afterAutospacing="0"/>
        <w:textAlignment w:val="baseline"/>
        <w:rPr>
          <w:rFonts w:eastAsia="Segoe UI"/>
          <w:shd w:val="clear" w:color="auto" w:fill="FFFFFF"/>
        </w:rPr>
      </w:pPr>
    </w:p>
    <w:p w14:paraId="51A4D3F4" w14:textId="77777777" w:rsidR="005C474A" w:rsidRDefault="005C474A">
      <w:pPr>
        <w:pStyle w:val="NormalWeb"/>
        <w:spacing w:beforeAutospacing="0" w:after="160" w:afterAutospacing="0"/>
        <w:textAlignment w:val="baseline"/>
        <w:rPr>
          <w:rFonts w:eastAsia="Segoe UI"/>
          <w:shd w:val="clear" w:color="auto" w:fill="FFFFFF"/>
        </w:rPr>
      </w:pPr>
    </w:p>
    <w:p w14:paraId="0CC541E8" w14:textId="77777777" w:rsidR="005C474A" w:rsidRDefault="005C474A">
      <w:pPr>
        <w:pStyle w:val="NormalWeb"/>
        <w:spacing w:beforeAutospacing="0" w:after="160" w:afterAutospacing="0"/>
        <w:textAlignment w:val="baseline"/>
        <w:rPr>
          <w:rFonts w:eastAsia="Segoe UI"/>
          <w:shd w:val="clear" w:color="auto" w:fill="FFFFFF"/>
        </w:rPr>
      </w:pPr>
    </w:p>
    <w:p w14:paraId="2D53EF22" w14:textId="77777777" w:rsidR="005C474A" w:rsidRDefault="005C474A">
      <w:pPr>
        <w:pStyle w:val="NormalWeb"/>
        <w:spacing w:beforeAutospacing="0" w:after="160" w:afterAutospacing="0"/>
        <w:textAlignment w:val="baseline"/>
        <w:rPr>
          <w:rFonts w:eastAsia="Segoe UI"/>
          <w:shd w:val="clear" w:color="auto" w:fill="FFFFFF"/>
        </w:rPr>
      </w:pPr>
    </w:p>
    <w:p w14:paraId="78A84870" w14:textId="77777777" w:rsidR="005C474A" w:rsidRDefault="005C474A">
      <w:pPr>
        <w:pStyle w:val="NormalWeb"/>
        <w:spacing w:beforeAutospacing="0" w:after="160" w:afterAutospacing="0"/>
        <w:textAlignment w:val="baseline"/>
        <w:rPr>
          <w:rFonts w:eastAsia="Segoe UI"/>
          <w:shd w:val="clear" w:color="auto" w:fill="FFFFFF"/>
        </w:rPr>
      </w:pPr>
    </w:p>
    <w:p w14:paraId="0F9D87BD" w14:textId="77777777" w:rsidR="005C474A" w:rsidRDefault="005C474A">
      <w:pPr>
        <w:pStyle w:val="NormalWeb"/>
        <w:spacing w:beforeAutospacing="0" w:after="160" w:afterAutospacing="0"/>
        <w:textAlignment w:val="baseline"/>
        <w:rPr>
          <w:rFonts w:eastAsia="Segoe UI"/>
          <w:shd w:val="clear" w:color="auto" w:fill="FFFFFF"/>
        </w:rPr>
      </w:pPr>
    </w:p>
    <w:p w14:paraId="56AA8F3C" w14:textId="77777777" w:rsidR="005C474A" w:rsidRDefault="005C474A">
      <w:pPr>
        <w:pStyle w:val="NormalWeb"/>
        <w:spacing w:beforeAutospacing="0" w:after="160" w:afterAutospacing="0"/>
        <w:textAlignment w:val="baseline"/>
        <w:rPr>
          <w:rFonts w:eastAsia="Segoe UI"/>
          <w:shd w:val="clear" w:color="auto" w:fill="FFFFFF"/>
        </w:rPr>
      </w:pPr>
    </w:p>
    <w:p w14:paraId="5767AD4D" w14:textId="77777777" w:rsidR="005C474A" w:rsidRDefault="005C474A">
      <w:pPr>
        <w:pStyle w:val="NormalWeb"/>
        <w:spacing w:beforeAutospacing="0" w:after="160" w:afterAutospacing="0"/>
        <w:textAlignment w:val="baseline"/>
        <w:rPr>
          <w:rFonts w:eastAsia="Segoe UI"/>
          <w:shd w:val="clear" w:color="auto" w:fill="FFFFFF"/>
        </w:rPr>
      </w:pPr>
    </w:p>
    <w:p w14:paraId="51947551" w14:textId="77777777" w:rsidR="005C474A" w:rsidRDefault="005C474A">
      <w:pPr>
        <w:pStyle w:val="NormalWeb"/>
        <w:spacing w:beforeAutospacing="0" w:after="160" w:afterAutospacing="0"/>
        <w:textAlignment w:val="baseline"/>
        <w:rPr>
          <w:rFonts w:eastAsia="Segoe UI"/>
          <w:shd w:val="clear" w:color="auto" w:fill="FFFFFF"/>
        </w:rPr>
      </w:pPr>
    </w:p>
    <w:p w14:paraId="64E19BDA" w14:textId="3F70485A" w:rsidR="00065630" w:rsidRPr="005C474A" w:rsidRDefault="00000000">
      <w:pPr>
        <w:pStyle w:val="NormalWeb"/>
        <w:spacing w:beforeAutospacing="0" w:after="160" w:afterAutospacing="0"/>
        <w:textAlignment w:val="baseline"/>
        <w:rPr>
          <w:b/>
          <w:bCs/>
          <w:color w:val="1F497D" w:themeColor="text2"/>
          <w:lang w:val="en-IN"/>
        </w:rPr>
      </w:pPr>
      <w:r>
        <w:rPr>
          <w:rFonts w:eastAsia="Segoe UI"/>
          <w:shd w:val="clear" w:color="auto" w:fill="FFFFFF"/>
        </w:rPr>
        <w:t> </w:t>
      </w:r>
      <w:r>
        <w:t> </w:t>
      </w:r>
      <w:r w:rsidRPr="005C474A">
        <w:rPr>
          <w:b/>
          <w:bCs/>
          <w:color w:val="0070C0"/>
          <w:lang w:val="en-IN"/>
        </w:rPr>
        <w:t>Dashboard 2</w:t>
      </w:r>
    </w:p>
    <w:p w14:paraId="3E24D5FC" w14:textId="504C0EB2" w:rsidR="00065630" w:rsidRPr="005C474A" w:rsidRDefault="005C474A" w:rsidP="005C474A">
      <w:pPr>
        <w:pStyle w:val="NormalWeb"/>
        <w:spacing w:beforeAutospacing="0" w:after="160" w:afterAutospacing="0"/>
        <w:textAlignment w:val="baseline"/>
        <w:rPr>
          <w:lang w:val="en-IN"/>
        </w:rPr>
      </w:pPr>
      <w:r w:rsidRPr="005C474A">
        <w:rPr>
          <w:lang w:val="en-IN"/>
        </w:rPr>
        <w:drawing>
          <wp:inline distT="0" distB="0" distL="0" distR="0" wp14:anchorId="301FD197" wp14:editId="217E8664">
            <wp:extent cx="5518150" cy="3241324"/>
            <wp:effectExtent l="0" t="0" r="6350" b="0"/>
            <wp:docPr id="116919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95399" name=""/>
                    <pic:cNvPicPr/>
                  </pic:nvPicPr>
                  <pic:blipFill>
                    <a:blip r:embed="rId9"/>
                    <a:stretch>
                      <a:fillRect/>
                    </a:stretch>
                  </pic:blipFill>
                  <pic:spPr>
                    <a:xfrm>
                      <a:off x="0" y="0"/>
                      <a:ext cx="5534447" cy="3250897"/>
                    </a:xfrm>
                    <a:prstGeom prst="rect">
                      <a:avLst/>
                    </a:prstGeom>
                  </pic:spPr>
                </pic:pic>
              </a:graphicData>
            </a:graphic>
          </wp:inline>
        </w:drawing>
      </w:r>
    </w:p>
    <w:p w14:paraId="2631EB95" w14:textId="77777777" w:rsidR="00065630" w:rsidRDefault="00000000">
      <w:pPr>
        <w:pStyle w:val="Heading2"/>
      </w:pPr>
      <w:r>
        <w:t>Dashboard 3: Global Happiness Trends by Region </w:t>
      </w:r>
    </w:p>
    <w:p w14:paraId="1E392AE4" w14:textId="77777777" w:rsidR="005C474A" w:rsidRPr="005C474A" w:rsidRDefault="005C474A" w:rsidP="005C474A"/>
    <w:tbl>
      <w:tblPr>
        <w:tblW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3115"/>
        <w:gridCol w:w="3115"/>
        <w:gridCol w:w="3114"/>
      </w:tblGrid>
      <w:tr w:rsidR="00065630" w14:paraId="32ABA8E8" w14:textId="77777777">
        <w:trPr>
          <w:trHeight w:val="300"/>
        </w:trPr>
        <w:tc>
          <w:tcPr>
            <w:tcW w:w="3120" w:type="dxa"/>
            <w:tcBorders>
              <w:top w:val="single" w:sz="6" w:space="0" w:color="auto"/>
              <w:left w:val="single" w:sz="6" w:space="0" w:color="auto"/>
              <w:bottom w:val="single" w:sz="6" w:space="0" w:color="auto"/>
              <w:right w:val="single" w:sz="6" w:space="0" w:color="auto"/>
            </w:tcBorders>
            <w:shd w:val="clear" w:color="auto" w:fill="auto"/>
          </w:tcPr>
          <w:p w14:paraId="64276E18" w14:textId="77777777" w:rsidR="00065630" w:rsidRDefault="00000000">
            <w:pPr>
              <w:pStyle w:val="NormalWeb"/>
              <w:spacing w:beforeAutospacing="0" w:afterAutospacing="0"/>
              <w:jc w:val="center"/>
              <w:textAlignment w:val="baseline"/>
            </w:pPr>
            <w:r>
              <w:rPr>
                <w:b/>
                <w:bCs/>
              </w:rPr>
              <w:t>Positive Insights</w:t>
            </w:r>
            <w:r>
              <w:t> </w:t>
            </w:r>
          </w:p>
        </w:tc>
        <w:tc>
          <w:tcPr>
            <w:tcW w:w="3120" w:type="dxa"/>
            <w:tcBorders>
              <w:top w:val="single" w:sz="6" w:space="0" w:color="auto"/>
              <w:left w:val="single" w:sz="6" w:space="0" w:color="auto"/>
              <w:bottom w:val="single" w:sz="6" w:space="0" w:color="auto"/>
              <w:right w:val="single" w:sz="6" w:space="0" w:color="auto"/>
            </w:tcBorders>
            <w:shd w:val="clear" w:color="auto" w:fill="auto"/>
          </w:tcPr>
          <w:p w14:paraId="57B78D0C" w14:textId="77777777" w:rsidR="00065630" w:rsidRDefault="00000000">
            <w:pPr>
              <w:pStyle w:val="NormalWeb"/>
              <w:spacing w:beforeAutospacing="0" w:afterAutospacing="0"/>
              <w:textAlignment w:val="baseline"/>
            </w:pPr>
            <w:r>
              <w:rPr>
                <w:b/>
                <w:bCs/>
              </w:rPr>
              <w:t>       Negative Insight</w:t>
            </w:r>
            <w:r>
              <w:t> </w:t>
            </w:r>
          </w:p>
        </w:tc>
        <w:tc>
          <w:tcPr>
            <w:tcW w:w="3120" w:type="dxa"/>
            <w:tcBorders>
              <w:top w:val="single" w:sz="6" w:space="0" w:color="auto"/>
              <w:left w:val="single" w:sz="6" w:space="0" w:color="auto"/>
              <w:bottom w:val="single" w:sz="6" w:space="0" w:color="auto"/>
              <w:right w:val="single" w:sz="6" w:space="0" w:color="auto"/>
            </w:tcBorders>
            <w:shd w:val="clear" w:color="auto" w:fill="auto"/>
          </w:tcPr>
          <w:p w14:paraId="37AAE8A4" w14:textId="77777777" w:rsidR="00065630" w:rsidRDefault="00000000">
            <w:pPr>
              <w:pStyle w:val="NormalWeb"/>
              <w:spacing w:beforeAutospacing="0" w:afterAutospacing="0"/>
              <w:textAlignment w:val="baseline"/>
            </w:pPr>
            <w:r>
              <w:rPr>
                <w:b/>
                <w:bCs/>
              </w:rPr>
              <w:t> Additional Comments</w:t>
            </w:r>
            <w:r>
              <w:t> </w:t>
            </w:r>
          </w:p>
        </w:tc>
      </w:tr>
      <w:tr w:rsidR="00065630" w14:paraId="2C7AB92D" w14:textId="77777777">
        <w:trPr>
          <w:trHeight w:val="300"/>
        </w:trPr>
        <w:tc>
          <w:tcPr>
            <w:tcW w:w="3120" w:type="dxa"/>
            <w:tcBorders>
              <w:top w:val="single" w:sz="6" w:space="0" w:color="auto"/>
              <w:left w:val="single" w:sz="6" w:space="0" w:color="auto"/>
              <w:bottom w:val="single" w:sz="6" w:space="0" w:color="auto"/>
              <w:right w:val="single" w:sz="6" w:space="0" w:color="auto"/>
            </w:tcBorders>
            <w:shd w:val="clear" w:color="auto" w:fill="auto"/>
          </w:tcPr>
          <w:p w14:paraId="7E7B9123" w14:textId="77777777" w:rsidR="00065630" w:rsidRDefault="00000000">
            <w:pPr>
              <w:pStyle w:val="NormalWeb"/>
              <w:spacing w:beforeAutospacing="0" w:afterAutospacing="0"/>
              <w:jc w:val="both"/>
              <w:textAlignment w:val="baseline"/>
            </w:pPr>
            <w:r>
              <w:t>Europe and "Other" regions contribute the highest ladder scores, reflecting strong well-being and social stability. </w:t>
            </w:r>
          </w:p>
        </w:tc>
        <w:tc>
          <w:tcPr>
            <w:tcW w:w="3120" w:type="dxa"/>
            <w:tcBorders>
              <w:top w:val="single" w:sz="6" w:space="0" w:color="auto"/>
              <w:left w:val="single" w:sz="6" w:space="0" w:color="auto"/>
              <w:bottom w:val="single" w:sz="6" w:space="0" w:color="auto"/>
              <w:right w:val="single" w:sz="6" w:space="0" w:color="auto"/>
            </w:tcBorders>
            <w:shd w:val="clear" w:color="auto" w:fill="auto"/>
          </w:tcPr>
          <w:p w14:paraId="657BE925" w14:textId="77777777" w:rsidR="00065630" w:rsidRDefault="00000000">
            <w:pPr>
              <w:pStyle w:val="NormalWeb"/>
              <w:spacing w:beforeAutospacing="0" w:afterAutospacing="0"/>
              <w:jc w:val="both"/>
              <w:textAlignment w:val="baseline"/>
            </w:pPr>
            <w:r>
              <w:t>Oceania, Africa, and the Middle East show lower ladder scores and weaker contributions from key well-being factors like social support and freedom. </w:t>
            </w:r>
          </w:p>
        </w:tc>
        <w:tc>
          <w:tcPr>
            <w:tcW w:w="3120" w:type="dxa"/>
            <w:tcBorders>
              <w:top w:val="single" w:sz="6" w:space="0" w:color="auto"/>
              <w:left w:val="single" w:sz="6" w:space="0" w:color="auto"/>
              <w:bottom w:val="single" w:sz="6" w:space="0" w:color="auto"/>
              <w:right w:val="single" w:sz="6" w:space="0" w:color="auto"/>
            </w:tcBorders>
            <w:shd w:val="clear" w:color="auto" w:fill="auto"/>
          </w:tcPr>
          <w:p w14:paraId="5DAC0CFA" w14:textId="77777777" w:rsidR="00065630" w:rsidRDefault="00000000">
            <w:pPr>
              <w:pStyle w:val="NormalWeb"/>
              <w:spacing w:beforeAutospacing="0" w:afterAutospacing="0"/>
              <w:jc w:val="both"/>
              <w:textAlignment w:val="baseline"/>
            </w:pPr>
            <w:r>
              <w:t>The treemap and map visuals effectively highlight regional disparities. </w:t>
            </w:r>
          </w:p>
        </w:tc>
      </w:tr>
      <w:tr w:rsidR="00065630" w14:paraId="607FC24B" w14:textId="77777777">
        <w:trPr>
          <w:trHeight w:val="300"/>
        </w:trPr>
        <w:tc>
          <w:tcPr>
            <w:tcW w:w="3120" w:type="dxa"/>
            <w:tcBorders>
              <w:top w:val="single" w:sz="6" w:space="0" w:color="auto"/>
              <w:left w:val="single" w:sz="6" w:space="0" w:color="auto"/>
              <w:bottom w:val="single" w:sz="6" w:space="0" w:color="auto"/>
              <w:right w:val="single" w:sz="6" w:space="0" w:color="auto"/>
            </w:tcBorders>
            <w:shd w:val="clear" w:color="auto" w:fill="auto"/>
          </w:tcPr>
          <w:p w14:paraId="7B1EAB77" w14:textId="77777777" w:rsidR="00065630" w:rsidRDefault="00000000">
            <w:pPr>
              <w:pStyle w:val="NormalWeb"/>
              <w:spacing w:beforeAutospacing="0" w:afterAutospacing="0"/>
              <w:jc w:val="both"/>
              <w:textAlignment w:val="baseline"/>
            </w:pPr>
            <w:r>
              <w:t>Social support and healthy life expectancy remain key happiness drivers in North America, Oceania, and Europe. </w:t>
            </w:r>
          </w:p>
        </w:tc>
        <w:tc>
          <w:tcPr>
            <w:tcW w:w="3120" w:type="dxa"/>
            <w:tcBorders>
              <w:top w:val="single" w:sz="6" w:space="0" w:color="auto"/>
              <w:left w:val="single" w:sz="6" w:space="0" w:color="auto"/>
              <w:bottom w:val="single" w:sz="6" w:space="0" w:color="auto"/>
              <w:right w:val="single" w:sz="6" w:space="0" w:color="auto"/>
            </w:tcBorders>
            <w:shd w:val="clear" w:color="auto" w:fill="auto"/>
          </w:tcPr>
          <w:p w14:paraId="62A4F64E" w14:textId="77777777" w:rsidR="00065630" w:rsidRDefault="00000000">
            <w:pPr>
              <w:pStyle w:val="NormalWeb"/>
              <w:spacing w:beforeAutospacing="0" w:afterAutospacing="0"/>
              <w:jc w:val="both"/>
              <w:textAlignment w:val="baseline"/>
            </w:pPr>
            <w:r>
              <w:t> </w:t>
            </w:r>
          </w:p>
        </w:tc>
        <w:tc>
          <w:tcPr>
            <w:tcW w:w="3120" w:type="dxa"/>
            <w:tcBorders>
              <w:top w:val="single" w:sz="6" w:space="0" w:color="auto"/>
              <w:left w:val="single" w:sz="6" w:space="0" w:color="auto"/>
              <w:bottom w:val="single" w:sz="6" w:space="0" w:color="auto"/>
              <w:right w:val="single" w:sz="6" w:space="0" w:color="auto"/>
            </w:tcBorders>
            <w:shd w:val="clear" w:color="auto" w:fill="auto"/>
          </w:tcPr>
          <w:p w14:paraId="6D89F4C3" w14:textId="77777777" w:rsidR="00065630" w:rsidRDefault="00000000">
            <w:pPr>
              <w:pStyle w:val="NormalWeb"/>
              <w:spacing w:beforeAutospacing="0" w:afterAutospacing="0"/>
              <w:jc w:val="both"/>
              <w:textAlignment w:val="baseline"/>
            </w:pPr>
            <w:r>
              <w:t> </w:t>
            </w:r>
          </w:p>
        </w:tc>
      </w:tr>
      <w:tr w:rsidR="00065630" w14:paraId="51D37B5A" w14:textId="77777777">
        <w:trPr>
          <w:trHeight w:val="300"/>
        </w:trPr>
        <w:tc>
          <w:tcPr>
            <w:tcW w:w="3120" w:type="dxa"/>
            <w:tcBorders>
              <w:top w:val="single" w:sz="6" w:space="0" w:color="auto"/>
              <w:left w:val="single" w:sz="6" w:space="0" w:color="auto"/>
              <w:bottom w:val="single" w:sz="6" w:space="0" w:color="auto"/>
              <w:right w:val="single" w:sz="6" w:space="0" w:color="auto"/>
            </w:tcBorders>
            <w:shd w:val="clear" w:color="auto" w:fill="auto"/>
          </w:tcPr>
          <w:p w14:paraId="204D8EFD" w14:textId="77777777" w:rsidR="00065630" w:rsidRDefault="00000000">
            <w:pPr>
              <w:pStyle w:val="NormalWeb"/>
              <w:spacing w:beforeAutospacing="0" w:afterAutospacing="0"/>
              <w:jc w:val="both"/>
              <w:textAlignment w:val="baseline"/>
            </w:pPr>
            <w:r>
              <w:t>Freedom to make life choices shows higher influence in "Other" regions and Europe, enhancing life satisfaction. </w:t>
            </w:r>
          </w:p>
        </w:tc>
        <w:tc>
          <w:tcPr>
            <w:tcW w:w="3120" w:type="dxa"/>
            <w:tcBorders>
              <w:top w:val="single" w:sz="6" w:space="0" w:color="auto"/>
              <w:left w:val="single" w:sz="6" w:space="0" w:color="auto"/>
              <w:bottom w:val="single" w:sz="6" w:space="0" w:color="auto"/>
              <w:right w:val="single" w:sz="6" w:space="0" w:color="auto"/>
            </w:tcBorders>
            <w:shd w:val="clear" w:color="auto" w:fill="auto"/>
          </w:tcPr>
          <w:p w14:paraId="5A734E49" w14:textId="77777777" w:rsidR="00065630" w:rsidRDefault="00000000">
            <w:pPr>
              <w:pStyle w:val="NormalWeb"/>
              <w:spacing w:beforeAutospacing="0" w:afterAutospacing="0"/>
              <w:jc w:val="both"/>
              <w:textAlignment w:val="baseline"/>
            </w:pPr>
            <w:r>
              <w:t> </w:t>
            </w:r>
          </w:p>
        </w:tc>
        <w:tc>
          <w:tcPr>
            <w:tcW w:w="3120" w:type="dxa"/>
            <w:tcBorders>
              <w:top w:val="single" w:sz="6" w:space="0" w:color="auto"/>
              <w:left w:val="single" w:sz="6" w:space="0" w:color="auto"/>
              <w:bottom w:val="single" w:sz="6" w:space="0" w:color="auto"/>
              <w:right w:val="single" w:sz="6" w:space="0" w:color="auto"/>
            </w:tcBorders>
            <w:shd w:val="clear" w:color="auto" w:fill="auto"/>
          </w:tcPr>
          <w:p w14:paraId="148F2036" w14:textId="77777777" w:rsidR="00065630" w:rsidRDefault="00000000">
            <w:pPr>
              <w:pStyle w:val="NormalWeb"/>
              <w:spacing w:beforeAutospacing="0" w:afterAutospacing="0"/>
              <w:jc w:val="both"/>
              <w:textAlignment w:val="baseline"/>
            </w:pPr>
            <w:r>
              <w:t> </w:t>
            </w:r>
          </w:p>
        </w:tc>
      </w:tr>
      <w:tr w:rsidR="00065630" w14:paraId="4B5BF45D" w14:textId="77777777">
        <w:trPr>
          <w:trHeight w:val="300"/>
        </w:trPr>
        <w:tc>
          <w:tcPr>
            <w:tcW w:w="3120" w:type="dxa"/>
            <w:tcBorders>
              <w:top w:val="single" w:sz="6" w:space="0" w:color="auto"/>
              <w:left w:val="single" w:sz="6" w:space="0" w:color="auto"/>
              <w:bottom w:val="single" w:sz="6" w:space="0" w:color="auto"/>
              <w:right w:val="single" w:sz="6" w:space="0" w:color="auto"/>
            </w:tcBorders>
            <w:shd w:val="clear" w:color="auto" w:fill="auto"/>
          </w:tcPr>
          <w:p w14:paraId="39300D54" w14:textId="77777777" w:rsidR="00065630" w:rsidRDefault="00000000">
            <w:pPr>
              <w:pStyle w:val="NormalWeb"/>
              <w:spacing w:beforeAutospacing="0" w:afterAutospacing="0"/>
              <w:jc w:val="both"/>
              <w:textAlignment w:val="baseline"/>
            </w:pPr>
            <w:r>
              <w:t>The line chart clearly displays factor-wise variations across regions, showing consistent patterns among higher-scoring regions. </w:t>
            </w:r>
          </w:p>
        </w:tc>
        <w:tc>
          <w:tcPr>
            <w:tcW w:w="3120" w:type="dxa"/>
            <w:tcBorders>
              <w:top w:val="single" w:sz="6" w:space="0" w:color="auto"/>
              <w:left w:val="single" w:sz="6" w:space="0" w:color="auto"/>
              <w:bottom w:val="single" w:sz="6" w:space="0" w:color="auto"/>
              <w:right w:val="single" w:sz="6" w:space="0" w:color="auto"/>
            </w:tcBorders>
            <w:shd w:val="clear" w:color="auto" w:fill="auto"/>
          </w:tcPr>
          <w:p w14:paraId="037C1CFF" w14:textId="77777777" w:rsidR="00065630" w:rsidRDefault="00000000">
            <w:pPr>
              <w:pStyle w:val="NormalWeb"/>
              <w:spacing w:beforeAutospacing="0" w:afterAutospacing="0"/>
              <w:jc w:val="both"/>
              <w:textAlignment w:val="baseline"/>
            </w:pPr>
            <w:r>
              <w:t> </w:t>
            </w:r>
          </w:p>
        </w:tc>
        <w:tc>
          <w:tcPr>
            <w:tcW w:w="3120" w:type="dxa"/>
            <w:tcBorders>
              <w:top w:val="single" w:sz="6" w:space="0" w:color="auto"/>
              <w:left w:val="single" w:sz="6" w:space="0" w:color="auto"/>
              <w:bottom w:val="single" w:sz="6" w:space="0" w:color="auto"/>
              <w:right w:val="single" w:sz="6" w:space="0" w:color="auto"/>
            </w:tcBorders>
            <w:shd w:val="clear" w:color="auto" w:fill="auto"/>
          </w:tcPr>
          <w:p w14:paraId="4B710F12" w14:textId="77777777" w:rsidR="00065630" w:rsidRDefault="00000000">
            <w:pPr>
              <w:pStyle w:val="NormalWeb"/>
              <w:spacing w:beforeAutospacing="0" w:afterAutospacing="0"/>
              <w:jc w:val="both"/>
              <w:textAlignment w:val="baseline"/>
            </w:pPr>
            <w:r>
              <w:t> </w:t>
            </w:r>
          </w:p>
        </w:tc>
      </w:tr>
    </w:tbl>
    <w:p w14:paraId="21BA70EC" w14:textId="77777777" w:rsidR="00065630" w:rsidRDefault="00065630">
      <w:pPr>
        <w:pStyle w:val="Heading2"/>
      </w:pPr>
    </w:p>
    <w:p w14:paraId="088ADF1C" w14:textId="00B078CE" w:rsidR="00065630" w:rsidRDefault="00000000">
      <w:pPr>
        <w:pStyle w:val="Heading2"/>
        <w:rPr>
          <w:lang w:val="en-IN"/>
        </w:rPr>
      </w:pPr>
      <w:r>
        <w:t> </w:t>
      </w:r>
      <w:r>
        <w:rPr>
          <w:lang w:val="en-IN"/>
        </w:rPr>
        <w:t>Da</w:t>
      </w:r>
      <w:r w:rsidR="005C474A">
        <w:rPr>
          <w:lang w:val="en-IN"/>
        </w:rPr>
        <w:t>s</w:t>
      </w:r>
      <w:r>
        <w:rPr>
          <w:lang w:val="en-IN"/>
        </w:rPr>
        <w:t>hboard 3</w:t>
      </w:r>
    </w:p>
    <w:p w14:paraId="611F7F3E" w14:textId="77777777" w:rsidR="005C474A" w:rsidRPr="005C474A" w:rsidRDefault="005C474A" w:rsidP="005C474A">
      <w:pPr>
        <w:rPr>
          <w:lang w:val="en-IN"/>
        </w:rPr>
      </w:pPr>
    </w:p>
    <w:p w14:paraId="71BD9057" w14:textId="4D9192F2" w:rsidR="005C474A" w:rsidRPr="005C474A" w:rsidRDefault="005C474A" w:rsidP="005C474A">
      <w:pPr>
        <w:rPr>
          <w:lang w:val="en-IN"/>
        </w:rPr>
      </w:pPr>
      <w:r w:rsidRPr="005C474A">
        <w:rPr>
          <w:lang w:val="en-IN"/>
        </w:rPr>
        <w:drawing>
          <wp:inline distT="0" distB="0" distL="0" distR="0" wp14:anchorId="64BF3756" wp14:editId="5CC9DB38">
            <wp:extent cx="5943600" cy="3509010"/>
            <wp:effectExtent l="0" t="0" r="0" b="0"/>
            <wp:docPr id="140070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08426" name=""/>
                    <pic:cNvPicPr/>
                  </pic:nvPicPr>
                  <pic:blipFill>
                    <a:blip r:embed="rId10"/>
                    <a:stretch>
                      <a:fillRect/>
                    </a:stretch>
                  </pic:blipFill>
                  <pic:spPr>
                    <a:xfrm>
                      <a:off x="0" y="0"/>
                      <a:ext cx="5943600" cy="3509010"/>
                    </a:xfrm>
                    <a:prstGeom prst="rect">
                      <a:avLst/>
                    </a:prstGeom>
                  </pic:spPr>
                </pic:pic>
              </a:graphicData>
            </a:graphic>
          </wp:inline>
        </w:drawing>
      </w:r>
    </w:p>
    <w:p w14:paraId="529DF2B0" w14:textId="122F3357" w:rsidR="00065630" w:rsidRDefault="00000000">
      <w:pPr>
        <w:pStyle w:val="Heading1"/>
      </w:pPr>
      <w:r>
        <w:br w:type="page"/>
      </w:r>
      <w:r>
        <w:lastRenderedPageBreak/>
        <w:t>Conclusion</w:t>
      </w:r>
    </w:p>
    <w:p w14:paraId="107428A6" w14:textId="77777777" w:rsidR="00065630" w:rsidRDefault="00000000">
      <w:pPr>
        <w:spacing w:line="480" w:lineRule="auto"/>
        <w:jc w:val="both"/>
        <w:rPr>
          <w:rFonts w:cs="Times New Roman"/>
          <w:szCs w:val="24"/>
        </w:rPr>
      </w:pPr>
      <w:r>
        <w:rPr>
          <w:rFonts w:eastAsia="sans-serif" w:cs="Times New Roman"/>
          <w:color w:val="3B3A3B"/>
          <w:spacing w:val="5"/>
          <w:szCs w:val="24"/>
          <w:shd w:val="clear" w:color="auto" w:fill="FFFFFF"/>
        </w:rPr>
        <w:t xml:space="preserve">Power BI examination of global patterns in well-being identified striking differences between countries and between areas of the state of well-being. Social support, healthy life expectancy, ability to make choices, and GDP drive these scores of well-being. The developed world nations and </w:t>
      </w:r>
      <w:r>
        <w:rPr>
          <w:rFonts w:eastAsia="SimSun" w:cs="Times New Roman"/>
          <w:szCs w:val="24"/>
        </w:rPr>
        <w:t>western</w:t>
      </w:r>
      <w:r>
        <w:rPr>
          <w:rFonts w:eastAsia="sans-serif" w:cs="Times New Roman"/>
          <w:color w:val="3B3A3B"/>
          <w:spacing w:val="5"/>
          <w:szCs w:val="24"/>
          <w:shd w:val="clear" w:color="auto" w:fill="FFFFFF"/>
        </w:rPr>
        <w:t xml:space="preserve"> world nations have high, stable </w:t>
      </w:r>
      <w:r>
        <w:rPr>
          <w:rFonts w:eastAsia="SimSun" w:cs="Times New Roman"/>
          <w:szCs w:val="24"/>
        </w:rPr>
        <w:t>scores</w:t>
      </w:r>
      <w:r>
        <w:rPr>
          <w:rFonts w:eastAsia="sans-serif" w:cs="Times New Roman"/>
          <w:color w:val="3B3A3B"/>
          <w:spacing w:val="5"/>
          <w:szCs w:val="24"/>
          <w:shd w:val="clear" w:color="auto" w:fill="FFFFFF"/>
        </w:rPr>
        <w:t xml:space="preserve"> whereas the scores o</w:t>
      </w:r>
      <w:r>
        <w:rPr>
          <w:rFonts w:eastAsia="SimSun" w:cs="Times New Roman"/>
          <w:szCs w:val="24"/>
        </w:rPr>
        <w:t>f Oc</w:t>
      </w:r>
      <w:r>
        <w:rPr>
          <w:rFonts w:eastAsia="sans-serif" w:cs="Times New Roman"/>
          <w:color w:val="3B3A3B"/>
          <w:spacing w:val="5"/>
          <w:szCs w:val="24"/>
          <w:shd w:val="clear" w:color="auto" w:fill="FFFFFF"/>
        </w:rPr>
        <w:t>eania region, Africa, an</w:t>
      </w:r>
      <w:r>
        <w:rPr>
          <w:rFonts w:eastAsia="SimSun" w:cs="Times New Roman"/>
          <w:szCs w:val="24"/>
        </w:rPr>
        <w:t>d Mi</w:t>
      </w:r>
      <w:r>
        <w:rPr>
          <w:rFonts w:eastAsia="sans-serif" w:cs="Times New Roman"/>
          <w:color w:val="3B3A3B"/>
          <w:spacing w:val="5"/>
          <w:szCs w:val="24"/>
          <w:shd w:val="clear" w:color="auto" w:fill="FFFFFF"/>
        </w:rPr>
        <w:t>ddle East o</w:t>
      </w:r>
      <w:r>
        <w:rPr>
          <w:rFonts w:eastAsia="SimSun" w:cs="Times New Roman"/>
          <w:szCs w:val="24"/>
        </w:rPr>
        <w:t>n de</w:t>
      </w:r>
      <w:r>
        <w:rPr>
          <w:rFonts w:eastAsia="sans-serif" w:cs="Times New Roman"/>
          <w:color w:val="3B3A3B"/>
          <w:spacing w:val="5"/>
          <w:szCs w:val="24"/>
          <w:shd w:val="clear" w:color="auto" w:fill="FFFFFF"/>
        </w:rPr>
        <w:t xml:space="preserve">terminants </w:t>
      </w:r>
      <w:r>
        <w:rPr>
          <w:rFonts w:eastAsia="SimSun" w:cs="Times New Roman"/>
          <w:szCs w:val="24"/>
        </w:rPr>
        <w:t>that satisfy</w:t>
      </w:r>
      <w:r>
        <w:rPr>
          <w:rFonts w:eastAsia="sans-serif" w:cs="Times New Roman"/>
          <w:color w:val="3B3A3B"/>
          <w:spacing w:val="5"/>
          <w:szCs w:val="24"/>
          <w:shd w:val="clear" w:color="auto" w:fill="FFFFFF"/>
        </w:rPr>
        <w:t xml:space="preserve"> are poor and hence </w:t>
      </w:r>
      <w:r>
        <w:rPr>
          <w:rFonts w:eastAsia="SimSun" w:cs="Times New Roman"/>
          <w:szCs w:val="24"/>
        </w:rPr>
        <w:t>low scores.</w:t>
      </w:r>
      <w:r>
        <w:rPr>
          <w:rFonts w:eastAsia="sans-serif" w:cs="Times New Roman"/>
          <w:color w:val="3B3A3B"/>
          <w:spacing w:val="5"/>
          <w:szCs w:val="24"/>
          <w:shd w:val="clear" w:color="auto" w:fill="FFFFFF"/>
        </w:rPr>
        <w:t xml:space="preserve"> Interactive dashboards provided easy and interactive analysis of such trends, which allowe</w:t>
      </w:r>
      <w:r>
        <w:rPr>
          <w:rFonts w:eastAsia="SimSun" w:cs="Times New Roman"/>
          <w:szCs w:val="24"/>
        </w:rPr>
        <w:t>d ev</w:t>
      </w:r>
      <w:r>
        <w:rPr>
          <w:rFonts w:eastAsia="sans-serif" w:cs="Times New Roman"/>
          <w:color w:val="3B3A3B"/>
          <w:spacing w:val="5"/>
          <w:szCs w:val="24"/>
          <w:shd w:val="clear" w:color="auto" w:fill="FFFFFF"/>
        </w:rPr>
        <w:t>idence-based conclusions. The project outlines the social investment role and specific policies to increase happiness, especiall</w:t>
      </w:r>
      <w:r>
        <w:rPr>
          <w:rFonts w:eastAsia="SimSun" w:cs="Times New Roman"/>
          <w:szCs w:val="24"/>
        </w:rPr>
        <w:t>y lo</w:t>
      </w:r>
      <w:r>
        <w:rPr>
          <w:rFonts w:eastAsia="sans-serif" w:cs="Times New Roman"/>
          <w:color w:val="3B3A3B"/>
          <w:spacing w:val="5"/>
          <w:szCs w:val="24"/>
          <w:shd w:val="clear" w:color="auto" w:fill="FFFFFF"/>
        </w:rPr>
        <w:t xml:space="preserve">w-scoring dimensions of happiness. In all, this discussion demonstrates how data visualization can facilitate </w:t>
      </w:r>
      <w:r>
        <w:rPr>
          <w:rFonts w:eastAsia="SimSun" w:cs="Times New Roman"/>
          <w:szCs w:val="24"/>
        </w:rPr>
        <w:t>to view</w:t>
      </w:r>
      <w:r>
        <w:rPr>
          <w:rFonts w:eastAsia="sans-serif" w:cs="Times New Roman"/>
          <w:color w:val="3B3A3B"/>
          <w:spacing w:val="5"/>
          <w:szCs w:val="24"/>
          <w:shd w:val="clear" w:color="auto" w:fill="FFFFFF"/>
        </w:rPr>
        <w:t xml:space="preserve"> and lead to meaningful conclusions.</w:t>
      </w:r>
    </w:p>
    <w:p w14:paraId="5348328F" w14:textId="77777777" w:rsidR="00065630" w:rsidRDefault="00065630"/>
    <w:p w14:paraId="13C87204" w14:textId="77777777" w:rsidR="00065630" w:rsidRDefault="00065630">
      <w:pPr>
        <w:spacing w:line="480" w:lineRule="auto"/>
        <w:rPr>
          <w:rFonts w:cs="Times New Roman"/>
          <w:szCs w:val="24"/>
        </w:rPr>
      </w:pPr>
    </w:p>
    <w:sectPr w:rsidR="000656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33C4" w14:textId="77777777" w:rsidR="00AB04A9" w:rsidRDefault="00AB04A9">
      <w:pPr>
        <w:spacing w:line="240" w:lineRule="auto"/>
      </w:pPr>
      <w:r>
        <w:separator/>
      </w:r>
    </w:p>
  </w:endnote>
  <w:endnote w:type="continuationSeparator" w:id="0">
    <w:p w14:paraId="1E3322EC" w14:textId="77777777" w:rsidR="00AB04A9" w:rsidRDefault="00AB04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CB446" w14:textId="77777777" w:rsidR="00AB04A9" w:rsidRDefault="00AB04A9">
      <w:pPr>
        <w:spacing w:after="0"/>
      </w:pPr>
      <w:r>
        <w:separator/>
      </w:r>
    </w:p>
  </w:footnote>
  <w:footnote w:type="continuationSeparator" w:id="0">
    <w:p w14:paraId="3028A52C" w14:textId="77777777" w:rsidR="00AB04A9" w:rsidRDefault="00AB04A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FF00F6"/>
    <w:multiLevelType w:val="singleLevel"/>
    <w:tmpl w:val="88FF00F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424642050">
    <w:abstractNumId w:val="6"/>
  </w:num>
  <w:num w:numId="2" w16cid:durableId="270941481">
    <w:abstractNumId w:val="4"/>
  </w:num>
  <w:num w:numId="3" w16cid:durableId="1126510449">
    <w:abstractNumId w:val="3"/>
  </w:num>
  <w:num w:numId="4" w16cid:durableId="793258188">
    <w:abstractNumId w:val="5"/>
  </w:num>
  <w:num w:numId="5" w16cid:durableId="583226651">
    <w:abstractNumId w:val="2"/>
  </w:num>
  <w:num w:numId="6" w16cid:durableId="329601161">
    <w:abstractNumId w:val="1"/>
  </w:num>
  <w:num w:numId="7" w16cid:durableId="841048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630"/>
    <w:rsid w:val="0015074B"/>
    <w:rsid w:val="0029639D"/>
    <w:rsid w:val="00326F90"/>
    <w:rsid w:val="005C474A"/>
    <w:rsid w:val="00A7209B"/>
    <w:rsid w:val="00AA1D8D"/>
    <w:rsid w:val="00AB04A9"/>
    <w:rsid w:val="00B47730"/>
    <w:rsid w:val="00CB0664"/>
    <w:rsid w:val="00FC693F"/>
    <w:rsid w:val="0FE43CB1"/>
    <w:rsid w:val="4FF80CD8"/>
    <w:rsid w:val="5329536B"/>
    <w:rsid w:val="5F661D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867CF"/>
  <w14:defaultImageDpi w14:val="300"/>
  <w15:docId w15:val="{DC657928-83FE-406E-AF49-DBEACD92D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cstheme="minorBidi"/>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787</Words>
  <Characters>4489</Characters>
  <Application>Microsoft Office Word</Application>
  <DocSecurity>0</DocSecurity>
  <Lines>37</Lines>
  <Paragraphs>10</Paragraphs>
  <ScaleCrop>false</ScaleCrop>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BHASKARLA BHARGAVI</cp:lastModifiedBy>
  <cp:revision>2</cp:revision>
  <dcterms:created xsi:type="dcterms:W3CDTF">2025-04-24T20:18:00Z</dcterms:created>
  <dcterms:modified xsi:type="dcterms:W3CDTF">2025-04-24T20:18:00Z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59E9630BB6A84C4F9859517BF36BD36F_13</vt:lpwstr>
  </property>
</Properties>
</file>