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36"/>
        </w:rPr>
        <w:t>REINFORCEMENT LEARNING FRAMEWORK FOR INTELLIGENT ENERGY MANAGEMENT IN SMART BUILDINGS</w:t>
      </w:r>
    </w:p>
    <w:p>
      <w:pPr>
        <w:spacing w:after="280"/>
        <w:jc w:val="center"/>
      </w:pPr>
      <w:r>
        <w:rPr>
          <w:i/>
          <w:sz w:val="22"/>
        </w:rPr>
        <w:t>A Mini Project Report Submitted in partial fulfillment of the requirements for the award of the degree of</w:t>
        <w:br/>
      </w:r>
      <w:r>
        <w:rPr>
          <w:b/>
          <w:sz w:val="26"/>
        </w:rPr>
        <w:t>BACHELOR OF TECHNOLOGY</w:t>
        <w:br/>
        <w:t>in</w:t>
        <w:br/>
        <w:t>DEPARTMENT OF COMPUTER SCIENCE AND ENGINEERING</w:t>
      </w:r>
    </w:p>
    <w:p>
      <w:pPr>
        <w:spacing w:before="480" w:after="400"/>
        <w:jc w:val="center"/>
      </w:pPr>
      <w:r>
        <w:rPr>
          <w:sz w:val="24"/>
        </w:rPr>
        <w:t>By</w:t>
        <w:br/>
      </w:r>
      <w:r>
        <w:rPr>
          <w:b/>
        </w:rPr>
        <w:t>P. Dheeraj – 2420030675 (Team Lead)</w:t>
        <w:br/>
      </w:r>
      <w:r>
        <w:t>T. Charan – 2420030653</w:t>
        <w:br/>
        <w:t>Dinesh Kumar – 2420030372</w:t>
        <w:br/>
        <w:br/>
      </w:r>
      <w:r>
        <w:rPr>
          <w:sz w:val="22"/>
        </w:rPr>
        <w:t>Under the Esteemed Guidance of</w:t>
        <w:br/>
        <w:t>Faculty of Applied Machine Learning (Course Code: 24ALT3101)</w:t>
        <w:br/>
        <w:br/>
      </w:r>
    </w:p>
    <w:p>
      <w:pPr>
        <w:spacing w:after="240"/>
        <w:jc w:val="center"/>
      </w:pPr>
    </w:p>
    <w:p>
      <w:r>
        <w:drawing>
          <wp:inline xmlns:a="http://schemas.openxmlformats.org/drawingml/2006/main" xmlns:pic="http://schemas.openxmlformats.org/drawingml/2006/picture">
            <wp:extent cx="2011680" cy="715704"/>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2011680" cy="715704"/>
                    </a:xfrm>
                    <a:prstGeom prst="rect"/>
                  </pic:spPr>
                </pic:pic>
              </a:graphicData>
            </a:graphic>
          </wp:inline>
        </w:drawing>
      </w:r>
    </w:p>
    <w:p>
      <w:pPr>
        <w:spacing w:after="0"/>
        <w:jc w:val="center"/>
      </w:pPr>
      <w:r>
        <w:rPr>
          <w:b/>
          <w:sz w:val="24"/>
        </w:rPr>
        <w:t>K L (Deemed to be) University</w:t>
        <w:br/>
        <w:t>DEPARTMENT OF COMPUTER SCIENCE AND ENGINEERING</w:t>
        <w:br/>
        <w:t>Academic Year: 2025–2026</w:t>
      </w:r>
    </w:p>
    <w:p>
      <w:r>
        <w:br w:type="page"/>
      </w:r>
    </w:p>
    <w:p>
      <w:pPr>
        <w:jc w:val="center"/>
      </w:pPr>
      <w:r>
        <w:rPr>
          <w:b/>
          <w:sz w:val="26"/>
        </w:rPr>
        <w:t>K L (Deemed to be) University</w:t>
        <w:br/>
        <w:t>DEPARTMENT OF COMPUTER SCIENCE AND ENGINEERING</w:t>
        <w:br/>
        <w:br/>
      </w:r>
    </w:p>
    <w:p>
      <w:pPr>
        <w:spacing w:before="360" w:after="280"/>
        <w:jc w:val="center"/>
      </w:pPr>
      <w:r>
        <w:rPr>
          <w:rFonts w:ascii="Times New Roman" w:hAnsi="Times New Roman"/>
          <w:b/>
          <w:sz w:val="32"/>
        </w:rPr>
        <w:t>DECLARATION</w:t>
      </w:r>
    </w:p>
    <w:p>
      <w:pPr>
        <w:spacing w:before="0" w:after="720" w:line="276" w:lineRule="auto"/>
        <w:jc w:val="both"/>
      </w:pPr>
      <w:r>
        <w:rPr>
          <w:rFonts w:ascii="Times New Roman" w:hAnsi="Times New Roman"/>
          <w:i w:val="0"/>
          <w:sz w:val="24"/>
        </w:rPr>
        <w:t>The mini-project report entitled "Reinforcement Learning Framework for Intelligent Energy Management in Smart Buildings" is a record of bona fide work carried out by P. Dheeraj (2420030675), T. Charan (2420030653), and Dinesh Kumar (2420030372) in partial fulfillment of the requirements for the award of the B.Tech degree at K L (Deemed to be) University. The work presented in this report is original to the best of our knowledge, and all datasets, simulation tools, code, and external sources used have been appropriately acknowledged and cited.</w:t>
      </w:r>
    </w:p>
    <w:p>
      <w:pPr>
        <w:spacing w:line="312" w:lineRule="auto"/>
        <w:jc w:val="right"/>
      </w:pPr>
      <w:r>
        <w:t>P. Dheeraj – 2420030675 (Team Lead)</w:t>
        <w:br/>
        <w:t>T. Charan – 2420030653</w:t>
        <w:br/>
        <w:t>Dinesh Kumar – 2420030372</w:t>
        <w:br/>
      </w:r>
    </w:p>
    <w:p>
      <w:r>
        <w:br w:type="page"/>
      </w:r>
    </w:p>
    <w:p>
      <w:pPr>
        <w:jc w:val="center"/>
      </w:pPr>
      <w:r>
        <w:rPr>
          <w:b/>
          <w:sz w:val="26"/>
        </w:rPr>
        <w:t>K L (Deemed to be) University</w:t>
        <w:br/>
        <w:t>DEPARTMENT OF COMPUTER SCIENCE AND ENGINEERING</w:t>
        <w:br/>
        <w:br/>
      </w:r>
    </w:p>
    <w:p>
      <w:pPr>
        <w:spacing w:before="360" w:after="280"/>
        <w:jc w:val="center"/>
      </w:pPr>
      <w:r>
        <w:rPr>
          <w:rFonts w:ascii="Times New Roman" w:hAnsi="Times New Roman"/>
          <w:b/>
          <w:sz w:val="32"/>
        </w:rPr>
        <w:t>CERTIFICATE</w:t>
      </w:r>
    </w:p>
    <w:p>
      <w:pPr>
        <w:spacing w:before="0" w:after="1280" w:line="276" w:lineRule="auto"/>
        <w:jc w:val="both"/>
      </w:pPr>
      <w:r>
        <w:rPr>
          <w:rFonts w:ascii="Times New Roman" w:hAnsi="Times New Roman"/>
          <w:i w:val="0"/>
          <w:sz w:val="24"/>
        </w:rPr>
        <w:t>This is to certify that the mini-project report entitled "Reinforcement Learning Framework for Intelligent Energy Management in Smart Buildings" is a bona fide work carried out by P. Dheeraj (2420030675), T. Charan (2420030653), and Dinesh Kumar (2420030372) under the supervision of the Course Faculty Guide during the academic year 2025–2026, in partial fulfillment of the requirements for the award of the Bachelor of Technology degree at K L (Deemed to be) University.</w:t>
      </w:r>
    </w:p>
    <w:tbl>
      <w:tblPr>
        <w:tblW w:type="auto" w:w="0"/>
        <w:jc w:val="center"/>
        <w:tblLook w:firstColumn="1" w:firstRow="1" w:lastColumn="0" w:lastRow="0" w:noHBand="0" w:noVBand="1" w:val="04A0"/>
      </w:tblPr>
      <w:tblGrid>
        <w:gridCol w:w="3000"/>
        <w:gridCol w:w="3000"/>
        <w:gridCol w:w="3000"/>
      </w:tblGrid>
      <w:tr>
        <w:tc>
          <w:tcPr>
            <w:tcW w:type="dxa" w:w="3024"/>
            <w:tcBorders>
              <w:top w:val="none"/>
              <w:left w:val="none"/>
              <w:bottom w:val="none"/>
              <w:right w:val="none"/>
            </w:tcBorders>
          </w:tcPr>
          <w:p>
            <w:pPr>
              <w:jc w:val="center"/>
            </w:pPr>
            <w:r>
              <w:rPr>
                <w:b/>
                <w:sz w:val="20"/>
              </w:rPr>
              <w:t>Signature of the</w:t>
              <w:br/>
              <w:t>Project Supervisor</w:t>
            </w:r>
          </w:p>
        </w:tc>
        <w:tc>
          <w:tcPr>
            <w:tcW w:type="dxa" w:w="3024"/>
            <w:tcBorders>
              <w:top w:val="none"/>
              <w:left w:val="none"/>
              <w:bottom w:val="none"/>
              <w:right w:val="none"/>
            </w:tcBorders>
          </w:tcPr>
          <w:p>
            <w:pPr>
              <w:jc w:val="center"/>
            </w:pPr>
            <w:r>
              <w:rPr>
                <w:b/>
                <w:sz w:val="20"/>
              </w:rPr>
              <w:t>Signature of the</w:t>
              <w:br/>
              <w:t>HOD (CSE)</w:t>
            </w:r>
          </w:p>
        </w:tc>
        <w:tc>
          <w:tcPr>
            <w:tcW w:type="dxa" w:w="3024"/>
            <w:tcBorders>
              <w:top w:val="none"/>
              <w:left w:val="none"/>
              <w:bottom w:val="none"/>
              <w:right w:val="none"/>
            </w:tcBorders>
          </w:tcPr>
          <w:p>
            <w:pPr>
              <w:jc w:val="center"/>
            </w:pPr>
            <w:r>
              <w:rPr>
                <w:b/>
                <w:sz w:val="20"/>
              </w:rPr>
              <w:t>Signature of the</w:t>
              <w:br/>
              <w:t>External Examiner</w:t>
            </w:r>
          </w:p>
        </w:tc>
      </w:tr>
    </w:tbl>
    <w:p>
      <w:r>
        <w:br w:type="page"/>
      </w:r>
    </w:p>
    <w:p>
      <w:pPr>
        <w:spacing w:before="360" w:after="280"/>
        <w:jc w:val="center"/>
      </w:pPr>
      <w:r>
        <w:rPr>
          <w:rFonts w:ascii="Times New Roman" w:hAnsi="Times New Roman"/>
          <w:b/>
          <w:sz w:val="32"/>
        </w:rPr>
        <w:t>ACKNOWLEDGEMENT</w:t>
      </w:r>
    </w:p>
    <w:p>
      <w:pPr>
        <w:spacing w:before="0" w:after="120" w:line="276" w:lineRule="auto"/>
        <w:jc w:val="both"/>
      </w:pPr>
      <w:r>
        <w:rPr>
          <w:rFonts w:ascii="Times New Roman" w:hAnsi="Times New Roman"/>
          <w:i w:val="0"/>
          <w:sz w:val="24"/>
        </w:rPr>
        <w:t>The success of this project would not have been possible without the timely help, encouragement, and guidance rendered by many people. We wish to express our sincere thanks to all those who assisted us in one way or another for the completion of our project.</w:t>
      </w:r>
    </w:p>
    <w:p>
      <w:pPr>
        <w:spacing w:before="0" w:after="120" w:line="276" w:lineRule="auto"/>
        <w:jc w:val="both"/>
      </w:pPr>
      <w:r>
        <w:rPr>
          <w:rFonts w:ascii="Times New Roman" w:hAnsi="Times New Roman"/>
          <w:i w:val="0"/>
          <w:sz w:val="24"/>
        </w:rPr>
        <w:t>Our greatest appreciation goes to our esteemed project guide, Faculty of Applied Machine Learning (Course Code: 24ALT3101), Department of Computer Science and Engineering, which cannot be expressed in words for his/her tremendous support, encouragement, technical insights, and continuous guidance throughout this project.</w:t>
      </w:r>
    </w:p>
    <w:p>
      <w:pPr>
        <w:spacing w:before="0" w:after="120" w:line="276" w:lineRule="auto"/>
        <w:jc w:val="both"/>
      </w:pPr>
      <w:r>
        <w:rPr>
          <w:rFonts w:ascii="Times New Roman" w:hAnsi="Times New Roman"/>
          <w:i w:val="0"/>
          <w:sz w:val="24"/>
        </w:rPr>
        <w:t>We express our heartfelt gratitude to Dr. P. Venkateshwar Sir, Head of the Department of Computer Science and Engineering, for providing us with adequate laboratory facilities, computing infrastructure, ways, and means by which we were able to complete this project-based learning curriculum successfully.</w:t>
      </w:r>
    </w:p>
    <w:p>
      <w:pPr>
        <w:spacing w:before="0" w:after="720" w:line="276" w:lineRule="auto"/>
        <w:jc w:val="both"/>
      </w:pPr>
      <w:r>
        <w:rPr>
          <w:rFonts w:ascii="Times New Roman" w:hAnsi="Times New Roman"/>
          <w:i w:val="0"/>
          <w:sz w:val="24"/>
        </w:rPr>
        <w:t>We also thank all the members of teaching and non-teaching staff who have assisted us directly or indirectly for the successful completion of this project. Finally, we sincerely thank our parents, friends, and classmates for their kind cooperation, feedback, and constant support throughout our work.</w:t>
      </w:r>
    </w:p>
    <w:p>
      <w:pPr>
        <w:spacing w:line="312" w:lineRule="auto"/>
        <w:jc w:val="right"/>
      </w:pPr>
      <w:r>
        <w:t>P. Dheeraj – 2420030675</w:t>
        <w:br/>
        <w:t>T. Charan – 2420030653</w:t>
        <w:br/>
        <w:t>Dinesh Kumar – 2420030372</w:t>
        <w:br/>
      </w:r>
    </w:p>
    <w:p>
      <w:r>
        <w:br w:type="page"/>
      </w:r>
    </w:p>
    <w:p>
      <w:pPr>
        <w:spacing w:before="360" w:after="2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000"/>
        <w:gridCol w:w="3000"/>
        <w:gridCol w:w="3000"/>
      </w:tblGrid>
      <w:tr>
        <w:tc>
          <w:tcPr>
            <w:tcW w:type="dxa" w:w="3000"/>
            <w:tcBorders>
              <w:top w:val="single" w:sz="4" w:space="0" w:color="CCCCCC"/>
              <w:bottom w:val="single" w:sz="4" w:space="0" w:color="CCCCCC"/>
              <w:left w:val="none"/>
              <w:right w:val="none"/>
            </w:tcBorders>
          </w:tcPr>
          <w:p>
            <w:pPr>
              <w:jc w:val="center"/>
            </w:pPr>
            <w:r>
              <w:rPr>
                <w:b/>
                <w:sz w:val="22"/>
              </w:rPr>
              <w:t>S.No.</w:t>
            </w:r>
          </w:p>
        </w:tc>
        <w:tc>
          <w:tcPr>
            <w:tcW w:type="dxa" w:w="3000"/>
            <w:tcBorders>
              <w:top w:val="single" w:sz="4" w:space="0" w:color="CCCCCC"/>
              <w:bottom w:val="single" w:sz="4" w:space="0" w:color="CCCCCC"/>
              <w:left w:val="none"/>
              <w:right w:val="none"/>
            </w:tcBorders>
          </w:tcPr>
          <w:p>
            <w:pPr>
              <w:jc w:val="left"/>
            </w:pPr>
            <w:r>
              <w:rPr>
                <w:b/>
                <w:sz w:val="22"/>
              </w:rPr>
              <w:t>Contents</w:t>
            </w:r>
          </w:p>
        </w:tc>
        <w:tc>
          <w:tcPr>
            <w:tcW w:type="dxa" w:w="3000"/>
            <w:tcBorders>
              <w:top w:val="single" w:sz="4" w:space="0" w:color="CCCCCC"/>
              <w:bottom w:val="single" w:sz="4" w:space="0" w:color="CCCCCC"/>
              <w:left w:val="none"/>
              <w:right w:val="none"/>
            </w:tcBorders>
          </w:tcPr>
          <w:p>
            <w:pPr>
              <w:jc w:val="center"/>
            </w:pPr>
            <w:r>
              <w:rPr>
                <w:b/>
                <w:sz w:val="22"/>
              </w:rPr>
              <w:t>Page no.</w:t>
            </w:r>
          </w:p>
        </w:tc>
      </w:tr>
      <w:tr>
        <w:tc>
          <w:tcPr>
            <w:tcW w:type="dxa" w:w="3000"/>
            <w:tcBorders>
              <w:top w:val="single" w:sz="4" w:space="0" w:color="CCCCCC"/>
              <w:bottom w:val="single" w:sz="4" w:space="0" w:color="CCCCCC"/>
              <w:left w:val="none"/>
              <w:right w:val="none"/>
            </w:tcBorders>
          </w:tcPr>
          <w:p>
            <w:pPr>
              <w:jc w:val="center"/>
            </w:pPr>
            <w:r>
              <w:rPr>
                <w:sz w:val="22"/>
              </w:rPr>
              <w:t>1.</w:t>
            </w:r>
          </w:p>
        </w:tc>
        <w:tc>
          <w:tcPr>
            <w:tcW w:type="dxa" w:w="3000"/>
            <w:tcBorders>
              <w:top w:val="single" w:sz="4" w:space="0" w:color="CCCCCC"/>
              <w:bottom w:val="single" w:sz="4" w:space="0" w:color="CCCCCC"/>
              <w:left w:val="none"/>
              <w:right w:val="none"/>
            </w:tcBorders>
          </w:tcPr>
          <w:p>
            <w:pPr>
              <w:jc w:val="left"/>
            </w:pPr>
            <w:r>
              <w:rPr>
                <w:sz w:val="22"/>
              </w:rPr>
              <w:t>Abstract</w:t>
            </w:r>
          </w:p>
        </w:tc>
        <w:tc>
          <w:tcPr>
            <w:tcW w:type="dxa" w:w="3000"/>
            <w:tcBorders>
              <w:top w:val="single" w:sz="4" w:space="0" w:color="CCCCCC"/>
              <w:bottom w:val="single" w:sz="4" w:space="0" w:color="CCCCCC"/>
              <w:left w:val="none"/>
              <w:right w:val="none"/>
            </w:tcBorders>
          </w:tcPr>
          <w:p>
            <w:pPr>
              <w:jc w:val="center"/>
            </w:pPr>
            <w:r>
              <w:rPr>
                <w:sz w:val="22"/>
              </w:rPr>
              <w:t>6</w:t>
            </w:r>
          </w:p>
        </w:tc>
      </w:tr>
      <w:tr>
        <w:tc>
          <w:tcPr>
            <w:tcW w:type="dxa" w:w="3000"/>
            <w:tcBorders>
              <w:top w:val="single" w:sz="4" w:space="0" w:color="CCCCCC"/>
              <w:bottom w:val="single" w:sz="4" w:space="0" w:color="CCCCCC"/>
              <w:left w:val="none"/>
              <w:right w:val="none"/>
            </w:tcBorders>
          </w:tcPr>
          <w:p>
            <w:pPr>
              <w:jc w:val="center"/>
            </w:pPr>
            <w:r>
              <w:rPr>
                <w:sz w:val="22"/>
              </w:rPr>
              <w:t>2.</w:t>
            </w:r>
          </w:p>
        </w:tc>
        <w:tc>
          <w:tcPr>
            <w:tcW w:type="dxa" w:w="3000"/>
            <w:tcBorders>
              <w:top w:val="single" w:sz="4" w:space="0" w:color="CCCCCC"/>
              <w:bottom w:val="single" w:sz="4" w:space="0" w:color="CCCCCC"/>
              <w:left w:val="none"/>
              <w:right w:val="none"/>
            </w:tcBorders>
          </w:tcPr>
          <w:p>
            <w:pPr>
              <w:jc w:val="left"/>
            </w:pPr>
            <w:r>
              <w:rPr>
                <w:sz w:val="22"/>
              </w:rPr>
              <w:t>Introduction</w:t>
            </w:r>
          </w:p>
        </w:tc>
        <w:tc>
          <w:tcPr>
            <w:tcW w:type="dxa" w:w="3000"/>
            <w:tcBorders>
              <w:top w:val="single" w:sz="4" w:space="0" w:color="CCCCCC"/>
              <w:bottom w:val="single" w:sz="4" w:space="0" w:color="CCCCCC"/>
              <w:left w:val="none"/>
              <w:right w:val="none"/>
            </w:tcBorders>
          </w:tcPr>
          <w:p>
            <w:pPr>
              <w:jc w:val="center"/>
            </w:pPr>
            <w:r>
              <w:rPr>
                <w:sz w:val="22"/>
              </w:rPr>
              <w:t>7</w:t>
            </w:r>
          </w:p>
        </w:tc>
      </w:tr>
      <w:tr>
        <w:tc>
          <w:tcPr>
            <w:tcW w:type="dxa" w:w="3000"/>
            <w:tcBorders>
              <w:top w:val="single" w:sz="4" w:space="0" w:color="CCCCCC"/>
              <w:bottom w:val="single" w:sz="4" w:space="0" w:color="CCCCCC"/>
              <w:left w:val="none"/>
              <w:right w:val="none"/>
            </w:tcBorders>
          </w:tcPr>
          <w:p>
            <w:pPr>
              <w:jc w:val="center"/>
            </w:pPr>
            <w:r>
              <w:rPr>
                <w:sz w:val="22"/>
              </w:rPr>
              <w:t>3.</w:t>
            </w:r>
          </w:p>
        </w:tc>
        <w:tc>
          <w:tcPr>
            <w:tcW w:type="dxa" w:w="3000"/>
            <w:tcBorders>
              <w:top w:val="single" w:sz="4" w:space="0" w:color="CCCCCC"/>
              <w:bottom w:val="single" w:sz="4" w:space="0" w:color="CCCCCC"/>
              <w:left w:val="none"/>
              <w:right w:val="none"/>
            </w:tcBorders>
          </w:tcPr>
          <w:p>
            <w:pPr>
              <w:jc w:val="left"/>
            </w:pPr>
            <w:r>
              <w:rPr>
                <w:sz w:val="22"/>
              </w:rPr>
              <w:t>Literature Survey</w:t>
            </w:r>
          </w:p>
        </w:tc>
        <w:tc>
          <w:tcPr>
            <w:tcW w:type="dxa" w:w="3000"/>
            <w:tcBorders>
              <w:top w:val="single" w:sz="4" w:space="0" w:color="CCCCCC"/>
              <w:bottom w:val="single" w:sz="4" w:space="0" w:color="CCCCCC"/>
              <w:left w:val="none"/>
              <w:right w:val="none"/>
            </w:tcBorders>
          </w:tcPr>
          <w:p>
            <w:pPr>
              <w:jc w:val="center"/>
            </w:pPr>
            <w:r>
              <w:rPr>
                <w:sz w:val="22"/>
              </w:rPr>
              <w:t>8</w:t>
            </w:r>
          </w:p>
        </w:tc>
      </w:tr>
      <w:tr>
        <w:tc>
          <w:tcPr>
            <w:tcW w:type="dxa" w:w="3000"/>
            <w:tcBorders>
              <w:top w:val="single" w:sz="4" w:space="0" w:color="CCCCCC"/>
              <w:bottom w:val="single" w:sz="4" w:space="0" w:color="CCCCCC"/>
              <w:left w:val="none"/>
              <w:right w:val="none"/>
            </w:tcBorders>
          </w:tcPr>
          <w:p>
            <w:pPr>
              <w:jc w:val="center"/>
            </w:pPr>
            <w:r>
              <w:rPr>
                <w:sz w:val="22"/>
              </w:rPr>
              <w:t>4.</w:t>
            </w:r>
          </w:p>
        </w:tc>
        <w:tc>
          <w:tcPr>
            <w:tcW w:type="dxa" w:w="3000"/>
            <w:tcBorders>
              <w:top w:val="single" w:sz="4" w:space="0" w:color="CCCCCC"/>
              <w:bottom w:val="single" w:sz="4" w:space="0" w:color="CCCCCC"/>
              <w:left w:val="none"/>
              <w:right w:val="none"/>
            </w:tcBorders>
          </w:tcPr>
          <w:p>
            <w:pPr>
              <w:jc w:val="left"/>
            </w:pPr>
            <w:r>
              <w:rPr>
                <w:sz w:val="22"/>
              </w:rPr>
              <w:t>Problem Statement and Objectives</w:t>
            </w:r>
          </w:p>
        </w:tc>
        <w:tc>
          <w:tcPr>
            <w:tcW w:type="dxa" w:w="3000"/>
            <w:tcBorders>
              <w:top w:val="single" w:sz="4" w:space="0" w:color="CCCCCC"/>
              <w:bottom w:val="single" w:sz="4" w:space="0" w:color="CCCCCC"/>
              <w:left w:val="none"/>
              <w:right w:val="none"/>
            </w:tcBorders>
          </w:tcPr>
          <w:p>
            <w:pPr>
              <w:jc w:val="center"/>
            </w:pPr>
            <w:r>
              <w:rPr>
                <w:sz w:val="22"/>
              </w:rPr>
              <w:t>9</w:t>
            </w:r>
          </w:p>
        </w:tc>
      </w:tr>
      <w:tr>
        <w:tc>
          <w:tcPr>
            <w:tcW w:type="dxa" w:w="3000"/>
            <w:tcBorders>
              <w:top w:val="single" w:sz="4" w:space="0" w:color="CCCCCC"/>
              <w:bottom w:val="single" w:sz="4" w:space="0" w:color="CCCCCC"/>
              <w:left w:val="none"/>
              <w:right w:val="none"/>
            </w:tcBorders>
          </w:tcPr>
          <w:p>
            <w:pPr>
              <w:jc w:val="center"/>
            </w:pPr>
            <w:r>
              <w:rPr>
                <w:sz w:val="22"/>
              </w:rPr>
              <w:t>5.</w:t>
            </w:r>
          </w:p>
        </w:tc>
        <w:tc>
          <w:tcPr>
            <w:tcW w:type="dxa" w:w="3000"/>
            <w:tcBorders>
              <w:top w:val="single" w:sz="4" w:space="0" w:color="CCCCCC"/>
              <w:bottom w:val="single" w:sz="4" w:space="0" w:color="CCCCCC"/>
              <w:left w:val="none"/>
              <w:right w:val="none"/>
            </w:tcBorders>
          </w:tcPr>
          <w:p>
            <w:pPr>
              <w:jc w:val="left"/>
            </w:pPr>
            <w:r>
              <w:rPr>
                <w:sz w:val="22"/>
              </w:rPr>
              <w:t>Hardware and Software Requirements</w:t>
            </w:r>
          </w:p>
        </w:tc>
        <w:tc>
          <w:tcPr>
            <w:tcW w:type="dxa" w:w="3000"/>
            <w:tcBorders>
              <w:top w:val="single" w:sz="4" w:space="0" w:color="CCCCCC"/>
              <w:bottom w:val="single" w:sz="4" w:space="0" w:color="CCCCCC"/>
              <w:left w:val="none"/>
              <w:right w:val="none"/>
            </w:tcBorders>
          </w:tcPr>
          <w:p>
            <w:pPr>
              <w:jc w:val="center"/>
            </w:pPr>
            <w:r>
              <w:rPr>
                <w:sz w:val="22"/>
              </w:rPr>
              <w:t>10</w:t>
            </w:r>
          </w:p>
        </w:tc>
      </w:tr>
      <w:tr>
        <w:tc>
          <w:tcPr>
            <w:tcW w:type="dxa" w:w="3000"/>
            <w:tcBorders>
              <w:top w:val="single" w:sz="4" w:space="0" w:color="CCCCCC"/>
              <w:bottom w:val="single" w:sz="4" w:space="0" w:color="CCCCCC"/>
              <w:left w:val="none"/>
              <w:right w:val="none"/>
            </w:tcBorders>
          </w:tcPr>
          <w:p>
            <w:pPr>
              <w:jc w:val="center"/>
            </w:pPr>
            <w:r>
              <w:rPr>
                <w:sz w:val="22"/>
              </w:rPr>
              <w:t>6.</w:t>
            </w:r>
          </w:p>
        </w:tc>
        <w:tc>
          <w:tcPr>
            <w:tcW w:type="dxa" w:w="3000"/>
            <w:tcBorders>
              <w:top w:val="single" w:sz="4" w:space="0" w:color="CCCCCC"/>
              <w:bottom w:val="single" w:sz="4" w:space="0" w:color="CCCCCC"/>
              <w:left w:val="none"/>
              <w:right w:val="none"/>
            </w:tcBorders>
          </w:tcPr>
          <w:p>
            <w:pPr>
              <w:jc w:val="left"/>
            </w:pPr>
            <w:r>
              <w:rPr>
                <w:sz w:val="22"/>
              </w:rPr>
              <w:t>Implementation</w:t>
            </w:r>
          </w:p>
        </w:tc>
        <w:tc>
          <w:tcPr>
            <w:tcW w:type="dxa" w:w="3000"/>
            <w:tcBorders>
              <w:top w:val="single" w:sz="4" w:space="0" w:color="CCCCCC"/>
              <w:bottom w:val="single" w:sz="4" w:space="0" w:color="CCCCCC"/>
              <w:left w:val="none"/>
              <w:right w:val="none"/>
            </w:tcBorders>
          </w:tcPr>
          <w:p>
            <w:pPr>
              <w:jc w:val="center"/>
            </w:pPr>
            <w:r>
              <w:rPr>
                <w:sz w:val="22"/>
              </w:rPr>
              <w:t>11</w:t>
            </w:r>
          </w:p>
        </w:tc>
      </w:tr>
      <w:tr>
        <w:tc>
          <w:tcPr>
            <w:tcW w:type="dxa" w:w="3000"/>
            <w:tcBorders>
              <w:top w:val="single" w:sz="4" w:space="0" w:color="CCCCCC"/>
              <w:bottom w:val="single" w:sz="4" w:space="0" w:color="CCCCCC"/>
              <w:left w:val="none"/>
              <w:right w:val="none"/>
            </w:tcBorders>
          </w:tcPr>
          <w:p>
            <w:pPr>
              <w:jc w:val="center"/>
            </w:pPr>
            <w:r>
              <w:rPr>
                <w:sz w:val="22"/>
              </w:rPr>
              <w:t>7.</w:t>
            </w:r>
          </w:p>
        </w:tc>
        <w:tc>
          <w:tcPr>
            <w:tcW w:type="dxa" w:w="3000"/>
            <w:tcBorders>
              <w:top w:val="single" w:sz="4" w:space="0" w:color="CCCCCC"/>
              <w:bottom w:val="single" w:sz="4" w:space="0" w:color="CCCCCC"/>
              <w:left w:val="none"/>
              <w:right w:val="none"/>
            </w:tcBorders>
          </w:tcPr>
          <w:p>
            <w:pPr>
              <w:jc w:val="left"/>
            </w:pPr>
            <w:r>
              <w:rPr>
                <w:sz w:val="22"/>
              </w:rPr>
              <w:t>Results &amp; Discussion</w:t>
            </w:r>
          </w:p>
        </w:tc>
        <w:tc>
          <w:tcPr>
            <w:tcW w:type="dxa" w:w="3000"/>
            <w:tcBorders>
              <w:top w:val="single" w:sz="4" w:space="0" w:color="CCCCCC"/>
              <w:bottom w:val="single" w:sz="4" w:space="0" w:color="CCCCCC"/>
              <w:left w:val="none"/>
              <w:right w:val="none"/>
            </w:tcBorders>
          </w:tcPr>
          <w:p>
            <w:pPr>
              <w:jc w:val="center"/>
            </w:pPr>
            <w:r>
              <w:rPr>
                <w:sz w:val="22"/>
              </w:rPr>
              <w:t>12</w:t>
            </w:r>
          </w:p>
        </w:tc>
      </w:tr>
      <w:tr>
        <w:tc>
          <w:tcPr>
            <w:tcW w:type="dxa" w:w="3000"/>
            <w:tcBorders>
              <w:top w:val="single" w:sz="4" w:space="0" w:color="CCCCCC"/>
              <w:bottom w:val="single" w:sz="4" w:space="0" w:color="CCCCCC"/>
              <w:left w:val="none"/>
              <w:right w:val="none"/>
            </w:tcBorders>
          </w:tcPr>
          <w:p>
            <w:pPr>
              <w:jc w:val="center"/>
            </w:pPr>
            <w:r>
              <w:rPr>
                <w:sz w:val="22"/>
              </w:rPr>
              <w:t>8.</w:t>
            </w:r>
          </w:p>
        </w:tc>
        <w:tc>
          <w:tcPr>
            <w:tcW w:type="dxa" w:w="3000"/>
            <w:tcBorders>
              <w:top w:val="single" w:sz="4" w:space="0" w:color="CCCCCC"/>
              <w:bottom w:val="single" w:sz="4" w:space="0" w:color="CCCCCC"/>
              <w:left w:val="none"/>
              <w:right w:val="none"/>
            </w:tcBorders>
          </w:tcPr>
          <w:p>
            <w:pPr>
              <w:jc w:val="left"/>
            </w:pPr>
            <w:r>
              <w:rPr>
                <w:sz w:val="22"/>
              </w:rPr>
              <w:t>Conclusion &amp; Future Scope</w:t>
            </w:r>
          </w:p>
        </w:tc>
        <w:tc>
          <w:tcPr>
            <w:tcW w:type="dxa" w:w="3000"/>
            <w:tcBorders>
              <w:top w:val="single" w:sz="4" w:space="0" w:color="CCCCCC"/>
              <w:bottom w:val="single" w:sz="4" w:space="0" w:color="CCCCCC"/>
              <w:left w:val="none"/>
              <w:right w:val="none"/>
            </w:tcBorders>
          </w:tcPr>
          <w:p>
            <w:pPr>
              <w:jc w:val="center"/>
            </w:pPr>
            <w:r>
              <w:rPr>
                <w:sz w:val="22"/>
              </w:rPr>
              <w:t>13</w:t>
            </w:r>
          </w:p>
        </w:tc>
      </w:tr>
      <w:tr>
        <w:tc>
          <w:tcPr>
            <w:tcW w:type="dxa" w:w="3000"/>
            <w:tcBorders>
              <w:top w:val="single" w:sz="4" w:space="0" w:color="CCCCCC"/>
              <w:bottom w:val="single" w:sz="4" w:space="0" w:color="CCCCCC"/>
              <w:left w:val="none"/>
              <w:right w:val="none"/>
            </w:tcBorders>
          </w:tcPr>
          <w:p>
            <w:pPr>
              <w:jc w:val="center"/>
            </w:pPr>
            <w:r>
              <w:rPr>
                <w:sz w:val="22"/>
              </w:rPr>
              <w:t>9.</w:t>
            </w:r>
          </w:p>
        </w:tc>
        <w:tc>
          <w:tcPr>
            <w:tcW w:type="dxa" w:w="3000"/>
            <w:tcBorders>
              <w:top w:val="single" w:sz="4" w:space="0" w:color="CCCCCC"/>
              <w:bottom w:val="single" w:sz="4" w:space="0" w:color="CCCCCC"/>
              <w:left w:val="none"/>
              <w:right w:val="none"/>
            </w:tcBorders>
          </w:tcPr>
          <w:p>
            <w:pPr>
              <w:jc w:val="left"/>
            </w:pPr>
            <w:r>
              <w:rPr>
                <w:sz w:val="22"/>
              </w:rPr>
              <w:t>References</w:t>
            </w:r>
          </w:p>
        </w:tc>
        <w:tc>
          <w:tcPr>
            <w:tcW w:type="dxa" w:w="3000"/>
            <w:tcBorders>
              <w:top w:val="single" w:sz="4" w:space="0" w:color="CCCCCC"/>
              <w:bottom w:val="single" w:sz="4" w:space="0" w:color="CCCCCC"/>
              <w:left w:val="none"/>
              <w:right w:val="none"/>
            </w:tcBorders>
          </w:tcPr>
          <w:p>
            <w:pPr>
              <w:jc w:val="center"/>
            </w:pPr>
            <w:r>
              <w:rPr>
                <w:sz w:val="22"/>
              </w:rPr>
              <w:t>14</w:t>
            </w:r>
          </w:p>
        </w:tc>
      </w:tr>
    </w:tbl>
    <w:p>
      <w:r>
        <w:br w:type="page"/>
      </w:r>
    </w:p>
    <w:p>
      <w:pPr>
        <w:spacing w:before="360" w:after="280"/>
        <w:jc w:val="center"/>
      </w:pPr>
      <w:r>
        <w:rPr>
          <w:rFonts w:ascii="Times New Roman" w:hAnsi="Times New Roman"/>
          <w:b/>
          <w:sz w:val="32"/>
        </w:rPr>
        <w:t>1. ABSTRACT</w:t>
      </w:r>
    </w:p>
    <w:p>
      <w:pPr>
        <w:spacing w:before="0" w:after="120" w:line="276" w:lineRule="auto"/>
        <w:jc w:val="both"/>
      </w:pPr>
      <w:r>
        <w:rPr>
          <w:rFonts w:ascii="Times New Roman" w:hAnsi="Times New Roman"/>
          <w:i w:val="0"/>
          <w:sz w:val="24"/>
        </w:rPr>
        <w:t>This project addresses the multivariable energy optimization problem in commercial smart buildings through an autonomous Reinforcement Learning (RL) supervisory control framework. Traditional Building Management Systems (BMS) rely on rigid rule-based heuristics and fixed schedules that fail to adapt to fluctuating occupancy, changing weather, dynamic Time-of-Use (TOU) electricity tariffs, and intermittent on-site solar generation. Using an 8,760-hour annual building telemetry profile derived from the Building Data Genome Project 2 and ASHRAE Standard 55 standards, we develop a Gymnasium-compliant smart building simulation environment. The system models a first-principles Resistance-Capacitance (RC) thermal envelope, heat pump Coefficient of Performance (COP) variations, an 80 kWh Battery Energy Storage System (BESS), smart lighting, and flexible load scheduling. We formulate a multi-objective reward balancing economic electricity cost, peak demand penalties, and thermal comfort boundaries (21°C–24°C). We implement and benchmark three deep reinforcement learning algorithms—Deep Q-Networks (DQN), Deep Deterministic Policy Gradient (DDPG), and Proximal Policy Optimization (PPO)—against conventional Rule-Based Control (RBC) over a 168-hour summer peak heatwave. Experimental results demonstrate that our best-performing agent, PPO, achieved a 29.77% reduction in total electricity costs ($933.45 vs. $1,329.13), shaved peak grid demand by 43.49% (65.09 kW vs. 115.20 kW), and accomplished 16.07% net energy savings while maintaining human thermal comfort standards. The framework features an interactive Streamlit analytics dashboard for real-time facility monitoring and what-if simulation.</w:t>
      </w:r>
    </w:p>
    <w:p>
      <w:pPr>
        <w:spacing w:before="0" w:after="120" w:line="276" w:lineRule="auto"/>
        <w:jc w:val="both"/>
      </w:pPr>
      <w:r>
        <w:rPr>
          <w:rFonts w:ascii="Times New Roman" w:hAnsi="Times New Roman"/>
          <w:i w:val="0"/>
          <w:sz w:val="24"/>
        </w:rPr>
        <w:t>Team Name: ALT-Team-20 (Batch 20)</w:t>
      </w:r>
    </w:p>
    <w:p>
      <w:pPr>
        <w:spacing w:before="0" w:after="120" w:line="276" w:lineRule="auto"/>
        <w:jc w:val="both"/>
      </w:pPr>
      <w:r>
        <w:rPr>
          <w:rFonts w:ascii="Times New Roman" w:hAnsi="Times New Roman"/>
          <w:i w:val="0"/>
          <w:sz w:val="24"/>
        </w:rPr>
        <w:t>Team Members and Responsibilities:</w:t>
      </w:r>
    </w:p>
    <w:p>
      <w:pPr>
        <w:spacing w:before="0" w:after="120" w:line="276" w:lineRule="auto"/>
        <w:jc w:val="both"/>
      </w:pPr>
      <w:r>
        <w:rPr>
          <w:rFonts w:ascii="Times New Roman" w:hAnsi="Times New Roman"/>
          <w:i w:val="0"/>
          <w:sz w:val="24"/>
        </w:rPr>
        <w:t>1. P. Dheeraj (2420030675, Team Lead) – RL formulation, Gymnasium environment design, PPO agent implementation, and pipeline orchestration.</w:t>
      </w:r>
    </w:p>
    <w:p>
      <w:pPr>
        <w:spacing w:before="0" w:after="120" w:line="276" w:lineRule="auto"/>
        <w:jc w:val="both"/>
      </w:pPr>
      <w:r>
        <w:rPr>
          <w:rFonts w:ascii="Times New Roman" w:hAnsi="Times New Roman"/>
          <w:i w:val="0"/>
          <w:sz w:val="24"/>
        </w:rPr>
        <w:t>2. T. Charan (2420030653) – Feature engineering, data preprocessing pipeline, DQN implementation, and dashboard development.</w:t>
      </w:r>
    </w:p>
    <w:p>
      <w:pPr>
        <w:spacing w:before="0" w:after="120" w:line="276" w:lineRule="auto"/>
        <w:jc w:val="both"/>
      </w:pPr>
      <w:r>
        <w:rPr>
          <w:rFonts w:ascii="Times New Roman" w:hAnsi="Times New Roman"/>
          <w:i w:val="0"/>
          <w:sz w:val="24"/>
        </w:rPr>
        <w:t>3. Dinesh Kumar (2420030372) – Thermodynamics RC network modeling, DDPG continuous actor-critic implementation, and benchmark evaluation metrics.</w:t>
      </w:r>
    </w:p>
    <w:p>
      <w:pPr>
        <w:spacing w:before="0" w:after="120" w:line="276" w:lineRule="auto"/>
        <w:jc w:val="both"/>
      </w:pPr>
      <w:r>
        <w:rPr>
          <w:rFonts w:ascii="Times New Roman" w:hAnsi="Times New Roman"/>
          <w:i w:val="0"/>
          <w:sz w:val="24"/>
        </w:rPr>
        <w:t>Dataset Source and Project Repository: https://github.com/pitladheeraj/ALT-Team-20</w:t>
      </w:r>
    </w:p>
    <w:p>
      <w:r>
        <w:br w:type="page"/>
      </w:r>
    </w:p>
    <w:p>
      <w:pPr>
        <w:spacing w:before="360" w:after="280"/>
        <w:jc w:val="center"/>
      </w:pPr>
      <w:r>
        <w:rPr>
          <w:rFonts w:ascii="Times New Roman" w:hAnsi="Times New Roman"/>
          <w:b/>
          <w:sz w:val="32"/>
        </w:rPr>
        <w:t>2. INTRODUCTION</w:t>
      </w:r>
    </w:p>
    <w:p>
      <w:pPr>
        <w:spacing w:before="0" w:after="120" w:line="276" w:lineRule="auto"/>
        <w:jc w:val="both"/>
      </w:pPr>
      <w:r>
        <w:rPr>
          <w:rFonts w:ascii="Times New Roman" w:hAnsi="Times New Roman"/>
          <w:i w:val="0"/>
          <w:sz w:val="24"/>
        </w:rPr>
        <w:t>Smart buildings generate substantial volumes of operational, sensor, and environmental telemetry from smart meters, HVAC systems, daylight sensors, occupancy monitors, and weather stations. Heating, Ventilation, and Air Conditioning (HVAC) systems alone account for over 40% to 50% of the total energy consumed in commercial facilities. Despite advancements in sensor hardware, traditional building energy management still predominantly relies on conventional Rule-Based Control (RBC) and static thermostat setpoints.</w:t>
      </w:r>
    </w:p>
    <w:p>
      <w:pPr>
        <w:spacing w:before="0" w:after="120" w:line="276" w:lineRule="auto"/>
        <w:jc w:val="both"/>
      </w:pPr>
      <w:r>
        <w:rPr>
          <w:rFonts w:ascii="Times New Roman" w:hAnsi="Times New Roman"/>
          <w:i w:val="0"/>
          <w:sz w:val="24"/>
        </w:rPr>
        <w:t>Operating smart buildings manually or using fixed rule templates is inefficient at scale. Fixed schedules cannot forecast outdoor ambient heatwaves, cannot dynamically shift electrical loads when utilities impose surge Time-of-Use (TOU) pricing during peak afternoon windows (e.g., 14:00 to 20:00), and cannot optimize battery storage charge/discharge cycles against on-site solar PV generation. This leads to inflated energy bills, unnecessary peak demand surcharge fines, and compromised occupant thermal comfort. Machine learning, particularly model-free Reinforcement Learning (RL), provides an adaptive supervisory framework that learns optimal control actions through continuous closed-loop environmental interaction.</w:t>
      </w:r>
    </w:p>
    <w:p>
      <w:pPr>
        <w:spacing w:before="0" w:after="120" w:line="276" w:lineRule="auto"/>
        <w:jc w:val="both"/>
      </w:pPr>
      <w:r>
        <w:rPr>
          <w:rFonts w:ascii="Times New Roman" w:hAnsi="Times New Roman"/>
          <w:i w:val="0"/>
          <w:sz w:val="24"/>
        </w:rPr>
        <w:t>The target users of this system are commercial building facility managers, energy auditors, and microgrid operators. The system accepts multi-stream environmental state inputs (temperatures, solar irradiance, occupancy density, base loads, electricity tariffs, and battery state-of-charge) and outputs optimal hourly control actions for HVAC chilling, battery inverters, daylight-dimmed lighting, and deferred flexible loads.</w:t>
      </w:r>
    </w:p>
    <w:p>
      <w:pPr>
        <w:spacing w:before="0" w:after="120" w:line="276" w:lineRule="auto"/>
        <w:jc w:val="both"/>
      </w:pPr>
      <w:r>
        <w:rPr>
          <w:rFonts w:ascii="Times New Roman" w:hAnsi="Times New Roman"/>
          <w:i w:val="0"/>
          <w:sz w:val="24"/>
        </w:rPr>
        <w:t>The proposed pipeline encompasses: (1) Building Telemetry Ingestion &amp; Preprocessing: 8,760 hours of annual climate, occupancy, and load data; (2) Feature Engineering: Cyclic time encodings (sin/cos) and thermal momentum indicators; (3) Gymnasium Smart Building Physics Engine: Lumped-parameter RC thermal dynamics, battery storage, and ASHRAE Standard 55 multi-objective reward formulation; (4) Policy Optimization: Training DQN, DDPG, and PPO agents alongside an RBC baseline; and (5) Evaluation Suite &amp; Dashboard: Metric logging, diagnostic plotting, and an interactive Streamlit UI.</w:t>
      </w:r>
    </w:p>
    <w:p>
      <w:r>
        <w:br w:type="page"/>
      </w:r>
    </w:p>
    <w:p>
      <w:pPr>
        <w:spacing w:before="360" w:after="280"/>
        <w:jc w:val="center"/>
      </w:pPr>
      <w:r>
        <w:rPr>
          <w:rFonts w:ascii="Times New Roman" w:hAnsi="Times New Roman"/>
          <w:b/>
          <w:sz w:val="32"/>
        </w:rPr>
        <w:t>3. LITERATURE SURVEY</w:t>
      </w:r>
    </w:p>
    <w:p>
      <w:pPr>
        <w:spacing w:before="0" w:after="120" w:line="276" w:lineRule="auto"/>
        <w:jc w:val="both"/>
      </w:pPr>
      <w:r>
        <w:rPr>
          <w:rFonts w:ascii="Times New Roman" w:hAnsi="Times New Roman"/>
          <w:i w:val="0"/>
          <w:sz w:val="24"/>
        </w:rPr>
        <w:t>1. Vázquez-Canteli et al. (2020) — "CityLearn: A Benchmark for Demand Response with Deep Reinforcement Learning": Addressed multi-agent demand response and peak load coordination across heterogeneous buildings using OpenEI datasets. Formulated an OpenAI Gym environment evaluating SAC, DDPG, and decentralized Q-learning based on ramping rates, peak demand, and energy cost. Demonstrated that coordinated multi-agent RL achieves up to a 15% reduction in electricity cost over independent rule controllers. Limitation: Lacked continuous battery cycle degradation cost modeling and integrated visual daylight dimming.</w:t>
      </w:r>
    </w:p>
    <w:p>
      <w:pPr>
        <w:spacing w:before="0" w:after="120" w:line="276" w:lineRule="auto"/>
        <w:jc w:val="both"/>
      </w:pPr>
      <w:r>
        <w:rPr>
          <w:rFonts w:ascii="Times New Roman" w:hAnsi="Times New Roman"/>
          <w:i w:val="0"/>
          <w:sz w:val="24"/>
        </w:rPr>
        <w:t>2. Miller et al. (2020) — "The Building Data Genome Project 2: An Open Database of Energy Meters": Addressed the scarcity of standardized open-source commercial building meter datasets across global climate zones. Compiled hourly electrical, chilled water, and steam consumption from 3,053 meters across 1,636 non-residential buildings. Uncovered distinct diurnal load shapes, occupancy correlations, and substantial weather-dependent variance across commercial typologies. Limitation: Provided observational meter telemetry without an interactive dynamic simulation loop for real-time control testing.</w:t>
      </w:r>
    </w:p>
    <w:p>
      <w:pPr>
        <w:spacing w:before="0" w:after="120" w:line="276" w:lineRule="auto"/>
        <w:jc w:val="both"/>
      </w:pPr>
      <w:r>
        <w:rPr>
          <w:rFonts w:ascii="Times New Roman" w:hAnsi="Times New Roman"/>
          <w:i w:val="0"/>
          <w:sz w:val="24"/>
        </w:rPr>
        <w:t>3. Zhang et al. (2019) — "Deep Reinforcement Learning for Building HVAC Control: A Survey": Evaluated state-of-the-art model-free RL algorithms for multi-zone HVAC temperature and airflow regulation. Reviewed DQN, Deep Deterministic Policy Gradient (DDPG), and Asynchronous Advantage Actor-Critic (A3C) benchmarked on EnergyPlus models. Continuous actor-critic policies consistently outperformed discrete DQN implementations in thermal tracking and actuator smoothness. Limitation: Highlighted high sample complexity and training instability during initial random exploration phases in physical buildings.</w:t>
      </w:r>
    </w:p>
    <w:p>
      <w:pPr>
        <w:spacing w:before="0" w:after="120" w:line="276" w:lineRule="auto"/>
        <w:jc w:val="both"/>
      </w:pPr>
      <w:r>
        <w:rPr>
          <w:rFonts w:ascii="Times New Roman" w:hAnsi="Times New Roman"/>
          <w:i w:val="0"/>
          <w:sz w:val="24"/>
        </w:rPr>
        <w:t>4. Blum et al. (2021) — "BOPTEST: Building Operations Testing Framework": Addressed the lack of reproducible benchmarking frameworks for comparing advanced HVAC control algorithms. Built a Modelica-based co-simulation software testbed for ASHRAE 55 thermal comfort, energy cost, and emissions. Rigorous benchmarking against standard rule-based heuristics is essential to validate true practical energy savings. Limitation: Computationally heavy co-simulation frameworks introduce substantial execution latency during high-iteration RL training.</w:t>
      </w:r>
    </w:p>
    <w:p>
      <w:pPr>
        <w:spacing w:before="0" w:after="120" w:line="276" w:lineRule="auto"/>
        <w:jc w:val="both"/>
      </w:pPr>
      <w:r>
        <w:rPr>
          <w:rFonts w:ascii="Times New Roman" w:hAnsi="Times New Roman"/>
          <w:i w:val="0"/>
          <w:sz w:val="24"/>
        </w:rPr>
        <w:t>5. Yu et al. (2021) — "A Review of Deep Reinforcement Learning for Smart Building Energy Management": Investigated whole-building multi-device coordination including HVAC, thermal storage, battery storage, and electric vehicles. Categorized model-free and model-based RL techniques based on convergence speed, reward engineering, and comfort compliance. Incorporating Time-of-Use (TOU) tariff signals into reward functions enables pre-cooling and battery arbitrage, dramatically cutting peak bills. Limitation: Identified that multi-objective rewards frequently fail if thermal comfort penalties are not formulated with quadratic bounds.</w:t>
      </w:r>
    </w:p>
    <w:p>
      <w:pPr>
        <w:spacing w:before="0" w:after="120" w:line="276" w:lineRule="auto"/>
        <w:jc w:val="both"/>
      </w:pPr>
      <w:r>
        <w:rPr>
          <w:rFonts w:ascii="Times New Roman" w:hAnsi="Times New Roman"/>
          <w:i w:val="0"/>
          <w:sz w:val="24"/>
        </w:rPr>
        <w:t>Identified Research Gap: Most existing research either focuses exclusively on HVAC airflow in isolation or analyzes battery arbitrage without considering envelope thermal inertia and human thermal comfort standards. Our project bridges this gap by integrating HVAC, Battery Storage (BESS), daylight-harvested lighting, and deferrable flexible loads into a unified Gymnasium environment, benchmarking discrete (DQN) and continuous (DDPG, PPO) policies directly against an industry-standard Rule-Based Control baseline under dynamic peak tariffs.</w:t>
      </w:r>
    </w:p>
    <w:p>
      <w:r>
        <w:br w:type="page"/>
      </w:r>
    </w:p>
    <w:p>
      <w:pPr>
        <w:spacing w:before="360" w:after="280"/>
        <w:jc w:val="center"/>
      </w:pPr>
      <w:r>
        <w:rPr>
          <w:rFonts w:ascii="Times New Roman" w:hAnsi="Times New Roman"/>
          <w:b/>
          <w:sz w:val="32"/>
        </w:rPr>
        <w:t>4. PROBLEM STATEMENT AND OBJECTIVES</w:t>
      </w:r>
    </w:p>
    <w:p>
      <w:pPr>
        <w:spacing w:before="240" w:after="120"/>
        <w:jc w:val="left"/>
      </w:pPr>
      <w:r>
        <w:rPr>
          <w:rFonts w:ascii="Times New Roman" w:hAnsi="Times New Roman"/>
          <w:b/>
          <w:sz w:val="26"/>
        </w:rPr>
        <w:t>Problem Statement:</w:t>
      </w:r>
    </w:p>
    <w:p>
      <w:pPr>
        <w:spacing w:before="0" w:after="120" w:line="276" w:lineRule="auto"/>
        <w:jc w:val="both"/>
      </w:pPr>
      <w:r>
        <w:rPr>
          <w:rFonts w:ascii="Times New Roman" w:hAnsi="Times New Roman"/>
          <w:i w:val="0"/>
          <w:sz w:val="24"/>
        </w:rPr>
        <w:t>Develop an autonomous Reinforcement Learning supervisory control framework for smart buildings that adaptively modulates HVAC, battery storage, lighting, and flexible loads to minimize electricity expenditures and peak grid demand while strictly maintaining occupant thermal comfort under dynamic Time-of-Use tariffs.</w:t>
      </w:r>
    </w:p>
    <w:p>
      <w:pPr>
        <w:spacing w:before="240" w:after="120"/>
        <w:jc w:val="left"/>
      </w:pPr>
      <w:r>
        <w:rPr>
          <w:rFonts w:ascii="Times New Roman" w:hAnsi="Times New Roman"/>
          <w:b/>
          <w:sz w:val="26"/>
        </w:rPr>
        <w:t>Problem Description:</w:t>
      </w:r>
    </w:p>
    <w:p>
      <w:pPr>
        <w:spacing w:before="0" w:after="120" w:line="276" w:lineRule="auto"/>
        <w:jc w:val="both"/>
      </w:pPr>
      <w:r>
        <w:rPr>
          <w:rFonts w:ascii="Times New Roman" w:hAnsi="Times New Roman"/>
          <w:i w:val="0"/>
          <w:sz w:val="24"/>
        </w:rPr>
        <w:t>Commercial buildings waste substantial energy and financial resources due to rigid, rule-based thermostats that run continuously during expensive peak electricity windows (14:00 to 20:00). Current manual and schedule-driven approaches cannot anticipate outdoor weather swings, cannot leverage rooftop solar generation effectively, and trigger severe utility peak demand surcharge penalties. An intelligent, adaptive machine learning system is required to balance energy cost reduction with human thermal comfort.</w:t>
      </w:r>
    </w:p>
    <w:p>
      <w:pPr>
        <w:spacing w:before="240" w:after="120"/>
        <w:jc w:val="left"/>
      </w:pPr>
      <w:r>
        <w:rPr>
          <w:rFonts w:ascii="Times New Roman" w:hAnsi="Times New Roman"/>
          <w:b/>
          <w:sz w:val="26"/>
        </w:rPr>
        <w:t>Objectives:</w:t>
      </w:r>
    </w:p>
    <w:p>
      <w:pPr>
        <w:spacing w:before="0" w:after="120" w:line="276" w:lineRule="auto"/>
        <w:jc w:val="both"/>
      </w:pPr>
      <w:r>
        <w:rPr>
          <w:rFonts w:ascii="Times New Roman" w:hAnsi="Times New Roman"/>
          <w:i w:val="0"/>
          <w:sz w:val="24"/>
        </w:rPr>
        <w:t>• Obtain and inspect a standardized 8,760-hour building energy genome dataset; document weather, solar generation, occupancy distributions, base electrical load profiles, and Time-of-Use tariffs.</w:t>
      </w:r>
    </w:p>
    <w:p>
      <w:pPr>
        <w:spacing w:before="0" w:after="120" w:line="276" w:lineRule="auto"/>
        <w:jc w:val="both"/>
      </w:pPr>
      <w:r>
        <w:rPr>
          <w:rFonts w:ascii="Times New Roman" w:hAnsi="Times New Roman"/>
          <w:i w:val="0"/>
          <w:sz w:val="24"/>
        </w:rPr>
        <w:t>• Clean, normalize, and engineer state representations incorporating cyclical temporal embeddings (sin/cos of hour and day) and 3-hour thermal inertia momentum.</w:t>
      </w:r>
    </w:p>
    <w:p>
      <w:pPr>
        <w:spacing w:before="0" w:after="120" w:line="276" w:lineRule="auto"/>
        <w:jc w:val="both"/>
      </w:pPr>
      <w:r>
        <w:rPr>
          <w:rFonts w:ascii="Times New Roman" w:hAnsi="Times New Roman"/>
          <w:i w:val="0"/>
          <w:sz w:val="24"/>
        </w:rPr>
        <w:t>• Model a Gymnasium-compliant building simulation environment incorporating a first-principles RC thermal network, heat pump COP degradation, and an 80 kWh battery storage system.</w:t>
      </w:r>
    </w:p>
    <w:p>
      <w:pPr>
        <w:spacing w:before="0" w:after="120" w:line="276" w:lineRule="auto"/>
        <w:jc w:val="both"/>
      </w:pPr>
      <w:r>
        <w:rPr>
          <w:rFonts w:ascii="Times New Roman" w:hAnsi="Times New Roman"/>
          <w:i w:val="0"/>
          <w:sz w:val="24"/>
        </w:rPr>
        <w:t>• Formulate a composite multi-objective reward function mathematically penalizing electricity costs, demand surges above 65 kW, and ASHRAE Standard 55 thermal comfort violations (21°C–24°C).</w:t>
      </w:r>
    </w:p>
    <w:p>
      <w:pPr>
        <w:spacing w:before="0" w:after="120" w:line="276" w:lineRule="auto"/>
        <w:jc w:val="both"/>
      </w:pPr>
      <w:r>
        <w:rPr>
          <w:rFonts w:ascii="Times New Roman" w:hAnsi="Times New Roman"/>
          <w:i w:val="0"/>
          <w:sz w:val="24"/>
        </w:rPr>
        <w:t>• Implement, train, and benchmark three deep reinforcement learning algorithms (DQN, DDPG, PPO) alongside a conventional Rule-Based Control (RBC) baseline.</w:t>
      </w:r>
    </w:p>
    <w:p>
      <w:pPr>
        <w:spacing w:before="0" w:after="120" w:line="276" w:lineRule="auto"/>
        <w:jc w:val="both"/>
      </w:pPr>
      <w:r>
        <w:rPr>
          <w:rFonts w:ascii="Times New Roman" w:hAnsi="Times New Roman"/>
          <w:i w:val="0"/>
          <w:sz w:val="24"/>
        </w:rPr>
        <w:t>• Evaluate all models across 8 quantitative metrics: Cost ($), Cost Savings (%), Peak Demand (kW), Peak Reduction (%), Grid Energy (kWh), Thermal Discomfort (°C·h), Solar Self-Consumption (%), and Cumulative Reward.</w:t>
      </w:r>
    </w:p>
    <w:p>
      <w:pPr>
        <w:spacing w:before="0" w:after="120" w:line="276" w:lineRule="auto"/>
        <w:jc w:val="both"/>
      </w:pPr>
      <w:r>
        <w:rPr>
          <w:rFonts w:ascii="Times New Roman" w:hAnsi="Times New Roman"/>
          <w:i w:val="0"/>
          <w:sz w:val="24"/>
        </w:rPr>
        <w:t>• Build an interactive Streamlit web dashboard for real-time facility monitoring, algorithm benchmarking, and live what-if scenario simulations.</w:t>
      </w:r>
    </w:p>
    <w:p>
      <w:r>
        <w:br w:type="page"/>
      </w:r>
    </w:p>
    <w:p>
      <w:pPr>
        <w:spacing w:before="360" w:after="280"/>
        <w:jc w:val="center"/>
      </w:pPr>
      <w:r>
        <w:rPr>
          <w:rFonts w:ascii="Times New Roman" w:hAnsi="Times New Roman"/>
          <w:b/>
          <w:sz w:val="32"/>
        </w:rPr>
        <w:t>5. HARDWARE AND SOFTWARE REQUIREMENTS</w:t>
      </w:r>
    </w:p>
    <w:p>
      <w:pPr>
        <w:spacing w:before="240" w:after="120"/>
        <w:jc w:val="left"/>
      </w:pPr>
      <w:r>
        <w:rPr>
          <w:rFonts w:ascii="Times New Roman" w:hAnsi="Times New Roman"/>
          <w:b/>
          <w:sz w:val="26"/>
        </w:rPr>
        <w:t>Hardware Requirements:</w:t>
      </w:r>
    </w:p>
    <w:p>
      <w:pPr>
        <w:spacing w:before="0" w:after="120" w:line="276" w:lineRule="auto"/>
        <w:jc w:val="both"/>
      </w:pPr>
      <w:r>
        <w:rPr>
          <w:rFonts w:ascii="Times New Roman" w:hAnsi="Times New Roman"/>
          <w:i w:val="0"/>
          <w:sz w:val="24"/>
        </w:rPr>
        <w:t>• Computer/laptop with a modern multi-core x86-64 / ARM processor (Intel Core i5/i7, AMD Ryzen 5/7, or Apple Silicon).</w:t>
      </w:r>
    </w:p>
    <w:p>
      <w:pPr>
        <w:spacing w:before="0" w:after="120" w:line="276" w:lineRule="auto"/>
        <w:jc w:val="both"/>
      </w:pPr>
      <w:r>
        <w:rPr>
          <w:rFonts w:ascii="Times New Roman" w:hAnsi="Times New Roman"/>
          <w:i w:val="0"/>
          <w:sz w:val="24"/>
        </w:rPr>
        <w:t>• Recommended 8 GB RAM or more (16 GB for concurrent policy training and time-series plotting).</w:t>
      </w:r>
    </w:p>
    <w:p>
      <w:pPr>
        <w:spacing w:before="0" w:after="120" w:line="276" w:lineRule="auto"/>
        <w:jc w:val="both"/>
      </w:pPr>
      <w:r>
        <w:rPr>
          <w:rFonts w:ascii="Times New Roman" w:hAnsi="Times New Roman"/>
          <w:i w:val="0"/>
          <w:sz w:val="24"/>
        </w:rPr>
        <w:t>• Minimum 5 GB of free solid-state drive (SSD) space for dataset files, notebooks, neural network weights (.pt), metrics logs, and plots.</w:t>
      </w:r>
    </w:p>
    <w:p>
      <w:pPr>
        <w:spacing w:before="0" w:after="120" w:line="276" w:lineRule="auto"/>
        <w:jc w:val="both"/>
      </w:pPr>
      <w:r>
        <w:rPr>
          <w:rFonts w:ascii="Times New Roman" w:hAnsi="Times New Roman"/>
          <w:i w:val="0"/>
          <w:sz w:val="24"/>
        </w:rPr>
        <w:t>• Internet access for package installations, documentation, and GitHub repository hosting.</w:t>
      </w:r>
    </w:p>
    <w:p>
      <w:pPr>
        <w:spacing w:before="240" w:after="120"/>
        <w:jc w:val="left"/>
      </w:pPr>
      <w:r>
        <w:rPr>
          <w:rFonts w:ascii="Times New Roman" w:hAnsi="Times New Roman"/>
          <w:b/>
          <w:sz w:val="26"/>
        </w:rPr>
        <w:t>Software Requirements:</w:t>
      </w:r>
    </w:p>
    <w:p>
      <w:pPr>
        <w:spacing w:before="0" w:after="120" w:line="276" w:lineRule="auto"/>
        <w:jc w:val="both"/>
      </w:pPr>
      <w:r>
        <w:rPr>
          <w:rFonts w:ascii="Times New Roman" w:hAnsi="Times New Roman"/>
          <w:i w:val="0"/>
          <w:sz w:val="24"/>
        </w:rPr>
        <w:t>• Operating System: Windows 10/11, Ubuntu 20.04/22.04 LTS, or macOS.</w:t>
      </w:r>
    </w:p>
    <w:p>
      <w:pPr>
        <w:spacing w:before="0" w:after="120" w:line="276" w:lineRule="auto"/>
        <w:jc w:val="both"/>
      </w:pPr>
      <w:r>
        <w:rPr>
          <w:rFonts w:ascii="Times New Roman" w:hAnsi="Times New Roman"/>
          <w:i w:val="0"/>
          <w:sz w:val="24"/>
        </w:rPr>
        <w:t>• Programming Language: Python 3.9+ (Implemented on Python 3.11.9).</w:t>
      </w:r>
    </w:p>
    <w:p>
      <w:pPr>
        <w:spacing w:before="0" w:after="120" w:line="276" w:lineRule="auto"/>
        <w:jc w:val="both"/>
      </w:pPr>
      <w:r>
        <w:rPr>
          <w:rFonts w:ascii="Times New Roman" w:hAnsi="Times New Roman"/>
          <w:i w:val="0"/>
          <w:sz w:val="24"/>
        </w:rPr>
        <w:t>• Deep Learning &amp; RL Frameworks: PyTorch 2.x, Farama Gymnasium 1.x / 0.29+.</w:t>
      </w:r>
    </w:p>
    <w:p>
      <w:pPr>
        <w:spacing w:before="0" w:after="120" w:line="276" w:lineRule="auto"/>
        <w:jc w:val="both"/>
      </w:pPr>
      <w:r>
        <w:rPr>
          <w:rFonts w:ascii="Times New Roman" w:hAnsi="Times New Roman"/>
          <w:i w:val="0"/>
          <w:sz w:val="24"/>
        </w:rPr>
        <w:t>• Data Analytics Libraries: NumPy (&gt;=1.24), Pandas (&gt;=2.0), SciPy (&gt;=1.10).</w:t>
      </w:r>
    </w:p>
    <w:p>
      <w:pPr>
        <w:spacing w:before="0" w:after="120" w:line="276" w:lineRule="auto"/>
        <w:jc w:val="both"/>
      </w:pPr>
      <w:r>
        <w:rPr>
          <w:rFonts w:ascii="Times New Roman" w:hAnsi="Times New Roman"/>
          <w:i w:val="0"/>
          <w:sz w:val="24"/>
        </w:rPr>
        <w:t>• Visualization &amp; Dashboard: Matplotlib (&gt;=3.7), Seaborn (&gt;=0.12), Plotly (&gt;=5.15), Streamlit (&gt;=1.30).</w:t>
      </w:r>
    </w:p>
    <w:p>
      <w:pPr>
        <w:spacing w:before="0" w:after="120" w:line="276" w:lineRule="auto"/>
        <w:jc w:val="both"/>
      </w:pPr>
      <w:r>
        <w:rPr>
          <w:rFonts w:ascii="Times New Roman" w:hAnsi="Times New Roman"/>
          <w:i w:val="0"/>
          <w:sz w:val="24"/>
        </w:rPr>
        <w:t>• Version Control: Git and GitHub for team collaboration.</w:t>
      </w:r>
    </w:p>
    <w:p>
      <w:r>
        <w:br w:type="page"/>
      </w:r>
    </w:p>
    <w:p>
      <w:pPr>
        <w:spacing w:before="360" w:after="280"/>
        <w:jc w:val="center"/>
      </w:pPr>
      <w:r>
        <w:rPr>
          <w:rFonts w:ascii="Times New Roman" w:hAnsi="Times New Roman"/>
          <w:b/>
          <w:sz w:val="32"/>
        </w:rPr>
        <w:t>6. IMPLEMENTATION</w:t>
      </w:r>
    </w:p>
    <w:p>
      <w:pPr>
        <w:spacing w:before="0" w:after="120" w:line="276" w:lineRule="auto"/>
        <w:jc w:val="both"/>
      </w:pPr>
      <w:r>
        <w:rPr>
          <w:rFonts w:ascii="Times New Roman" w:hAnsi="Times New Roman"/>
          <w:i w:val="0"/>
          <w:sz w:val="24"/>
        </w:rPr>
        <w:t>1. Data and Task Description: The framework models a sequential decision-making control problem. The dataset represents an 8,760-hour annual profile conforming to the Building Data Genome Project 2. Features include outdoor temperature, solar irradiance, occupancy density (0–120 persons), base electrical plug load, dynamic Time-of-Use tariffs ($0.08/kWh off-peak to $0.38/kWh summer on-peak), and 60 kW rooftop solar PV generation. Evaluation is conducted over a standardized 168-hour (1-week) summer peak heatwave starting at hour 4320 (July 1st).</w:t>
      </w:r>
    </w:p>
    <w:p>
      <w:pPr>
        <w:spacing w:before="0" w:after="120" w:line="276" w:lineRule="auto"/>
        <w:jc w:val="both"/>
      </w:pPr>
      <w:r>
        <w:rPr>
          <w:rFonts w:ascii="Times New Roman" w:hAnsi="Times New Roman"/>
          <w:i w:val="0"/>
          <w:sz w:val="24"/>
        </w:rPr>
        <w:t>2. Feature Engineering &amp; State Vector: Raw observations are normalized into [-1.0, 1.0]. The resulting 12-dimensional state vector contains: indoor temp, outdoor temp, 3-hour moving average outdoor temp, occupancy count, solar generation, base load, dynamic price, battery SoC, cumulative peak power demand, sin/cos of hour, and workday flag.</w:t>
      </w:r>
    </w:p>
    <w:p>
      <w:pPr>
        <w:spacing w:before="0" w:after="120" w:line="276" w:lineRule="auto"/>
        <w:jc w:val="both"/>
      </w:pPr>
      <w:r>
        <w:rPr>
          <w:rFonts w:ascii="Times New Roman" w:hAnsi="Times New Roman"/>
          <w:i w:val="0"/>
          <w:sz w:val="24"/>
        </w:rPr>
        <w:t>3. Model Training &amp; Hyperparameters: (1) DQN: 60 discrete action combinations, MLP (12 -&gt; 128 -&gt; 128 -&gt; 60), Smooth L1 loss, gamma=0.99, epsilon decaying from 1.0 to 0.05, replay buffer 20,000, batch size 64. (2) DDPG: Continuous Actor (12 -&gt; 128 -&gt; 128 -&gt; 4, Tanh) and Critic (16 -&gt; 128 -&gt; 128 -&gt; 1), Gaussian noise decaying from 0.15 to 0.02. (3) PPO: Actor-Critic with joint representation, GAE lambda=0.95, clipping epsilon=0.20, entropy bonus 0.01, and 6 update epochs per episode.</w:t>
      </w:r>
    </w:p>
    <w:p>
      <w:pPr>
        <w:spacing w:before="240" w:after="120"/>
        <w:jc w:val="left"/>
      </w:pPr>
      <w:r>
        <w:rPr>
          <w:rFonts w:ascii="Times New Roman" w:hAnsi="Times New Roman"/>
          <w:b/>
          <w:sz w:val="26"/>
        </w:rPr>
        <w:t>A. Project Workflow and Modules</w:t>
      </w:r>
    </w:p>
    <w:p>
      <w:pPr>
        <w:spacing w:before="0" w:after="120" w:line="276" w:lineRule="auto"/>
        <w:jc w:val="both"/>
      </w:pPr>
      <w:r>
        <w:rPr>
          <w:rFonts w:ascii="Times New Roman" w:hAnsi="Times New Roman"/>
          <w:i w:val="0"/>
          <w:sz w:val="24"/>
        </w:rPr>
        <w:t>• Data Ingestion &amp; Preprocessing: src/preprocessing/data_loader.py</w:t>
      </w:r>
    </w:p>
    <w:p>
      <w:pPr>
        <w:spacing w:before="0" w:after="120" w:line="276" w:lineRule="auto"/>
        <w:jc w:val="both"/>
      </w:pPr>
      <w:r>
        <w:rPr>
          <w:rFonts w:ascii="Times New Roman" w:hAnsi="Times New Roman"/>
          <w:i w:val="0"/>
          <w:sz w:val="24"/>
        </w:rPr>
        <w:t>• Feature Engineering: src/preprocessing/feature_engineering.py</w:t>
      </w:r>
    </w:p>
    <w:p>
      <w:pPr>
        <w:spacing w:before="0" w:after="120" w:line="276" w:lineRule="auto"/>
        <w:jc w:val="both"/>
      </w:pPr>
      <w:r>
        <w:rPr>
          <w:rFonts w:ascii="Times New Roman" w:hAnsi="Times New Roman"/>
          <w:i w:val="0"/>
          <w:sz w:val="24"/>
        </w:rPr>
        <w:t>• RC Thermodynamics Simulation: src/environment/thermodynamics.py</w:t>
      </w:r>
    </w:p>
    <w:p>
      <w:pPr>
        <w:spacing w:before="0" w:after="120" w:line="276" w:lineRule="auto"/>
        <w:jc w:val="both"/>
      </w:pPr>
      <w:r>
        <w:rPr>
          <w:rFonts w:ascii="Times New Roman" w:hAnsi="Times New Roman"/>
          <w:i w:val="0"/>
          <w:sz w:val="24"/>
        </w:rPr>
        <w:t>• Battery Storage &amp; Degradation: src/environment/battery.py</w:t>
      </w:r>
    </w:p>
    <w:p>
      <w:pPr>
        <w:spacing w:before="0" w:after="120" w:line="276" w:lineRule="auto"/>
        <w:jc w:val="both"/>
      </w:pPr>
      <w:r>
        <w:rPr>
          <w:rFonts w:ascii="Times New Roman" w:hAnsi="Times New Roman"/>
          <w:i w:val="0"/>
          <w:sz w:val="24"/>
        </w:rPr>
        <w:t>• Multi-Objective Reward Engine: src/environment/reward_functions.py</w:t>
      </w:r>
    </w:p>
    <w:p>
      <w:pPr>
        <w:spacing w:before="0" w:after="120" w:line="276" w:lineRule="auto"/>
        <w:jc w:val="both"/>
      </w:pPr>
      <w:r>
        <w:rPr>
          <w:rFonts w:ascii="Times New Roman" w:hAnsi="Times New Roman"/>
          <w:i w:val="0"/>
          <w:sz w:val="24"/>
        </w:rPr>
        <w:t>• Gymnasium Environment: src/environment/building_env.py</w:t>
      </w:r>
    </w:p>
    <w:p>
      <w:pPr>
        <w:spacing w:before="0" w:after="120" w:line="276" w:lineRule="auto"/>
        <w:jc w:val="both"/>
      </w:pPr>
      <w:r>
        <w:rPr>
          <w:rFonts w:ascii="Times New Roman" w:hAnsi="Times New Roman"/>
          <w:i w:val="0"/>
          <w:sz w:val="24"/>
        </w:rPr>
        <w:t>• Agent Models: src/agents/baseline_rbc.py, dqn_agent.py, ddpg_agent.py, ppo_agent.py</w:t>
      </w:r>
    </w:p>
    <w:p>
      <w:pPr>
        <w:spacing w:before="0" w:after="120" w:line="276" w:lineRule="auto"/>
        <w:jc w:val="both"/>
      </w:pPr>
      <w:r>
        <w:rPr>
          <w:rFonts w:ascii="Times New Roman" w:hAnsi="Times New Roman"/>
          <w:i w:val="0"/>
          <w:sz w:val="24"/>
        </w:rPr>
        <w:t>• Evaluation Suite &amp; Plots: src/evaluation/evaluate.py, metrics.py</w:t>
      </w:r>
    </w:p>
    <w:p>
      <w:pPr>
        <w:spacing w:before="0" w:after="120" w:line="276" w:lineRule="auto"/>
        <w:jc w:val="both"/>
      </w:pPr>
      <w:r>
        <w:rPr>
          <w:rFonts w:ascii="Times New Roman" w:hAnsi="Times New Roman"/>
          <w:i w:val="0"/>
          <w:sz w:val="24"/>
        </w:rPr>
        <w:t>• Interactive Streamlit Dashboard: src/dashboard/app.py</w:t>
      </w:r>
    </w:p>
    <w:p>
      <w:pPr>
        <w:spacing w:before="0" w:after="120" w:line="276" w:lineRule="auto"/>
        <w:jc w:val="both"/>
      </w:pPr>
      <w:r>
        <w:rPr>
          <w:rFonts w:ascii="Times New Roman" w:hAnsi="Times New Roman"/>
          <w:i w:val="0"/>
          <w:sz w:val="24"/>
        </w:rPr>
        <w:t>• Pipeline CLI Runner: run_pipeline.py</w:t>
      </w:r>
    </w:p>
    <w:p>
      <w:pPr>
        <w:spacing w:before="240" w:after="120"/>
        <w:jc w:val="left"/>
      </w:pPr>
      <w:r>
        <w:rPr>
          <w:rFonts w:ascii="Times New Roman" w:hAnsi="Times New Roman"/>
          <w:b/>
          <w:sz w:val="26"/>
        </w:rPr>
        <w:t>B. Machine-Learning Implementation Excerpt</w:t>
      </w:r>
    </w:p>
    <w:p>
      <w:pPr>
        <w:spacing w:before="0" w:after="120" w:line="276" w:lineRule="auto"/>
        <w:jc w:val="both"/>
      </w:pPr>
      <w:r>
        <w:rPr>
          <w:rFonts w:ascii="Times New Roman" w:hAnsi="Times New Roman"/>
          <w:i w:val="0"/>
          <w:sz w:val="24"/>
        </w:rPr>
        <w:t>The multi-objective reward balances electricity cost, thermal comfort, and peak demand capping:</w:t>
        <w:br/>
        <w:t>reward = - (1.0 * cost_dollar + 3.5 * comfort_penalty + 0.8 * peak_penalty)</w:t>
        <w:br/>
        <w:t>where comfort_penalty is quadratic in temperature excursions outside 21°C–24°C, and peak_penalty is quadratic above 65 kW.</w:t>
      </w:r>
    </w:p>
    <w:p>
      <w:pPr>
        <w:spacing w:before="240" w:after="120"/>
        <w:jc w:val="left"/>
      </w:pPr>
      <w:r>
        <w:rPr>
          <w:rFonts w:ascii="Times New Roman" w:hAnsi="Times New Roman"/>
          <w:b/>
          <w:sz w:val="26"/>
        </w:rPr>
        <w:t>C. Demonstration Web Application</w:t>
      </w:r>
    </w:p>
    <w:p>
      <w:pPr>
        <w:spacing w:before="0" w:after="120" w:line="276" w:lineRule="auto"/>
        <w:jc w:val="both"/>
      </w:pPr>
      <w:r>
        <w:rPr>
          <w:rFonts w:ascii="Times New Roman" w:hAnsi="Times New Roman"/>
          <w:i w:val="0"/>
          <w:sz w:val="24"/>
        </w:rPr>
        <w:t>A full Streamlit dashboard is launched via 'python -m streamlit run src/dashboard/app.py', featuring KPI summary cards, benchmark leaderboards, synchronized Plotly time-series traces, and interactive scenario test sliders.</w:t>
      </w:r>
    </w:p>
    <w:p>
      <w:r>
        <w:br w:type="page"/>
      </w:r>
    </w:p>
    <w:p>
      <w:pPr>
        <w:spacing w:before="360" w:after="280"/>
        <w:jc w:val="center"/>
      </w:pPr>
      <w:r>
        <w:rPr>
          <w:rFonts w:ascii="Times New Roman" w:hAnsi="Times New Roman"/>
          <w:b/>
          <w:sz w:val="32"/>
        </w:rPr>
        <w:t>7. RESULTS AND DISCUSSION</w:t>
      </w:r>
    </w:p>
    <w:p>
      <w:pPr>
        <w:spacing w:before="0" w:after="120" w:line="276" w:lineRule="auto"/>
        <w:jc w:val="both"/>
      </w:pPr>
      <w:r>
        <w:rPr>
          <w:rFonts w:ascii="Times New Roman" w:hAnsi="Times New Roman"/>
          <w:i w:val="0"/>
          <w:sz w:val="24"/>
        </w:rPr>
        <w:t>Table 1 summarizes the empirical performance of all four controllers evaluated over an identical 168-hour (1-week) summer peak heatwave.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val="single" w:sz="6" w:space="0" w:color="000000"/>
              <w:bottom w:val="single" w:sz="6" w:space="0" w:color="000000"/>
              <w:left w:val="none"/>
              <w:right w:val="none"/>
            </w:tcBorders>
          </w:tcPr>
          <w:p>
            <w:pPr>
              <w:jc w:val="center"/>
            </w:pPr>
            <w:r>
              <w:rPr>
                <w:b/>
                <w:sz w:val="20"/>
              </w:rPr>
              <w:t>Evaluation Metric</w:t>
            </w:r>
          </w:p>
        </w:tc>
        <w:tc>
          <w:tcPr>
            <w:tcW w:type="dxa" w:w="1800"/>
            <w:tcBorders>
              <w:top w:val="single" w:sz="6" w:space="0" w:color="000000"/>
              <w:bottom w:val="single" w:sz="6" w:space="0" w:color="000000"/>
              <w:left w:val="none"/>
              <w:right w:val="none"/>
            </w:tcBorders>
          </w:tcPr>
          <w:p>
            <w:pPr>
              <w:jc w:val="center"/>
            </w:pPr>
            <w:r>
              <w:rPr>
                <w:b/>
                <w:sz w:val="20"/>
              </w:rPr>
              <w:t>RBC (Baseline)</w:t>
            </w:r>
          </w:p>
        </w:tc>
        <w:tc>
          <w:tcPr>
            <w:tcW w:type="dxa" w:w="1800"/>
            <w:tcBorders>
              <w:top w:val="single" w:sz="6" w:space="0" w:color="000000"/>
              <w:bottom w:val="single" w:sz="6" w:space="0" w:color="000000"/>
              <w:left w:val="none"/>
              <w:right w:val="none"/>
            </w:tcBorders>
          </w:tcPr>
          <w:p>
            <w:pPr>
              <w:jc w:val="center"/>
            </w:pPr>
            <w:r>
              <w:rPr>
                <w:b/>
                <w:sz w:val="20"/>
              </w:rPr>
              <w:t>DQN</w:t>
            </w:r>
          </w:p>
        </w:tc>
        <w:tc>
          <w:tcPr>
            <w:tcW w:type="dxa" w:w="1800"/>
            <w:tcBorders>
              <w:top w:val="single" w:sz="6" w:space="0" w:color="000000"/>
              <w:bottom w:val="single" w:sz="6" w:space="0" w:color="000000"/>
              <w:left w:val="none"/>
              <w:right w:val="none"/>
            </w:tcBorders>
          </w:tcPr>
          <w:p>
            <w:pPr>
              <w:jc w:val="center"/>
            </w:pPr>
            <w:r>
              <w:rPr>
                <w:b/>
                <w:sz w:val="20"/>
              </w:rPr>
              <w:t>DDPG</w:t>
            </w:r>
          </w:p>
        </w:tc>
        <w:tc>
          <w:tcPr>
            <w:tcW w:type="dxa" w:w="1800"/>
            <w:tcBorders>
              <w:top w:val="single" w:sz="6" w:space="0" w:color="000000"/>
              <w:bottom w:val="single" w:sz="6" w:space="0" w:color="000000"/>
              <w:left w:val="none"/>
              <w:right w:val="none"/>
            </w:tcBorders>
          </w:tcPr>
          <w:p>
            <w:pPr>
              <w:jc w:val="center"/>
            </w:pPr>
            <w:r>
              <w:rPr>
                <w:b/>
                <w:sz w:val="20"/>
              </w:rPr>
              <w:t>PPO (Best)</w:t>
            </w:r>
          </w:p>
        </w:tc>
      </w:tr>
      <w:tr>
        <w:tc>
          <w:tcPr>
            <w:tcW w:type="dxa" w:w="1800"/>
            <w:tcBorders>
              <w:top w:val="single" w:sz="6" w:space="0" w:color="000000"/>
              <w:bottom w:val="single" w:sz="6" w:space="0" w:color="000000"/>
              <w:left w:val="none"/>
              <w:right w:val="none"/>
            </w:tcBorders>
          </w:tcPr>
          <w:p>
            <w:pPr>
              <w:jc w:val="left"/>
            </w:pPr>
            <w:r>
              <w:rPr>
                <w:sz w:val="20"/>
              </w:rPr>
              <w:t>Total Cost ($)</w:t>
            </w:r>
          </w:p>
        </w:tc>
        <w:tc>
          <w:tcPr>
            <w:tcW w:type="dxa" w:w="1800"/>
            <w:tcBorders>
              <w:top w:val="single" w:sz="6" w:space="0" w:color="000000"/>
              <w:bottom w:val="single" w:sz="6" w:space="0" w:color="000000"/>
              <w:left w:val="none"/>
              <w:right w:val="none"/>
            </w:tcBorders>
          </w:tcPr>
          <w:p>
            <w:pPr>
              <w:jc w:val="center"/>
            </w:pPr>
            <w:r>
              <w:rPr>
                <w:sz w:val="20"/>
              </w:rPr>
              <w:t>$1,329.13</w:t>
            </w:r>
          </w:p>
        </w:tc>
        <w:tc>
          <w:tcPr>
            <w:tcW w:type="dxa" w:w="1800"/>
            <w:tcBorders>
              <w:top w:val="single" w:sz="6" w:space="0" w:color="000000"/>
              <w:bottom w:val="single" w:sz="6" w:space="0" w:color="000000"/>
              <w:left w:val="none"/>
              <w:right w:val="none"/>
            </w:tcBorders>
          </w:tcPr>
          <w:p>
            <w:pPr>
              <w:jc w:val="center"/>
            </w:pPr>
            <w:r>
              <w:rPr>
                <w:sz w:val="20"/>
              </w:rPr>
              <w:t>$1,154.67</w:t>
            </w:r>
          </w:p>
        </w:tc>
        <w:tc>
          <w:tcPr>
            <w:tcW w:type="dxa" w:w="1800"/>
            <w:tcBorders>
              <w:top w:val="single" w:sz="6" w:space="0" w:color="000000"/>
              <w:bottom w:val="single" w:sz="6" w:space="0" w:color="000000"/>
              <w:left w:val="none"/>
              <w:right w:val="none"/>
            </w:tcBorders>
          </w:tcPr>
          <w:p>
            <w:pPr>
              <w:jc w:val="center"/>
            </w:pPr>
            <w:r>
              <w:rPr>
                <w:sz w:val="20"/>
              </w:rPr>
              <w:t>$1,404.14</w:t>
            </w:r>
          </w:p>
        </w:tc>
        <w:tc>
          <w:tcPr>
            <w:tcW w:type="dxa" w:w="1800"/>
            <w:tcBorders>
              <w:top w:val="single" w:sz="6" w:space="0" w:color="000000"/>
              <w:bottom w:val="single" w:sz="6" w:space="0" w:color="000000"/>
              <w:left w:val="none"/>
              <w:right w:val="none"/>
            </w:tcBorders>
          </w:tcPr>
          <w:p>
            <w:pPr>
              <w:jc w:val="center"/>
            </w:pPr>
            <w:r>
              <w:rPr>
                <w:b/>
                <w:sz w:val="20"/>
              </w:rPr>
              <w:t>$933.45</w:t>
            </w:r>
          </w:p>
        </w:tc>
      </w:tr>
      <w:tr>
        <w:tc>
          <w:tcPr>
            <w:tcW w:type="dxa" w:w="1800"/>
            <w:tcBorders>
              <w:top w:val="single" w:sz="6" w:space="0" w:color="000000"/>
              <w:bottom w:val="single" w:sz="6" w:space="0" w:color="000000"/>
              <w:left w:val="none"/>
              <w:right w:val="none"/>
            </w:tcBorders>
          </w:tcPr>
          <w:p>
            <w:pPr>
              <w:jc w:val="left"/>
            </w:pPr>
            <w:r>
              <w:rPr>
                <w:sz w:val="20"/>
              </w:rPr>
              <w:t>Cost Savings (%)</w:t>
            </w:r>
          </w:p>
        </w:tc>
        <w:tc>
          <w:tcPr>
            <w:tcW w:type="dxa" w:w="1800"/>
            <w:tcBorders>
              <w:top w:val="single" w:sz="6" w:space="0" w:color="000000"/>
              <w:bottom w:val="single" w:sz="6" w:space="0" w:color="000000"/>
              <w:left w:val="none"/>
              <w:right w:val="none"/>
            </w:tcBorders>
          </w:tcPr>
          <w:p>
            <w:pPr>
              <w:jc w:val="center"/>
            </w:pPr>
            <w:r>
              <w:rPr>
                <w:sz w:val="20"/>
              </w:rPr>
              <w:t>0.00%</w:t>
            </w:r>
          </w:p>
        </w:tc>
        <w:tc>
          <w:tcPr>
            <w:tcW w:type="dxa" w:w="1800"/>
            <w:tcBorders>
              <w:top w:val="single" w:sz="6" w:space="0" w:color="000000"/>
              <w:bottom w:val="single" w:sz="6" w:space="0" w:color="000000"/>
              <w:left w:val="none"/>
              <w:right w:val="none"/>
            </w:tcBorders>
          </w:tcPr>
          <w:p>
            <w:pPr>
              <w:jc w:val="center"/>
            </w:pPr>
            <w:r>
              <w:rPr>
                <w:sz w:val="20"/>
              </w:rPr>
              <w:t>+13.13%</w:t>
            </w:r>
          </w:p>
        </w:tc>
        <w:tc>
          <w:tcPr>
            <w:tcW w:type="dxa" w:w="1800"/>
            <w:tcBorders>
              <w:top w:val="single" w:sz="6" w:space="0" w:color="000000"/>
              <w:bottom w:val="single" w:sz="6" w:space="0" w:color="000000"/>
              <w:left w:val="none"/>
              <w:right w:val="none"/>
            </w:tcBorders>
          </w:tcPr>
          <w:p>
            <w:pPr>
              <w:jc w:val="center"/>
            </w:pPr>
            <w:r>
              <w:rPr>
                <w:sz w:val="20"/>
              </w:rPr>
              <w:t>-5.64%</w:t>
            </w:r>
          </w:p>
        </w:tc>
        <w:tc>
          <w:tcPr>
            <w:tcW w:type="dxa" w:w="1800"/>
            <w:tcBorders>
              <w:top w:val="single" w:sz="6" w:space="0" w:color="000000"/>
              <w:bottom w:val="single" w:sz="6" w:space="0" w:color="000000"/>
              <w:left w:val="none"/>
              <w:right w:val="none"/>
            </w:tcBorders>
          </w:tcPr>
          <w:p>
            <w:pPr>
              <w:jc w:val="center"/>
            </w:pPr>
            <w:r>
              <w:rPr>
                <w:b/>
                <w:sz w:val="20"/>
              </w:rPr>
              <w:t>+29.77%</w:t>
            </w:r>
          </w:p>
        </w:tc>
      </w:tr>
      <w:tr>
        <w:tc>
          <w:tcPr>
            <w:tcW w:type="dxa" w:w="1800"/>
            <w:tcBorders>
              <w:top w:val="single" w:sz="6" w:space="0" w:color="000000"/>
              <w:bottom w:val="single" w:sz="6" w:space="0" w:color="000000"/>
              <w:left w:val="none"/>
              <w:right w:val="none"/>
            </w:tcBorders>
          </w:tcPr>
          <w:p>
            <w:pPr>
              <w:jc w:val="left"/>
            </w:pPr>
            <w:r>
              <w:rPr>
                <w:sz w:val="20"/>
              </w:rPr>
              <w:t>Peak Demand (kW)</w:t>
            </w:r>
          </w:p>
        </w:tc>
        <w:tc>
          <w:tcPr>
            <w:tcW w:type="dxa" w:w="1800"/>
            <w:tcBorders>
              <w:top w:val="single" w:sz="6" w:space="0" w:color="000000"/>
              <w:bottom w:val="single" w:sz="6" w:space="0" w:color="000000"/>
              <w:left w:val="none"/>
              <w:right w:val="none"/>
            </w:tcBorders>
          </w:tcPr>
          <w:p>
            <w:pPr>
              <w:jc w:val="center"/>
            </w:pPr>
            <w:r>
              <w:rPr>
                <w:sz w:val="20"/>
              </w:rPr>
              <w:t>115.20 kW</w:t>
            </w:r>
          </w:p>
        </w:tc>
        <w:tc>
          <w:tcPr>
            <w:tcW w:type="dxa" w:w="1800"/>
            <w:tcBorders>
              <w:top w:val="single" w:sz="6" w:space="0" w:color="000000"/>
              <w:bottom w:val="single" w:sz="6" w:space="0" w:color="000000"/>
              <w:left w:val="none"/>
              <w:right w:val="none"/>
            </w:tcBorders>
          </w:tcPr>
          <w:p>
            <w:pPr>
              <w:jc w:val="center"/>
            </w:pPr>
            <w:r>
              <w:rPr>
                <w:sz w:val="20"/>
              </w:rPr>
              <w:t>98.41 kW</w:t>
            </w:r>
          </w:p>
        </w:tc>
        <w:tc>
          <w:tcPr>
            <w:tcW w:type="dxa" w:w="1800"/>
            <w:tcBorders>
              <w:top w:val="single" w:sz="6" w:space="0" w:color="000000"/>
              <w:bottom w:val="single" w:sz="6" w:space="0" w:color="000000"/>
              <w:left w:val="none"/>
              <w:right w:val="none"/>
            </w:tcBorders>
          </w:tcPr>
          <w:p>
            <w:pPr>
              <w:jc w:val="center"/>
            </w:pPr>
            <w:r>
              <w:rPr>
                <w:sz w:val="20"/>
              </w:rPr>
              <w:t>94.88 kW</w:t>
            </w:r>
          </w:p>
        </w:tc>
        <w:tc>
          <w:tcPr>
            <w:tcW w:type="dxa" w:w="1800"/>
            <w:tcBorders>
              <w:top w:val="single" w:sz="6" w:space="0" w:color="000000"/>
              <w:bottom w:val="single" w:sz="6" w:space="0" w:color="000000"/>
              <w:left w:val="none"/>
              <w:right w:val="none"/>
            </w:tcBorders>
          </w:tcPr>
          <w:p>
            <w:pPr>
              <w:jc w:val="center"/>
            </w:pPr>
            <w:r>
              <w:rPr>
                <w:b/>
                <w:sz w:val="20"/>
              </w:rPr>
              <w:t>65.09 kW</w:t>
            </w:r>
          </w:p>
        </w:tc>
      </w:tr>
      <w:tr>
        <w:tc>
          <w:tcPr>
            <w:tcW w:type="dxa" w:w="1800"/>
            <w:tcBorders>
              <w:top w:val="single" w:sz="6" w:space="0" w:color="000000"/>
              <w:bottom w:val="single" w:sz="6" w:space="0" w:color="000000"/>
              <w:left w:val="none"/>
              <w:right w:val="none"/>
            </w:tcBorders>
          </w:tcPr>
          <w:p>
            <w:pPr>
              <w:jc w:val="left"/>
            </w:pPr>
            <w:r>
              <w:rPr>
                <w:sz w:val="20"/>
              </w:rPr>
              <w:t>Peak Reduction (%)</w:t>
            </w:r>
          </w:p>
        </w:tc>
        <w:tc>
          <w:tcPr>
            <w:tcW w:type="dxa" w:w="1800"/>
            <w:tcBorders>
              <w:top w:val="single" w:sz="6" w:space="0" w:color="000000"/>
              <w:bottom w:val="single" w:sz="6" w:space="0" w:color="000000"/>
              <w:left w:val="none"/>
              <w:right w:val="none"/>
            </w:tcBorders>
          </w:tcPr>
          <w:p>
            <w:pPr>
              <w:jc w:val="center"/>
            </w:pPr>
            <w:r>
              <w:rPr>
                <w:sz w:val="20"/>
              </w:rPr>
              <w:t>0.00%</w:t>
            </w:r>
          </w:p>
        </w:tc>
        <w:tc>
          <w:tcPr>
            <w:tcW w:type="dxa" w:w="1800"/>
            <w:tcBorders>
              <w:top w:val="single" w:sz="6" w:space="0" w:color="000000"/>
              <w:bottom w:val="single" w:sz="6" w:space="0" w:color="000000"/>
              <w:left w:val="none"/>
              <w:right w:val="none"/>
            </w:tcBorders>
          </w:tcPr>
          <w:p>
            <w:pPr>
              <w:jc w:val="center"/>
            </w:pPr>
            <w:r>
              <w:rPr>
                <w:sz w:val="20"/>
              </w:rPr>
              <w:t>+14.57%</w:t>
            </w:r>
          </w:p>
        </w:tc>
        <w:tc>
          <w:tcPr>
            <w:tcW w:type="dxa" w:w="1800"/>
            <w:tcBorders>
              <w:top w:val="single" w:sz="6" w:space="0" w:color="000000"/>
              <w:bottom w:val="single" w:sz="6" w:space="0" w:color="000000"/>
              <w:left w:val="none"/>
              <w:right w:val="none"/>
            </w:tcBorders>
          </w:tcPr>
          <w:p>
            <w:pPr>
              <w:jc w:val="center"/>
            </w:pPr>
            <w:r>
              <w:rPr>
                <w:sz w:val="20"/>
              </w:rPr>
              <w:t>+17.64%</w:t>
            </w:r>
          </w:p>
        </w:tc>
        <w:tc>
          <w:tcPr>
            <w:tcW w:type="dxa" w:w="1800"/>
            <w:tcBorders>
              <w:top w:val="single" w:sz="6" w:space="0" w:color="000000"/>
              <w:bottom w:val="single" w:sz="6" w:space="0" w:color="000000"/>
              <w:left w:val="none"/>
              <w:right w:val="none"/>
            </w:tcBorders>
          </w:tcPr>
          <w:p>
            <w:pPr>
              <w:jc w:val="center"/>
            </w:pPr>
            <w:r>
              <w:rPr>
                <w:b/>
                <w:sz w:val="20"/>
              </w:rPr>
              <w:t>+43.49%</w:t>
            </w:r>
          </w:p>
        </w:tc>
      </w:tr>
      <w:tr>
        <w:tc>
          <w:tcPr>
            <w:tcW w:type="dxa" w:w="1800"/>
            <w:tcBorders>
              <w:top w:val="single" w:sz="6" w:space="0" w:color="000000"/>
              <w:bottom w:val="single" w:sz="6" w:space="0" w:color="000000"/>
              <w:left w:val="none"/>
              <w:right w:val="none"/>
            </w:tcBorders>
          </w:tcPr>
          <w:p>
            <w:pPr>
              <w:jc w:val="left"/>
            </w:pPr>
            <w:r>
              <w:rPr>
                <w:sz w:val="20"/>
              </w:rPr>
              <w:t>Grid Energy (kWh)</w:t>
            </w:r>
          </w:p>
        </w:tc>
        <w:tc>
          <w:tcPr>
            <w:tcW w:type="dxa" w:w="1800"/>
            <w:tcBorders>
              <w:top w:val="single" w:sz="6" w:space="0" w:color="000000"/>
              <w:bottom w:val="single" w:sz="6" w:space="0" w:color="000000"/>
              <w:left w:val="none"/>
              <w:right w:val="none"/>
            </w:tcBorders>
          </w:tcPr>
          <w:p>
            <w:pPr>
              <w:jc w:val="center"/>
            </w:pPr>
            <w:r>
              <w:rPr>
                <w:sz w:val="20"/>
              </w:rPr>
              <w:t>6,229.71</w:t>
            </w:r>
          </w:p>
        </w:tc>
        <w:tc>
          <w:tcPr>
            <w:tcW w:type="dxa" w:w="1800"/>
            <w:tcBorders>
              <w:top w:val="single" w:sz="6" w:space="0" w:color="000000"/>
              <w:bottom w:val="single" w:sz="6" w:space="0" w:color="000000"/>
              <w:left w:val="none"/>
              <w:right w:val="none"/>
            </w:tcBorders>
          </w:tcPr>
          <w:p>
            <w:pPr>
              <w:jc w:val="center"/>
            </w:pPr>
            <w:r>
              <w:rPr>
                <w:sz w:val="20"/>
              </w:rPr>
              <w:t>5,802.75</w:t>
            </w:r>
          </w:p>
        </w:tc>
        <w:tc>
          <w:tcPr>
            <w:tcW w:type="dxa" w:w="1800"/>
            <w:tcBorders>
              <w:top w:val="single" w:sz="6" w:space="0" w:color="000000"/>
              <w:bottom w:val="single" w:sz="6" w:space="0" w:color="000000"/>
              <w:left w:val="none"/>
              <w:right w:val="none"/>
            </w:tcBorders>
          </w:tcPr>
          <w:p>
            <w:pPr>
              <w:jc w:val="center"/>
            </w:pPr>
            <w:r>
              <w:rPr>
                <w:sz w:val="20"/>
              </w:rPr>
              <w:t>8,278.37</w:t>
            </w:r>
          </w:p>
        </w:tc>
        <w:tc>
          <w:tcPr>
            <w:tcW w:type="dxa" w:w="1800"/>
            <w:tcBorders>
              <w:top w:val="single" w:sz="6" w:space="0" w:color="000000"/>
              <w:bottom w:val="single" w:sz="6" w:space="0" w:color="000000"/>
              <w:left w:val="none"/>
              <w:right w:val="none"/>
            </w:tcBorders>
          </w:tcPr>
          <w:p>
            <w:pPr>
              <w:jc w:val="center"/>
            </w:pPr>
            <w:r>
              <w:rPr>
                <w:b/>
                <w:sz w:val="20"/>
              </w:rPr>
              <w:t>5,228.40</w:t>
            </w:r>
          </w:p>
        </w:tc>
      </w:tr>
      <w:tr>
        <w:tc>
          <w:tcPr>
            <w:tcW w:type="dxa" w:w="1800"/>
            <w:tcBorders>
              <w:top w:val="single" w:sz="6" w:space="0" w:color="000000"/>
              <w:bottom w:val="single" w:sz="6" w:space="0" w:color="000000"/>
              <w:left w:val="none"/>
              <w:right w:val="none"/>
            </w:tcBorders>
          </w:tcPr>
          <w:p>
            <w:pPr>
              <w:jc w:val="left"/>
            </w:pPr>
            <w:r>
              <w:rPr>
                <w:sz w:val="20"/>
              </w:rPr>
              <w:t>Energy Savings (%)</w:t>
            </w:r>
          </w:p>
        </w:tc>
        <w:tc>
          <w:tcPr>
            <w:tcW w:type="dxa" w:w="1800"/>
            <w:tcBorders>
              <w:top w:val="single" w:sz="6" w:space="0" w:color="000000"/>
              <w:bottom w:val="single" w:sz="6" w:space="0" w:color="000000"/>
              <w:left w:val="none"/>
              <w:right w:val="none"/>
            </w:tcBorders>
          </w:tcPr>
          <w:p>
            <w:pPr>
              <w:jc w:val="center"/>
            </w:pPr>
            <w:r>
              <w:rPr>
                <w:sz w:val="20"/>
              </w:rPr>
              <w:t>0.00%</w:t>
            </w:r>
          </w:p>
        </w:tc>
        <w:tc>
          <w:tcPr>
            <w:tcW w:type="dxa" w:w="1800"/>
            <w:tcBorders>
              <w:top w:val="single" w:sz="6" w:space="0" w:color="000000"/>
              <w:bottom w:val="single" w:sz="6" w:space="0" w:color="000000"/>
              <w:left w:val="none"/>
              <w:right w:val="none"/>
            </w:tcBorders>
          </w:tcPr>
          <w:p>
            <w:pPr>
              <w:jc w:val="center"/>
            </w:pPr>
            <w:r>
              <w:rPr>
                <w:sz w:val="20"/>
              </w:rPr>
              <w:t>+6.85%</w:t>
            </w:r>
          </w:p>
        </w:tc>
        <w:tc>
          <w:tcPr>
            <w:tcW w:type="dxa" w:w="1800"/>
            <w:tcBorders>
              <w:top w:val="single" w:sz="6" w:space="0" w:color="000000"/>
              <w:bottom w:val="single" w:sz="6" w:space="0" w:color="000000"/>
              <w:left w:val="none"/>
              <w:right w:val="none"/>
            </w:tcBorders>
          </w:tcPr>
          <w:p>
            <w:pPr>
              <w:jc w:val="center"/>
            </w:pPr>
            <w:r>
              <w:rPr>
                <w:sz w:val="20"/>
              </w:rPr>
              <w:t>-32.89%</w:t>
            </w:r>
          </w:p>
        </w:tc>
        <w:tc>
          <w:tcPr>
            <w:tcW w:type="dxa" w:w="1800"/>
            <w:tcBorders>
              <w:top w:val="single" w:sz="6" w:space="0" w:color="000000"/>
              <w:bottom w:val="single" w:sz="6" w:space="0" w:color="000000"/>
              <w:left w:val="none"/>
              <w:right w:val="none"/>
            </w:tcBorders>
          </w:tcPr>
          <w:p>
            <w:pPr>
              <w:jc w:val="center"/>
            </w:pPr>
            <w:r>
              <w:rPr>
                <w:b/>
                <w:sz w:val="20"/>
              </w:rPr>
              <w:t>+16.07%</w:t>
            </w:r>
          </w:p>
        </w:tc>
      </w:tr>
      <w:tr>
        <w:tc>
          <w:tcPr>
            <w:tcW w:type="dxa" w:w="1800"/>
            <w:tcBorders>
              <w:top w:val="single" w:sz="6" w:space="0" w:color="000000"/>
              <w:bottom w:val="single" w:sz="6" w:space="0" w:color="000000"/>
              <w:left w:val="none"/>
              <w:right w:val="none"/>
            </w:tcBorders>
          </w:tcPr>
          <w:p>
            <w:pPr>
              <w:jc w:val="left"/>
            </w:pPr>
            <w:r>
              <w:rPr>
                <w:sz w:val="20"/>
              </w:rPr>
              <w:t>Discomfort (°C·h)</w:t>
            </w:r>
          </w:p>
        </w:tc>
        <w:tc>
          <w:tcPr>
            <w:tcW w:type="dxa" w:w="1800"/>
            <w:tcBorders>
              <w:top w:val="single" w:sz="6" w:space="0" w:color="000000"/>
              <w:bottom w:val="single" w:sz="6" w:space="0" w:color="000000"/>
              <w:left w:val="none"/>
              <w:right w:val="none"/>
            </w:tcBorders>
          </w:tcPr>
          <w:p>
            <w:pPr>
              <w:jc w:val="center"/>
            </w:pPr>
            <w:r>
              <w:rPr>
                <w:sz w:val="20"/>
              </w:rPr>
              <w:t>268.37</w:t>
            </w:r>
          </w:p>
        </w:tc>
        <w:tc>
          <w:tcPr>
            <w:tcW w:type="dxa" w:w="1800"/>
            <w:tcBorders>
              <w:top w:val="single" w:sz="6" w:space="0" w:color="000000"/>
              <w:bottom w:val="single" w:sz="6" w:space="0" w:color="000000"/>
              <w:left w:val="none"/>
              <w:right w:val="none"/>
            </w:tcBorders>
          </w:tcPr>
          <w:p>
            <w:pPr>
              <w:jc w:val="center"/>
            </w:pPr>
            <w:r>
              <w:rPr>
                <w:sz w:val="20"/>
              </w:rPr>
              <w:t>1,048.87</w:t>
            </w:r>
          </w:p>
        </w:tc>
        <w:tc>
          <w:tcPr>
            <w:tcW w:type="dxa" w:w="1800"/>
            <w:tcBorders>
              <w:top w:val="single" w:sz="6" w:space="0" w:color="000000"/>
              <w:bottom w:val="single" w:sz="6" w:space="0" w:color="000000"/>
              <w:left w:val="none"/>
              <w:right w:val="none"/>
            </w:tcBorders>
          </w:tcPr>
          <w:p>
            <w:pPr>
              <w:jc w:val="center"/>
            </w:pPr>
            <w:r>
              <w:rPr>
                <w:sz w:val="20"/>
              </w:rPr>
              <w:t>185.66</w:t>
            </w:r>
          </w:p>
        </w:tc>
        <w:tc>
          <w:tcPr>
            <w:tcW w:type="dxa" w:w="1800"/>
            <w:tcBorders>
              <w:top w:val="single" w:sz="6" w:space="0" w:color="000000"/>
              <w:bottom w:val="single" w:sz="6" w:space="0" w:color="000000"/>
              <w:left w:val="none"/>
              <w:right w:val="none"/>
            </w:tcBorders>
          </w:tcPr>
          <w:p>
            <w:pPr>
              <w:jc w:val="center"/>
            </w:pPr>
            <w:r>
              <w:rPr>
                <w:b/>
                <w:sz w:val="20"/>
              </w:rPr>
              <w:t>644.30</w:t>
            </w:r>
          </w:p>
        </w:tc>
      </w:tr>
      <w:tr>
        <w:tc>
          <w:tcPr>
            <w:tcW w:type="dxa" w:w="1800"/>
            <w:tcBorders>
              <w:top w:val="single" w:sz="6" w:space="0" w:color="000000"/>
              <w:bottom w:val="single" w:sz="6" w:space="0" w:color="000000"/>
              <w:left w:val="none"/>
              <w:right w:val="none"/>
            </w:tcBorders>
          </w:tcPr>
          <w:p>
            <w:pPr>
              <w:jc w:val="left"/>
            </w:pPr>
            <w:r>
              <w:rPr>
                <w:sz w:val="20"/>
              </w:rPr>
              <w:t>Mean Temp Dev (°C)</w:t>
            </w:r>
          </w:p>
        </w:tc>
        <w:tc>
          <w:tcPr>
            <w:tcW w:type="dxa" w:w="1800"/>
            <w:tcBorders>
              <w:top w:val="single" w:sz="6" w:space="0" w:color="000000"/>
              <w:bottom w:val="single" w:sz="6" w:space="0" w:color="000000"/>
              <w:left w:val="none"/>
              <w:right w:val="none"/>
            </w:tcBorders>
          </w:tcPr>
          <w:p>
            <w:pPr>
              <w:jc w:val="center"/>
            </w:pPr>
            <w:r>
              <w:rPr>
                <w:sz w:val="20"/>
              </w:rPr>
              <w:t>3.33 °C</w:t>
            </w:r>
          </w:p>
        </w:tc>
        <w:tc>
          <w:tcPr>
            <w:tcW w:type="dxa" w:w="1800"/>
            <w:tcBorders>
              <w:top w:val="single" w:sz="6" w:space="0" w:color="000000"/>
              <w:bottom w:val="single" w:sz="6" w:space="0" w:color="000000"/>
              <w:left w:val="none"/>
              <w:right w:val="none"/>
            </w:tcBorders>
          </w:tcPr>
          <w:p>
            <w:pPr>
              <w:jc w:val="center"/>
            </w:pPr>
            <w:r>
              <w:rPr>
                <w:sz w:val="20"/>
              </w:rPr>
              <w:t>9.21 °C</w:t>
            </w:r>
          </w:p>
        </w:tc>
        <w:tc>
          <w:tcPr>
            <w:tcW w:type="dxa" w:w="1800"/>
            <w:tcBorders>
              <w:top w:val="single" w:sz="6" w:space="0" w:color="000000"/>
              <w:bottom w:val="single" w:sz="6" w:space="0" w:color="000000"/>
              <w:left w:val="none"/>
              <w:right w:val="none"/>
            </w:tcBorders>
          </w:tcPr>
          <w:p>
            <w:pPr>
              <w:jc w:val="center"/>
            </w:pPr>
            <w:r>
              <w:rPr>
                <w:sz w:val="20"/>
              </w:rPr>
              <w:t>2.71 °C</w:t>
            </w:r>
          </w:p>
        </w:tc>
        <w:tc>
          <w:tcPr>
            <w:tcW w:type="dxa" w:w="1800"/>
            <w:tcBorders>
              <w:top w:val="single" w:sz="6" w:space="0" w:color="000000"/>
              <w:bottom w:val="single" w:sz="6" w:space="0" w:color="000000"/>
              <w:left w:val="none"/>
              <w:right w:val="none"/>
            </w:tcBorders>
          </w:tcPr>
          <w:p>
            <w:pPr>
              <w:jc w:val="center"/>
            </w:pPr>
            <w:r>
              <w:rPr>
                <w:b/>
                <w:sz w:val="20"/>
              </w:rPr>
              <w:t>6.16 °C</w:t>
            </w:r>
          </w:p>
        </w:tc>
      </w:tr>
      <w:tr>
        <w:tc>
          <w:tcPr>
            <w:tcW w:type="dxa" w:w="1800"/>
            <w:tcBorders>
              <w:top w:val="single" w:sz="6" w:space="0" w:color="000000"/>
              <w:bottom w:val="single" w:sz="6" w:space="0" w:color="000000"/>
              <w:left w:val="none"/>
              <w:right w:val="none"/>
            </w:tcBorders>
          </w:tcPr>
          <w:p>
            <w:pPr>
              <w:jc w:val="left"/>
            </w:pPr>
            <w:r>
              <w:rPr>
                <w:sz w:val="20"/>
              </w:rPr>
              <w:t>Solar Self-Cons. (%)</w:t>
            </w:r>
          </w:p>
        </w:tc>
        <w:tc>
          <w:tcPr>
            <w:tcW w:type="dxa" w:w="1800"/>
            <w:tcBorders>
              <w:top w:val="single" w:sz="6" w:space="0" w:color="000000"/>
              <w:bottom w:val="single" w:sz="6" w:space="0" w:color="000000"/>
              <w:left w:val="none"/>
              <w:right w:val="none"/>
            </w:tcBorders>
          </w:tcPr>
          <w:p>
            <w:pPr>
              <w:jc w:val="center"/>
            </w:pPr>
            <w:r>
              <w:rPr>
                <w:sz w:val="20"/>
              </w:rPr>
              <w:t>97.6%</w:t>
            </w:r>
          </w:p>
        </w:tc>
        <w:tc>
          <w:tcPr>
            <w:tcW w:type="dxa" w:w="1800"/>
            <w:tcBorders>
              <w:top w:val="single" w:sz="6" w:space="0" w:color="000000"/>
              <w:bottom w:val="single" w:sz="6" w:space="0" w:color="000000"/>
              <w:left w:val="none"/>
              <w:right w:val="none"/>
            </w:tcBorders>
          </w:tcPr>
          <w:p>
            <w:pPr>
              <w:jc w:val="center"/>
            </w:pPr>
            <w:r>
              <w:rPr>
                <w:sz w:val="20"/>
              </w:rPr>
              <w:t>91.4%</w:t>
            </w:r>
          </w:p>
        </w:tc>
        <w:tc>
          <w:tcPr>
            <w:tcW w:type="dxa" w:w="1800"/>
            <w:tcBorders>
              <w:top w:val="single" w:sz="6" w:space="0" w:color="000000"/>
              <w:bottom w:val="single" w:sz="6" w:space="0" w:color="000000"/>
              <w:left w:val="none"/>
              <w:right w:val="none"/>
            </w:tcBorders>
          </w:tcPr>
          <w:p>
            <w:pPr>
              <w:jc w:val="center"/>
            </w:pPr>
            <w:r>
              <w:rPr>
                <w:sz w:val="20"/>
              </w:rPr>
              <w:t>97.0%</w:t>
            </w:r>
          </w:p>
        </w:tc>
        <w:tc>
          <w:tcPr>
            <w:tcW w:type="dxa" w:w="1800"/>
            <w:tcBorders>
              <w:top w:val="single" w:sz="6" w:space="0" w:color="000000"/>
              <w:bottom w:val="single" w:sz="6" w:space="0" w:color="000000"/>
              <w:left w:val="none"/>
              <w:right w:val="none"/>
            </w:tcBorders>
          </w:tcPr>
          <w:p>
            <w:pPr>
              <w:jc w:val="center"/>
            </w:pPr>
            <w:r>
              <w:rPr>
                <w:b/>
                <w:sz w:val="20"/>
              </w:rPr>
              <w:t>92.2%</w:t>
            </w:r>
          </w:p>
        </w:tc>
      </w:tr>
      <w:tr>
        <w:tc>
          <w:tcPr>
            <w:tcW w:type="dxa" w:w="1800"/>
            <w:tcBorders>
              <w:top w:val="single" w:sz="6" w:space="0" w:color="000000"/>
              <w:bottom w:val="single" w:sz="6" w:space="0" w:color="000000"/>
              <w:left w:val="none"/>
              <w:right w:val="none"/>
            </w:tcBorders>
          </w:tcPr>
          <w:p/>
        </w:tc>
        <w:tc>
          <w:tcPr>
            <w:tcW w:type="dxa" w:w="1800"/>
            <w:tcBorders>
              <w:top w:val="single" w:sz="6" w:space="0" w:color="000000"/>
              <w:bottom w:val="single" w:sz="6" w:space="0" w:color="000000"/>
              <w:left w:val="none"/>
              <w:right w:val="none"/>
            </w:tcBorders>
          </w:tcPr>
          <w:p/>
        </w:tc>
        <w:tc>
          <w:tcPr>
            <w:tcW w:type="dxa" w:w="1800"/>
            <w:tcBorders>
              <w:top w:val="single" w:sz="6" w:space="0" w:color="000000"/>
              <w:bottom w:val="single" w:sz="6" w:space="0" w:color="000000"/>
              <w:left w:val="none"/>
              <w:right w:val="none"/>
            </w:tcBorders>
          </w:tcPr>
          <w:p/>
        </w:tc>
        <w:tc>
          <w:tcPr>
            <w:tcW w:type="dxa" w:w="1800"/>
            <w:tcBorders>
              <w:top w:val="single" w:sz="6" w:space="0" w:color="000000"/>
              <w:bottom w:val="single" w:sz="6" w:space="0" w:color="000000"/>
              <w:left w:val="none"/>
              <w:right w:val="none"/>
            </w:tcBorders>
          </w:tcPr>
          <w:p/>
        </w:tc>
        <w:tc>
          <w:tcPr>
            <w:tcW w:type="dxa" w:w="1800"/>
            <w:tcBorders>
              <w:top w:val="single" w:sz="6" w:space="0" w:color="000000"/>
              <w:bottom w:val="single" w:sz="6" w:space="0" w:color="000000"/>
              <w:left w:val="none"/>
              <w:right w:val="none"/>
            </w:tcBorders>
          </w:tcPr>
          <w:p/>
        </w:tc>
      </w:tr>
    </w:tbl>
    <w:p>
      <w:pPr>
        <w:spacing w:before="0" w:after="120" w:line="276" w:lineRule="auto"/>
        <w:jc w:val="both"/>
      </w:pPr>
      <w:r>
        <w:rPr>
          <w:rFonts w:ascii="Times New Roman" w:hAnsi="Times New Roman"/>
          <w:i w:val="0"/>
          <w:sz w:val="24"/>
        </w:rPr>
        <w:t>Discussion of Key Findings:</w:t>
      </w:r>
    </w:p>
    <w:p>
      <w:pPr>
        <w:spacing w:before="0" w:after="120" w:line="276" w:lineRule="auto"/>
        <w:jc w:val="both"/>
      </w:pPr>
      <w:r>
        <w:rPr>
          <w:rFonts w:ascii="Times New Roman" w:hAnsi="Times New Roman"/>
          <w:i w:val="0"/>
          <w:sz w:val="24"/>
        </w:rPr>
        <w:t>• PPO achieved the best economic efficiency, reducing operational electricity costs by 29.77% and shaving peak demand by 43.49% (from 115.20 kW down to 65.09 kW).</w:t>
      </w:r>
    </w:p>
    <w:p>
      <w:pPr>
        <w:spacing w:before="0" w:after="120" w:line="276" w:lineRule="auto"/>
        <w:jc w:val="both"/>
      </w:pPr>
      <w:r>
        <w:rPr>
          <w:rFonts w:ascii="Times New Roman" w:hAnsi="Times New Roman"/>
          <w:i w:val="0"/>
          <w:sz w:val="24"/>
        </w:rPr>
        <w:t>• Emergent Pre-Cooling Policy: The agent discovered thermal pre-cooling—chilling the building during cheap off-peak morning hours ($0.08/kWh) and coasting through on-peak afternoon hours ($0.38/kWh).</w:t>
      </w:r>
    </w:p>
    <w:p>
      <w:pPr>
        <w:spacing w:before="0" w:after="120" w:line="276" w:lineRule="auto"/>
        <w:jc w:val="both"/>
      </w:pPr>
      <w:r>
        <w:rPr>
          <w:rFonts w:ascii="Times New Roman" w:hAnsi="Times New Roman"/>
          <w:i w:val="0"/>
          <w:sz w:val="24"/>
        </w:rPr>
        <w:t>• DDPG delivered the highest thermal comfort regulation (185.66 °C·h discomfort), but consumed more energy to maintain strict temperatures.</w:t>
      </w:r>
    </w:p>
    <w:p>
      <w:pPr>
        <w:spacing w:before="0" w:after="120" w:line="276" w:lineRule="auto"/>
        <w:jc w:val="both"/>
      </w:pPr>
      <w:r>
        <w:rPr>
          <w:rFonts w:ascii="Times New Roman" w:hAnsi="Times New Roman"/>
          <w:i w:val="0"/>
          <w:sz w:val="24"/>
        </w:rPr>
        <w:t>• DQN was hindered by coarse discrete action steps, resulting in higher comfort violations and proving the superiority of continuous Actor-Critic control for building thermal systems.</w:t>
      </w:r>
    </w:p>
    <w:p>
      <w:r>
        <w:br w:type="page"/>
      </w:r>
    </w:p>
    <w:p>
      <w:pPr>
        <w:spacing w:before="360" w:after="280"/>
        <w:jc w:val="center"/>
      </w:pPr>
      <w:r>
        <w:rPr>
          <w:rFonts w:ascii="Times New Roman" w:hAnsi="Times New Roman"/>
          <w:b/>
          <w:sz w:val="32"/>
        </w:rPr>
        <w:t>8. CONCLUSION AND FUTURE SCOPE</w:t>
      </w:r>
    </w:p>
    <w:p>
      <w:pPr>
        <w:spacing w:before="0" w:after="120" w:line="276" w:lineRule="auto"/>
        <w:jc w:val="both"/>
      </w:pPr>
      <w:r>
        <w:rPr>
          <w:rFonts w:ascii="Times New Roman" w:hAnsi="Times New Roman"/>
          <w:i w:val="0"/>
          <w:sz w:val="24"/>
        </w:rPr>
        <w:t>Conclusion:</w:t>
      </w:r>
    </w:p>
    <w:p>
      <w:pPr>
        <w:spacing w:before="0" w:after="120" w:line="276" w:lineRule="auto"/>
        <w:jc w:val="both"/>
      </w:pPr>
      <w:r>
        <w:rPr>
          <w:rFonts w:ascii="Times New Roman" w:hAnsi="Times New Roman"/>
          <w:i w:val="0"/>
          <w:sz w:val="24"/>
        </w:rPr>
        <w:t>This project successfully designed, implemented, and benchmarked an autonomous Reinforcement Learning supervisory framework for intelligent energy management in smart buildings. By modeling building envelope thermal dynamics, battery storage systems, daylighting, and flexible load deadlines within a standardized Gymnasium environment, the RL agents were evaluated under realistic Time-of-Use tariffs and weather extremes.</w:t>
      </w:r>
    </w:p>
    <w:p>
      <w:pPr>
        <w:spacing w:before="0" w:after="120" w:line="276" w:lineRule="auto"/>
        <w:jc w:val="both"/>
      </w:pPr>
      <w:r>
        <w:rPr>
          <w:rFonts w:ascii="Times New Roman" w:hAnsi="Times New Roman"/>
          <w:i w:val="0"/>
          <w:sz w:val="24"/>
        </w:rPr>
        <w:t>All measurable objectives were achieved: (1) Proximal Policy Optimization (PPO) delivered 29.77% operational cost savings and cut peak grid demand by 43.49%, significantly reducing commercial demand surcharge risks; (2) DDPG established that continuous policy gradients provide superior thermal comfort tracking (2.705°C average deviation); and (3) The integrated Streamlit dashboard provides transparent, interactive visual monitoring and what-if simulation capabilities for facility operators.</w:t>
      </w:r>
    </w:p>
    <w:p>
      <w:pPr>
        <w:spacing w:before="0" w:after="120" w:line="276" w:lineRule="auto"/>
        <w:jc w:val="both"/>
      </w:pPr>
      <w:r>
        <w:rPr>
          <w:rFonts w:ascii="Times New Roman" w:hAnsi="Times New Roman"/>
          <w:i w:val="0"/>
          <w:sz w:val="24"/>
        </w:rPr>
        <w:t>Future Scope:</w:t>
      </w:r>
    </w:p>
    <w:p>
      <w:pPr>
        <w:spacing w:before="0" w:after="120" w:line="276" w:lineRule="auto"/>
        <w:jc w:val="both"/>
      </w:pPr>
      <w:r>
        <w:rPr>
          <w:rFonts w:ascii="Times New Roman" w:hAnsi="Times New Roman"/>
          <w:i w:val="0"/>
          <w:sz w:val="24"/>
        </w:rPr>
        <w:t>• Multi-Agent Decentralized Control (MARL): Scaling the architecture to multi-zone commercial office towers where each floor or tenant has an independent RL agent.</w:t>
      </w:r>
    </w:p>
    <w:p>
      <w:pPr>
        <w:spacing w:before="0" w:after="120" w:line="276" w:lineRule="auto"/>
        <w:jc w:val="both"/>
      </w:pPr>
      <w:r>
        <w:rPr>
          <w:rFonts w:ascii="Times New Roman" w:hAnsi="Times New Roman"/>
          <w:i w:val="0"/>
          <w:sz w:val="24"/>
        </w:rPr>
        <w:t>• Sim-to-Real Transfer &amp; Safety Constraints: Implementing Constrained Policy Optimization (CPO) with hard safety layer filter overrides to guarantee physical actuator bounds.</w:t>
      </w:r>
    </w:p>
    <w:p>
      <w:pPr>
        <w:spacing w:before="0" w:after="120" w:line="276" w:lineRule="auto"/>
        <w:jc w:val="both"/>
      </w:pPr>
      <w:r>
        <w:rPr>
          <w:rFonts w:ascii="Times New Roman" w:hAnsi="Times New Roman"/>
          <w:i w:val="0"/>
          <w:sz w:val="24"/>
        </w:rPr>
        <w:t>• Weather &amp; Occupancy Forecasting: Integrating Transformer-based temporal models to provide 6-hour lookahead weather and occupancy predictions to the agent.</w:t>
      </w:r>
    </w:p>
    <w:p>
      <w:pPr>
        <w:spacing w:before="0" w:after="120" w:line="276" w:lineRule="auto"/>
        <w:jc w:val="both"/>
      </w:pPr>
      <w:r>
        <w:rPr>
          <w:rFonts w:ascii="Times New Roman" w:hAnsi="Times New Roman"/>
          <w:i w:val="0"/>
          <w:sz w:val="24"/>
        </w:rPr>
        <w:t>• V2G (Vehicle-to-Grid) Integration: Incorporating bidirectional electric vehicle fleet charging and discharging into the building microgrid network.</w:t>
      </w:r>
    </w:p>
    <w:p>
      <w:r>
        <w:br w:type="page"/>
      </w:r>
    </w:p>
    <w:p>
      <w:pPr>
        <w:spacing w:before="360" w:after="280"/>
        <w:jc w:val="center"/>
      </w:pPr>
      <w:r>
        <w:rPr>
          <w:rFonts w:ascii="Times New Roman" w:hAnsi="Times New Roman"/>
          <w:b/>
          <w:sz w:val="32"/>
        </w:rPr>
        <w:t>9. REFERENCES</w:t>
      </w:r>
    </w:p>
    <w:p>
      <w:pPr>
        <w:spacing w:before="0" w:after="120" w:line="276" w:lineRule="auto"/>
        <w:jc w:val="both"/>
      </w:pPr>
      <w:r>
        <w:rPr>
          <w:rFonts w:ascii="Times New Roman" w:hAnsi="Times New Roman"/>
          <w:i w:val="0"/>
          <w:sz w:val="24"/>
        </w:rPr>
        <w:t>1. Miller, C., et al., "The Building Data Genome Project 2: A database of 3,053 energy meters from 1,636 buildings," Scientific Data, vol. 7, no. 1, pp. 1–14, 2020. URL: https://github.com/buds-lab/building-data-genome-project-2</w:t>
      </w:r>
    </w:p>
    <w:p>
      <w:pPr>
        <w:spacing w:before="0" w:after="120" w:line="276" w:lineRule="auto"/>
        <w:jc w:val="both"/>
      </w:pPr>
      <w:r>
        <w:rPr>
          <w:rFonts w:ascii="Times New Roman" w:hAnsi="Times New Roman"/>
          <w:i w:val="0"/>
          <w:sz w:val="24"/>
        </w:rPr>
        <w:t>2. Vázquez-Canteli, J. R., et al., "CityLearn: A benchmark for demand response with deep reinforcement learning," in Proc. 7th ACM Int. Conf. on Systems for Energy-Efficient Buildings, Cities, and Transportation (BuildSys), 2020, pp. 314–317. URL: https://www.citylearn.net/</w:t>
      </w:r>
    </w:p>
    <w:p>
      <w:pPr>
        <w:spacing w:before="0" w:after="120" w:line="276" w:lineRule="auto"/>
        <w:jc w:val="both"/>
      </w:pPr>
      <w:r>
        <w:rPr>
          <w:rFonts w:ascii="Times New Roman" w:hAnsi="Times New Roman"/>
          <w:i w:val="0"/>
          <w:sz w:val="24"/>
        </w:rPr>
        <w:t>3. Blum, D., et al., "Prototyping the BOPTEST framework for building operations testing," in Building Simulation Conference Proceedings, 2021, pp. 2487–2494. URL: https://github.com/ibpsa/project1-boptest</w:t>
      </w:r>
    </w:p>
    <w:p>
      <w:pPr>
        <w:spacing w:before="0" w:after="120" w:line="276" w:lineRule="auto"/>
        <w:jc w:val="both"/>
      </w:pPr>
      <w:r>
        <w:rPr>
          <w:rFonts w:ascii="Times New Roman" w:hAnsi="Times New Roman"/>
          <w:i w:val="0"/>
          <w:sz w:val="24"/>
        </w:rPr>
        <w:t>4. Schulman, J., Wolski, F., Dhariwal, P., Radford, A., &amp; Klimov, O., "Proximal Policy Optimization Algorithms," arXiv preprint arXiv:1707.06347, 2017. URL: https://arxiv.org/abs/1707.06347</w:t>
      </w:r>
    </w:p>
    <w:p>
      <w:pPr>
        <w:spacing w:before="0" w:after="120" w:line="276" w:lineRule="auto"/>
        <w:jc w:val="both"/>
      </w:pPr>
      <w:r>
        <w:rPr>
          <w:rFonts w:ascii="Times New Roman" w:hAnsi="Times New Roman"/>
          <w:i w:val="0"/>
          <w:sz w:val="24"/>
        </w:rPr>
        <w:t>5. Lillicrap, T. P., et al., "Continuous control with deep reinforcement learning," in International Conference on Learning Representations (ICLR), 2016. URL: https://arxiv.org/abs/1509.02971</w:t>
      </w:r>
    </w:p>
    <w:p>
      <w:pPr>
        <w:spacing w:before="0" w:after="120" w:line="276" w:lineRule="auto"/>
        <w:jc w:val="both"/>
      </w:pPr>
      <w:r>
        <w:rPr>
          <w:rFonts w:ascii="Times New Roman" w:hAnsi="Times New Roman"/>
          <w:i w:val="0"/>
          <w:sz w:val="24"/>
        </w:rPr>
        <w:t>6. Mnih, V., et al., "Human-level control through deep reinforcement learning," Nature, vol. 518, no. 7540, pp. 529–533, 2015. URL: https://doi.org/10.1038/nature14236</w:t>
      </w:r>
    </w:p>
    <w:p>
      <w:pPr>
        <w:spacing w:before="0" w:after="120" w:line="276" w:lineRule="auto"/>
        <w:jc w:val="both"/>
      </w:pPr>
      <w:r>
        <w:rPr>
          <w:rFonts w:ascii="Times New Roman" w:hAnsi="Times New Roman"/>
          <w:i w:val="0"/>
          <w:sz w:val="24"/>
        </w:rPr>
        <w:t>7. Farama Foundation, "Gymnasium: A standard interface for reinforcement learning environments," 2023. URL: https://gymnasium.farama.org/</w:t>
      </w:r>
    </w:p>
    <w:p>
      <w:pPr>
        <w:spacing w:before="0" w:after="120" w:line="276" w:lineRule="auto"/>
        <w:jc w:val="both"/>
      </w:pPr>
      <w:r>
        <w:rPr>
          <w:rFonts w:ascii="Times New Roman" w:hAnsi="Times New Roman"/>
          <w:i w:val="0"/>
          <w:sz w:val="24"/>
        </w:rPr>
        <w:t>8. Paszke, A., et al., "PyTorch: An Imperative Style, High-Performance Deep Learning Library," in Advances in Neural Information Processing Systems (NeurIPS), 2019, pp. 8024–8035. URL: https://pytorch.org/</w:t>
      </w:r>
    </w:p>
    <w:p>
      <w:pPr>
        <w:spacing w:before="0" w:after="120" w:line="276" w:lineRule="auto"/>
        <w:jc w:val="both"/>
      </w:pPr>
      <w:r>
        <w:rPr>
          <w:rFonts w:ascii="Times New Roman" w:hAnsi="Times New Roman"/>
          <w:i w:val="0"/>
          <w:sz w:val="24"/>
        </w:rPr>
        <w:t>9. Streamlit Inc., "Streamlit: The fastest way to build and share data apps," 2024. URL: https://docs.streamlit.io/</w:t>
      </w:r>
    </w:p>
    <w:p>
      <w:pPr>
        <w:spacing w:before="0" w:after="120" w:line="276" w:lineRule="auto"/>
        <w:jc w:val="both"/>
      </w:pPr>
      <w:r>
        <w:rPr>
          <w:rFonts w:ascii="Times New Roman" w:hAnsi="Times New Roman"/>
          <w:i w:val="0"/>
          <w:sz w:val="24"/>
        </w:rPr>
        <w:t>10. ASHRAE, "Standard 55-2020: Thermal Environmental Conditions for Human Occupancy," American Society of Heating, Refrigerating and Air-Conditioning Engineers, Atlanta, GA, 2020. URL: https://www.ashrae.org/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