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1876" w14:textId="66D906FF" w:rsidR="00C530CE" w:rsidRPr="001A343C" w:rsidRDefault="001A343C" w:rsidP="001A343C">
      <w:pPr>
        <w:rPr>
          <w:sz w:val="22"/>
          <w:szCs w:val="22"/>
        </w:rPr>
      </w:pPr>
      <w:r w:rsidRPr="001A343C">
        <w:rPr>
          <w:sz w:val="22"/>
          <w:szCs w:val="22"/>
        </w:rPr>
        <w:t>Charan Singh</w:t>
      </w:r>
    </w:p>
    <w:p w14:paraId="395F1358" w14:textId="77777777" w:rsidR="001A343C" w:rsidRPr="001A343C" w:rsidRDefault="001A343C" w:rsidP="001A343C">
      <w:pPr>
        <w:jc w:val="both"/>
        <w:rPr>
          <w:sz w:val="20"/>
          <w:szCs w:val="20"/>
        </w:rPr>
      </w:pPr>
      <w:r w:rsidRPr="001A343C">
        <w:rPr>
          <w:sz w:val="22"/>
          <w:szCs w:val="22"/>
        </w:rPr>
        <w:t>23160929</w:t>
      </w:r>
    </w:p>
    <w:p w14:paraId="66EFB318" w14:textId="0DD9EFE7" w:rsidR="001A343C" w:rsidRPr="005267D4" w:rsidRDefault="001A343C" w:rsidP="001A343C">
      <w:pPr>
        <w:jc w:val="center"/>
        <w:rPr>
          <w:b/>
          <w:bCs/>
          <w:sz w:val="28"/>
          <w:szCs w:val="28"/>
        </w:rPr>
      </w:pPr>
      <w:r w:rsidRPr="005267D4">
        <w:rPr>
          <w:b/>
          <w:bCs/>
          <w:sz w:val="28"/>
          <w:szCs w:val="28"/>
        </w:rPr>
        <w:t>System Security Attacks and Defences</w:t>
      </w:r>
    </w:p>
    <w:p w14:paraId="690E4900" w14:textId="77777777" w:rsidR="00AE23C3" w:rsidRDefault="00AE23C3" w:rsidP="001A343C">
      <w:pPr>
        <w:rPr>
          <w:sz w:val="28"/>
          <w:szCs w:val="28"/>
        </w:rPr>
      </w:pPr>
    </w:p>
    <w:p w14:paraId="444BF55B" w14:textId="486BC26A" w:rsidR="001A343C" w:rsidRPr="005860AB" w:rsidRDefault="001A343C" w:rsidP="001A343C">
      <w:r w:rsidRPr="005860AB">
        <w:t>Introduction:</w:t>
      </w:r>
    </w:p>
    <w:p w14:paraId="4067C5CA" w14:textId="302D2F60" w:rsidR="007347F7" w:rsidRPr="007347F7" w:rsidRDefault="007347F7" w:rsidP="007347F7">
      <w:pPr>
        <w:rPr>
          <w:sz w:val="22"/>
          <w:szCs w:val="22"/>
        </w:rPr>
      </w:pPr>
      <w:r w:rsidRPr="007347F7">
        <w:rPr>
          <w:sz w:val="22"/>
          <w:szCs w:val="22"/>
        </w:rPr>
        <w:t xml:space="preserve">This report is written from the perspective of an IT security team tasked with assessing the security of an organisation’s network. The assessment involves using industry-standard tools, such as Nmap and OpenVAS, to scan an intentionally vulnerable system, Metasploitable 2. Kali Linux is used as the attack platform to simulate real-world attack techniques commonly used during reconnaissance and vulnerability discovery phases of cyberattacks </w:t>
      </w:r>
      <w:r w:rsidR="00910795" w:rsidRPr="00910795">
        <w:rPr>
          <w:sz w:val="22"/>
          <w:szCs w:val="22"/>
        </w:rPr>
        <w:t>(Scarfone and Mell, 2009; Greenbone, 2023).</w:t>
      </w:r>
      <w:r w:rsidR="00910795" w:rsidRPr="007347F7">
        <w:rPr>
          <w:sz w:val="22"/>
          <w:szCs w:val="22"/>
        </w:rPr>
        <w:t xml:space="preserve"> Through</w:t>
      </w:r>
      <w:r w:rsidRPr="007347F7">
        <w:rPr>
          <w:sz w:val="22"/>
          <w:szCs w:val="22"/>
        </w:rPr>
        <w:t xml:space="preserve"> this process, vulnerabilities are identified and analysed to demonstrate how attackers might take advantage of them, along with the potential consequences for the organisation.</w:t>
      </w:r>
    </w:p>
    <w:p w14:paraId="1D6C0B5F" w14:textId="3AD55115" w:rsidR="0046660F" w:rsidRDefault="007347F7" w:rsidP="006D625A">
      <w:pPr>
        <w:rPr>
          <w:sz w:val="22"/>
          <w:szCs w:val="22"/>
        </w:rPr>
      </w:pPr>
      <w:r w:rsidRPr="007347F7">
        <w:rPr>
          <w:sz w:val="22"/>
          <w:szCs w:val="22"/>
        </w:rPr>
        <w:t>In addition to analysing the identified vulnerabilities, this report explores possible cyberattacks and outlines mitigation strategies to reduce their impact. Finally, a security framework is proposed that draws on the CIS Critical Security Controls and the NIST Cybersecurity Framework, providing a structured and best</w:t>
      </w:r>
      <w:r w:rsidR="00E831C7">
        <w:rPr>
          <w:sz w:val="22"/>
          <w:szCs w:val="22"/>
        </w:rPr>
        <w:t xml:space="preserve"> </w:t>
      </w:r>
      <w:r w:rsidRPr="007347F7">
        <w:rPr>
          <w:sz w:val="22"/>
          <w:szCs w:val="22"/>
        </w:rPr>
        <w:t>practice approach to improving the organisation’s overall security posture and resilience against cyber threats (NIST, 2018; CIS, 2021).</w:t>
      </w:r>
    </w:p>
    <w:p w14:paraId="684DE184" w14:textId="77777777" w:rsidR="00B017CE" w:rsidRDefault="00B017CE" w:rsidP="006D625A">
      <w:pPr>
        <w:rPr>
          <w:sz w:val="22"/>
          <w:szCs w:val="22"/>
        </w:rPr>
      </w:pPr>
    </w:p>
    <w:p w14:paraId="6E3716BA" w14:textId="3C701762" w:rsidR="00EB5626" w:rsidRPr="00217613" w:rsidRDefault="0046660F" w:rsidP="00EB5626">
      <w:pPr>
        <w:rPr>
          <w:b/>
          <w:bCs/>
        </w:rPr>
      </w:pPr>
      <w:r w:rsidRPr="00217613">
        <w:rPr>
          <w:b/>
          <w:bCs/>
        </w:rPr>
        <w:t>TASK 1: Identify Vulnerabilities of the Network</w:t>
      </w:r>
    </w:p>
    <w:p w14:paraId="3C04FF83" w14:textId="627EEDF7" w:rsidR="00EB5626" w:rsidRPr="006F09C0" w:rsidRDefault="00EB5626" w:rsidP="00EB5626">
      <w:pPr>
        <w:rPr>
          <w:b/>
          <w:bCs/>
          <w:sz w:val="22"/>
          <w:szCs w:val="22"/>
          <w:u w:val="single"/>
        </w:rPr>
      </w:pPr>
      <w:r w:rsidRPr="006F09C0">
        <w:rPr>
          <w:b/>
          <w:bCs/>
          <w:sz w:val="22"/>
          <w:szCs w:val="22"/>
          <w:u w:val="single"/>
        </w:rPr>
        <w:t>Port Scanning</w:t>
      </w:r>
    </w:p>
    <w:p w14:paraId="5A89060D" w14:textId="22083527" w:rsidR="00EB5626" w:rsidRPr="00EB5626" w:rsidRDefault="00EB5626" w:rsidP="00EB5626">
      <w:pPr>
        <w:rPr>
          <w:sz w:val="22"/>
          <w:szCs w:val="22"/>
        </w:rPr>
      </w:pPr>
      <w:r w:rsidRPr="00EB5626">
        <w:rPr>
          <w:sz w:val="22"/>
          <w:szCs w:val="22"/>
        </w:rPr>
        <w:t>Port scanning was undertaken to identify open ports and exposed network services on the target virtual machine. This activity forms a key part of the reconnaissance phase of a cyberattack, as it allows an attacker to discover potential entry points that could be exploited. The assessment was conducted using Kali Linux as the attacking platform, with Nmap selected as the primary port scanning tool due to its reliability, flexibility, and widespread use within professional cybersecurity assessments.</w:t>
      </w:r>
    </w:p>
    <w:p w14:paraId="3A14495D" w14:textId="5C3F6AEF" w:rsidR="004216AF" w:rsidRPr="00EB5626" w:rsidRDefault="00EB5626" w:rsidP="00EB5626">
      <w:pPr>
        <w:rPr>
          <w:sz w:val="22"/>
          <w:szCs w:val="22"/>
        </w:rPr>
      </w:pPr>
      <w:r w:rsidRPr="00EB5626">
        <w:rPr>
          <w:sz w:val="22"/>
          <w:szCs w:val="22"/>
        </w:rPr>
        <w:t>Prior to initiating the port scanning process, the availability of the target system was verified to ensure it was reachable over the network. This was achieved using the Internet Control Message Protocol (ICMP) echo request command:</w:t>
      </w:r>
    </w:p>
    <w:p w14:paraId="5AB6FA4D" w14:textId="43B1AC3E" w:rsidR="00955744" w:rsidRDefault="000C7388">
      <w:pPr>
        <w:rPr>
          <w:sz w:val="22"/>
          <w:szCs w:val="22"/>
        </w:rPr>
      </w:pPr>
      <w:r w:rsidRPr="00D82321">
        <w:rPr>
          <w:noProof/>
          <w:sz w:val="22"/>
          <w:szCs w:val="22"/>
        </w:rPr>
        <w:lastRenderedPageBreak/>
        <w:drawing>
          <wp:anchor distT="0" distB="0" distL="114300" distR="114300" simplePos="0" relativeHeight="251679744" behindDoc="0" locked="0" layoutInCell="1" allowOverlap="1" wp14:anchorId="48F56F46" wp14:editId="24CD7B64">
            <wp:simplePos x="0" y="0"/>
            <wp:positionH relativeFrom="margin">
              <wp:align>right</wp:align>
            </wp:positionH>
            <wp:positionV relativeFrom="paragraph">
              <wp:posOffset>2801620</wp:posOffset>
            </wp:positionV>
            <wp:extent cx="5731510" cy="1240790"/>
            <wp:effectExtent l="0" t="0" r="2540" b="0"/>
            <wp:wrapSquare wrapText="bothSides"/>
            <wp:docPr id="4199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512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240790"/>
                    </a:xfrm>
                    <a:prstGeom prst="rect">
                      <a:avLst/>
                    </a:prstGeom>
                  </pic:spPr>
                </pic:pic>
              </a:graphicData>
            </a:graphic>
            <wp14:sizeRelH relativeFrom="page">
              <wp14:pctWidth>0</wp14:pctWidth>
            </wp14:sizeRelH>
            <wp14:sizeRelV relativeFrom="page">
              <wp14:pctHeight>0</wp14:pctHeight>
            </wp14:sizeRelV>
          </wp:anchor>
        </w:drawing>
      </w:r>
      <w:r w:rsidR="00FA59C4" w:rsidRPr="00FA59C4">
        <w:rPr>
          <w:noProof/>
          <w:sz w:val="22"/>
          <w:szCs w:val="22"/>
        </w:rPr>
        <w:drawing>
          <wp:inline distT="0" distB="0" distL="0" distR="0" wp14:anchorId="0A7D5FE8" wp14:editId="0F4F1C92">
            <wp:extent cx="5731510" cy="2583815"/>
            <wp:effectExtent l="0" t="0" r="2540" b="6985"/>
            <wp:docPr id="17238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0750" name=""/>
                    <pic:cNvPicPr/>
                  </pic:nvPicPr>
                  <pic:blipFill>
                    <a:blip r:embed="rId6"/>
                    <a:stretch>
                      <a:fillRect/>
                    </a:stretch>
                  </pic:blipFill>
                  <pic:spPr>
                    <a:xfrm>
                      <a:off x="0" y="0"/>
                      <a:ext cx="5731510" cy="2583815"/>
                    </a:xfrm>
                    <a:prstGeom prst="rect">
                      <a:avLst/>
                    </a:prstGeom>
                  </pic:spPr>
                </pic:pic>
              </a:graphicData>
            </a:graphic>
          </wp:inline>
        </w:drawing>
      </w:r>
    </w:p>
    <w:p w14:paraId="38A51658" w14:textId="665D462C" w:rsidR="000C7388" w:rsidRDefault="00955744">
      <w:pPr>
        <w:rPr>
          <w:sz w:val="22"/>
          <w:szCs w:val="22"/>
        </w:rPr>
      </w:pPr>
      <w:r w:rsidRPr="00955744">
        <w:rPr>
          <w:sz w:val="22"/>
          <w:szCs w:val="22"/>
        </w:rPr>
        <w:t>Successful responses confirmed that the target virtual machine was online and accessible, indicating that it was suitable for further scanning activities.</w:t>
      </w:r>
    </w:p>
    <w:p w14:paraId="1631DBED" w14:textId="1A2A89B2" w:rsidR="00955744" w:rsidRDefault="00955744">
      <w:pPr>
        <w:rPr>
          <w:sz w:val="22"/>
          <w:szCs w:val="22"/>
        </w:rPr>
      </w:pPr>
      <w:r w:rsidRPr="00955744">
        <w:rPr>
          <w:noProof/>
          <w:sz w:val="22"/>
          <w:szCs w:val="22"/>
        </w:rPr>
        <w:drawing>
          <wp:anchor distT="0" distB="0" distL="114300" distR="114300" simplePos="0" relativeHeight="251678720" behindDoc="0" locked="0" layoutInCell="1" allowOverlap="1" wp14:anchorId="545F4215" wp14:editId="488DD3A0">
            <wp:simplePos x="0" y="0"/>
            <wp:positionH relativeFrom="margin">
              <wp:align>center</wp:align>
            </wp:positionH>
            <wp:positionV relativeFrom="paragraph">
              <wp:posOffset>709930</wp:posOffset>
            </wp:positionV>
            <wp:extent cx="6046880" cy="1400175"/>
            <wp:effectExtent l="0" t="0" r="0" b="0"/>
            <wp:wrapSquare wrapText="bothSides"/>
            <wp:docPr id="17720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777" name=""/>
                    <pic:cNvPicPr/>
                  </pic:nvPicPr>
                  <pic:blipFill>
                    <a:blip r:embed="rId7">
                      <a:extLst>
                        <a:ext uri="{28A0092B-C50C-407E-A947-70E740481C1C}">
                          <a14:useLocalDpi xmlns:a14="http://schemas.microsoft.com/office/drawing/2010/main" val="0"/>
                        </a:ext>
                      </a:extLst>
                    </a:blip>
                    <a:stretch>
                      <a:fillRect/>
                    </a:stretch>
                  </pic:blipFill>
                  <pic:spPr>
                    <a:xfrm>
                      <a:off x="0" y="0"/>
                      <a:ext cx="6046880" cy="1400175"/>
                    </a:xfrm>
                    <a:prstGeom prst="rect">
                      <a:avLst/>
                    </a:prstGeom>
                  </pic:spPr>
                </pic:pic>
              </a:graphicData>
            </a:graphic>
            <wp14:sizeRelH relativeFrom="page">
              <wp14:pctWidth>0</wp14:pctWidth>
            </wp14:sizeRelH>
            <wp14:sizeRelV relativeFrom="page">
              <wp14:pctHeight>0</wp14:pctHeight>
            </wp14:sizeRelV>
          </wp:anchor>
        </w:drawing>
      </w:r>
      <w:r w:rsidR="000C4E1A" w:rsidRPr="000C4E1A">
        <w:rPr>
          <w:sz w:val="22"/>
          <w:szCs w:val="22"/>
        </w:rPr>
        <w:t>An initial port scan was then performed to identify commonly open TCP ports and gain a preliminary overview of exposed services on the system. This scan was carried out using the following command:</w:t>
      </w:r>
    </w:p>
    <w:p w14:paraId="797F427F" w14:textId="77777777" w:rsidR="005366E1" w:rsidRDefault="005366E1">
      <w:pPr>
        <w:rPr>
          <w:sz w:val="22"/>
          <w:szCs w:val="22"/>
        </w:rPr>
      </w:pPr>
    </w:p>
    <w:p w14:paraId="6C6DAB57" w14:textId="7664732C" w:rsidR="002D765D" w:rsidRDefault="000C7388">
      <w:pPr>
        <w:rPr>
          <w:sz w:val="22"/>
          <w:szCs w:val="22"/>
        </w:rPr>
      </w:pPr>
      <w:r w:rsidRPr="000C7388">
        <w:rPr>
          <w:sz w:val="22"/>
          <w:szCs w:val="22"/>
        </w:rPr>
        <w:t>This default Nmap scan checks the most frequently used ports and provides a rapid assessment of the system’s external exposure. The results indicated the presence of several open ports, suggesting that multiple services were accessible and could potentially be targeted by an attacker.</w:t>
      </w:r>
      <w:r w:rsidR="00937A69">
        <w:rPr>
          <w:sz w:val="22"/>
          <w:szCs w:val="22"/>
        </w:rPr>
        <w:t xml:space="preserve"> </w:t>
      </w:r>
      <w:r w:rsidR="005366E1" w:rsidRPr="005366E1">
        <w:rPr>
          <w:sz w:val="22"/>
          <w:szCs w:val="22"/>
        </w:rPr>
        <w:t>The open ports could allow attackers to break in. Port 53 (DNS) could be tricked into redirecting traffic or revealing network information.</w:t>
      </w:r>
      <w:r w:rsidR="003B675E" w:rsidRPr="003B675E">
        <w:t xml:space="preserve"> </w:t>
      </w:r>
      <w:r w:rsidR="003B675E" w:rsidRPr="003B675E">
        <w:rPr>
          <w:sz w:val="22"/>
          <w:szCs w:val="22"/>
        </w:rPr>
        <w:t>Port 80 (web) could allow attackers to access the router’s login page, guess weak passwords, or exploit software vulnerabilities to gain control</w:t>
      </w:r>
      <w:r w:rsidR="00103FB6">
        <w:rPr>
          <w:sz w:val="22"/>
          <w:szCs w:val="22"/>
        </w:rPr>
        <w:t>,</w:t>
      </w:r>
      <w:r w:rsidR="00A45BA2">
        <w:rPr>
          <w:sz w:val="22"/>
          <w:szCs w:val="22"/>
        </w:rPr>
        <w:t xml:space="preserve"> and</w:t>
      </w:r>
      <w:r w:rsidR="00103FB6">
        <w:rPr>
          <w:sz w:val="22"/>
          <w:szCs w:val="22"/>
        </w:rPr>
        <w:t xml:space="preserve"> </w:t>
      </w:r>
      <w:r w:rsidR="00E92EB1" w:rsidRPr="005366E1">
        <w:rPr>
          <w:sz w:val="22"/>
          <w:szCs w:val="22"/>
        </w:rPr>
        <w:t>if</w:t>
      </w:r>
      <w:r w:rsidR="005366E1" w:rsidRPr="005366E1">
        <w:rPr>
          <w:sz w:val="22"/>
          <w:szCs w:val="22"/>
        </w:rPr>
        <w:t xml:space="preserve"> either service is vulnerable, an attacker could get inside the network.</w:t>
      </w:r>
    </w:p>
    <w:p w14:paraId="7297A66D" w14:textId="28A56703" w:rsidR="00E92A80" w:rsidRDefault="00CB34E9">
      <w:pPr>
        <w:rPr>
          <w:sz w:val="22"/>
          <w:szCs w:val="22"/>
        </w:rPr>
      </w:pPr>
      <w:r w:rsidRPr="00CB34E9">
        <w:rPr>
          <w:sz w:val="22"/>
          <w:szCs w:val="22"/>
        </w:rPr>
        <w:lastRenderedPageBreak/>
        <w:t>To ensure a comprehensive assessment, a full TCP port scan was subsequently conducted. This scan examined all 65,535 TCP ports to identify any services running on non-standard ports that may not be detected during a basic scan. The following command was used:</w:t>
      </w:r>
    </w:p>
    <w:p w14:paraId="746C4661" w14:textId="17921621" w:rsidR="00CB34E9" w:rsidRDefault="00437A8A">
      <w:pPr>
        <w:rPr>
          <w:sz w:val="22"/>
          <w:szCs w:val="22"/>
        </w:rPr>
      </w:pPr>
      <w:r w:rsidRPr="00437A8A">
        <w:rPr>
          <w:noProof/>
          <w:sz w:val="22"/>
          <w:szCs w:val="22"/>
        </w:rPr>
        <w:drawing>
          <wp:inline distT="0" distB="0" distL="0" distR="0" wp14:anchorId="5A67B6CB" wp14:editId="744B1C08">
            <wp:extent cx="5731510" cy="1805305"/>
            <wp:effectExtent l="0" t="0" r="2540" b="4445"/>
            <wp:docPr id="4597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9824" name=""/>
                    <pic:cNvPicPr/>
                  </pic:nvPicPr>
                  <pic:blipFill>
                    <a:blip r:embed="rId8"/>
                    <a:stretch>
                      <a:fillRect/>
                    </a:stretch>
                  </pic:blipFill>
                  <pic:spPr>
                    <a:xfrm>
                      <a:off x="0" y="0"/>
                      <a:ext cx="5731510" cy="1805305"/>
                    </a:xfrm>
                    <a:prstGeom prst="rect">
                      <a:avLst/>
                    </a:prstGeom>
                  </pic:spPr>
                </pic:pic>
              </a:graphicData>
            </a:graphic>
          </wp:inline>
        </w:drawing>
      </w:r>
    </w:p>
    <w:p w14:paraId="1713CC9A" w14:textId="255856D8" w:rsidR="00E92A80" w:rsidRDefault="00133E04">
      <w:pPr>
        <w:rPr>
          <w:sz w:val="22"/>
          <w:szCs w:val="22"/>
        </w:rPr>
      </w:pPr>
      <w:r w:rsidRPr="00133E04">
        <w:rPr>
          <w:sz w:val="22"/>
          <w:szCs w:val="22"/>
        </w:rPr>
        <w:t>Scanning the full port range is an important step in vulnerability assessment, as attackers often conceal services on uncommon ports to evade detection by basic security monitoring tools.</w:t>
      </w:r>
    </w:p>
    <w:p w14:paraId="20BFB744" w14:textId="77777777" w:rsidR="0007070E" w:rsidRDefault="0007070E">
      <w:pPr>
        <w:rPr>
          <w:sz w:val="22"/>
          <w:szCs w:val="22"/>
        </w:rPr>
      </w:pPr>
    </w:p>
    <w:p w14:paraId="5F1806C6" w14:textId="41C43F5D" w:rsidR="00133E04" w:rsidRDefault="00803E43">
      <w:pPr>
        <w:rPr>
          <w:sz w:val="22"/>
          <w:szCs w:val="22"/>
        </w:rPr>
      </w:pPr>
      <w:r w:rsidRPr="00803E43">
        <w:rPr>
          <w:sz w:val="22"/>
          <w:szCs w:val="22"/>
        </w:rPr>
        <w:t>Following the identification of open ports, service and version detection was performed to determine the specific software and versions associated with each service. This information is critical, as outdated or vulnerable software versions can often be mapped directly to known exploits. The command used was:</w:t>
      </w:r>
    </w:p>
    <w:p w14:paraId="3367AA0B" w14:textId="75302BC0" w:rsidR="00803E43" w:rsidRDefault="001031E2">
      <w:pPr>
        <w:rPr>
          <w:sz w:val="22"/>
          <w:szCs w:val="22"/>
        </w:rPr>
      </w:pPr>
      <w:r w:rsidRPr="001031E2">
        <w:rPr>
          <w:noProof/>
          <w:sz w:val="22"/>
          <w:szCs w:val="22"/>
        </w:rPr>
        <w:drawing>
          <wp:inline distT="0" distB="0" distL="0" distR="0" wp14:anchorId="540B5BBC" wp14:editId="52C17567">
            <wp:extent cx="5731510" cy="2011045"/>
            <wp:effectExtent l="0" t="0" r="2540" b="8255"/>
            <wp:docPr id="1287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609" name=""/>
                    <pic:cNvPicPr/>
                  </pic:nvPicPr>
                  <pic:blipFill>
                    <a:blip r:embed="rId9"/>
                    <a:stretch>
                      <a:fillRect/>
                    </a:stretch>
                  </pic:blipFill>
                  <pic:spPr>
                    <a:xfrm>
                      <a:off x="0" y="0"/>
                      <a:ext cx="5731510" cy="2011045"/>
                    </a:xfrm>
                    <a:prstGeom prst="rect">
                      <a:avLst/>
                    </a:prstGeom>
                  </pic:spPr>
                </pic:pic>
              </a:graphicData>
            </a:graphic>
          </wp:inline>
        </w:drawing>
      </w:r>
    </w:p>
    <w:p w14:paraId="14EBE6A5" w14:textId="12BA28E5" w:rsidR="00E92A80" w:rsidRDefault="004C058C">
      <w:pPr>
        <w:rPr>
          <w:sz w:val="22"/>
          <w:szCs w:val="22"/>
        </w:rPr>
      </w:pPr>
      <w:r w:rsidRPr="0CADA1F1">
        <w:rPr>
          <w:sz w:val="22"/>
          <w:szCs w:val="22"/>
        </w:rPr>
        <w:t>This scan provided detailed information about the services running on each open port, enabling further analysis of potential vulnerabilities by referencing publicly available vulnerability databases such as CVE listings.</w:t>
      </w:r>
    </w:p>
    <w:p w14:paraId="422DC9FF" w14:textId="4AEE523F" w:rsidR="005561EA" w:rsidRDefault="005561EA">
      <w:pPr>
        <w:rPr>
          <w:sz w:val="22"/>
          <w:szCs w:val="22"/>
        </w:rPr>
      </w:pPr>
      <w:r>
        <w:rPr>
          <w:sz w:val="22"/>
          <w:szCs w:val="22"/>
        </w:rPr>
        <w:br w:type="page"/>
      </w:r>
    </w:p>
    <w:p w14:paraId="6C636499" w14:textId="77777777" w:rsidR="006F09C0" w:rsidRPr="006F09C0" w:rsidRDefault="006F09C0" w:rsidP="006F09C0">
      <w:pPr>
        <w:rPr>
          <w:b/>
          <w:bCs/>
          <w:sz w:val="22"/>
          <w:szCs w:val="22"/>
          <w:u w:val="single"/>
        </w:rPr>
      </w:pPr>
      <w:r w:rsidRPr="006F09C0">
        <w:rPr>
          <w:b/>
          <w:bCs/>
          <w:sz w:val="22"/>
          <w:szCs w:val="22"/>
          <w:u w:val="single"/>
        </w:rPr>
        <w:lastRenderedPageBreak/>
        <w:t>Vulnerability Scanning</w:t>
      </w:r>
    </w:p>
    <w:p w14:paraId="3C172FE1" w14:textId="276BEC44" w:rsidR="006F09C0" w:rsidRDefault="006F09C0" w:rsidP="006F09C0">
      <w:pPr>
        <w:rPr>
          <w:sz w:val="22"/>
          <w:szCs w:val="22"/>
        </w:rPr>
      </w:pPr>
      <w:r w:rsidRPr="006F09C0">
        <w:rPr>
          <w:sz w:val="22"/>
          <w:szCs w:val="22"/>
        </w:rPr>
        <w:t>Following the port scanning phase, a vulnerability scan was conducted to identify known security weaknesses associated with the services running on the target system. Vulnerability scanning helps assess the potential risks posed by exposed services and supports the identification of exploitable weaknesses. Kali Linux was used as the attacking machine, and OpenVAS (Greenbone Vulnerability Manager) was selected due to its comprehensive vulnerability database and ability to identify misconfigurations and outdated software.</w:t>
      </w:r>
    </w:p>
    <w:p w14:paraId="75962EFF" w14:textId="73D445A4" w:rsidR="00F252AA" w:rsidRDefault="00F252AA" w:rsidP="006D625A">
      <w:pPr>
        <w:rPr>
          <w:sz w:val="22"/>
          <w:szCs w:val="22"/>
        </w:rPr>
      </w:pPr>
    </w:p>
    <w:p w14:paraId="4441AC96" w14:textId="7253A87E" w:rsidR="00E54118" w:rsidRDefault="00F973E8">
      <w:pPr>
        <w:rPr>
          <w:sz w:val="22"/>
          <w:szCs w:val="22"/>
        </w:rPr>
      </w:pPr>
      <w:r w:rsidRPr="008C66A8">
        <w:rPr>
          <w:noProof/>
          <w:sz w:val="22"/>
          <w:szCs w:val="22"/>
        </w:rPr>
        <w:drawing>
          <wp:anchor distT="0" distB="0" distL="114300" distR="114300" simplePos="0" relativeHeight="251671552" behindDoc="0" locked="0" layoutInCell="1" allowOverlap="1" wp14:anchorId="65A2E2C1" wp14:editId="38E6F11B">
            <wp:simplePos x="0" y="0"/>
            <wp:positionH relativeFrom="margin">
              <wp:posOffset>-629920</wp:posOffset>
            </wp:positionH>
            <wp:positionV relativeFrom="paragraph">
              <wp:posOffset>224790</wp:posOffset>
            </wp:positionV>
            <wp:extent cx="6877685" cy="3352800"/>
            <wp:effectExtent l="0" t="0" r="0" b="0"/>
            <wp:wrapSquare wrapText="bothSides"/>
            <wp:docPr id="19687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2941" name=""/>
                    <pic:cNvPicPr/>
                  </pic:nvPicPr>
                  <pic:blipFill>
                    <a:blip r:embed="rId10">
                      <a:extLst>
                        <a:ext uri="{28A0092B-C50C-407E-A947-70E740481C1C}">
                          <a14:useLocalDpi xmlns:a14="http://schemas.microsoft.com/office/drawing/2010/main" val="0"/>
                        </a:ext>
                      </a:extLst>
                    </a:blip>
                    <a:stretch>
                      <a:fillRect/>
                    </a:stretch>
                  </pic:blipFill>
                  <pic:spPr>
                    <a:xfrm>
                      <a:off x="0" y="0"/>
                      <a:ext cx="6877685" cy="3352800"/>
                    </a:xfrm>
                    <a:prstGeom prst="rect">
                      <a:avLst/>
                    </a:prstGeom>
                  </pic:spPr>
                </pic:pic>
              </a:graphicData>
            </a:graphic>
            <wp14:sizeRelH relativeFrom="page">
              <wp14:pctWidth>0</wp14:pctWidth>
            </wp14:sizeRelH>
            <wp14:sizeRelV relativeFrom="page">
              <wp14:pctHeight>0</wp14:pctHeight>
            </wp14:sizeRelV>
          </wp:anchor>
        </w:drawing>
      </w:r>
      <w:r w:rsidR="005561EA">
        <w:rPr>
          <w:sz w:val="22"/>
          <w:szCs w:val="22"/>
        </w:rPr>
        <w:br w:type="page"/>
      </w:r>
    </w:p>
    <w:p w14:paraId="6C493B3E" w14:textId="195770E7" w:rsidR="005561EA" w:rsidRDefault="00954B93">
      <w:pPr>
        <w:rPr>
          <w:sz w:val="22"/>
          <w:szCs w:val="22"/>
        </w:rPr>
      </w:pPr>
      <w:r w:rsidRPr="00002020">
        <w:rPr>
          <w:noProof/>
          <w:sz w:val="22"/>
          <w:szCs w:val="22"/>
        </w:rPr>
        <w:lastRenderedPageBreak/>
        <w:drawing>
          <wp:anchor distT="0" distB="0" distL="114300" distR="114300" simplePos="0" relativeHeight="251672576" behindDoc="0" locked="0" layoutInCell="1" allowOverlap="1" wp14:anchorId="6BA3FD0E" wp14:editId="45615EC2">
            <wp:simplePos x="0" y="0"/>
            <wp:positionH relativeFrom="page">
              <wp:posOffset>561975</wp:posOffset>
            </wp:positionH>
            <wp:positionV relativeFrom="paragraph">
              <wp:posOffset>0</wp:posOffset>
            </wp:positionV>
            <wp:extent cx="6496050" cy="4429125"/>
            <wp:effectExtent l="0" t="0" r="0" b="9525"/>
            <wp:wrapSquare wrapText="bothSides"/>
            <wp:docPr id="159174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2304" name=""/>
                    <pic:cNvPicPr/>
                  </pic:nvPicPr>
                  <pic:blipFill rotWithShape="1">
                    <a:blip r:embed="rId11">
                      <a:extLst>
                        <a:ext uri="{28A0092B-C50C-407E-A947-70E740481C1C}">
                          <a14:useLocalDpi xmlns:a14="http://schemas.microsoft.com/office/drawing/2010/main"/>
                        </a:ext>
                      </a:extLst>
                    </a:blip>
                    <a:srcRect r="56196"/>
                    <a:stretch>
                      <a:fillRect/>
                    </a:stretch>
                  </pic:blipFill>
                  <pic:spPr bwMode="auto">
                    <a:xfrm>
                      <a:off x="0" y="0"/>
                      <a:ext cx="6496050" cy="4429125"/>
                    </a:xfrm>
                    <a:prstGeom prst="rect">
                      <a:avLst/>
                    </a:prstGeom>
                    <a:ln>
                      <a:noFill/>
                    </a:ln>
                  </pic:spPr>
                </pic:pic>
              </a:graphicData>
            </a:graphic>
            <wp14:sizeRelH relativeFrom="page">
              <wp14:pctWidth>0</wp14:pctWidth>
            </wp14:sizeRelH>
            <wp14:sizeRelV relativeFrom="page">
              <wp14:pctHeight>0</wp14:pctHeight>
            </wp14:sizeRelV>
          </wp:anchor>
        </w:drawing>
      </w:r>
      <w:r w:rsidR="0064470C" w:rsidRPr="003741F1">
        <w:rPr>
          <w:noProof/>
          <w:sz w:val="22"/>
          <w:szCs w:val="22"/>
        </w:rPr>
        <w:drawing>
          <wp:anchor distT="0" distB="0" distL="114300" distR="114300" simplePos="0" relativeHeight="251673600" behindDoc="0" locked="0" layoutInCell="1" allowOverlap="1" wp14:anchorId="26D38D90" wp14:editId="4A82B8EB">
            <wp:simplePos x="0" y="0"/>
            <wp:positionH relativeFrom="margin">
              <wp:align>center</wp:align>
            </wp:positionH>
            <wp:positionV relativeFrom="paragraph">
              <wp:posOffset>4971415</wp:posOffset>
            </wp:positionV>
            <wp:extent cx="6922135" cy="3762375"/>
            <wp:effectExtent l="0" t="0" r="0" b="9525"/>
            <wp:wrapSquare wrapText="bothSides"/>
            <wp:docPr id="156295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4431" name=""/>
                    <pic:cNvPicPr/>
                  </pic:nvPicPr>
                  <pic:blipFill>
                    <a:blip r:embed="rId12">
                      <a:extLst>
                        <a:ext uri="{28A0092B-C50C-407E-A947-70E740481C1C}">
                          <a14:useLocalDpi xmlns:a14="http://schemas.microsoft.com/office/drawing/2010/main" val="0"/>
                        </a:ext>
                      </a:extLst>
                    </a:blip>
                    <a:stretch>
                      <a:fillRect/>
                    </a:stretch>
                  </pic:blipFill>
                  <pic:spPr>
                    <a:xfrm>
                      <a:off x="0" y="0"/>
                      <a:ext cx="6922135" cy="3762375"/>
                    </a:xfrm>
                    <a:prstGeom prst="rect">
                      <a:avLst/>
                    </a:prstGeom>
                  </pic:spPr>
                </pic:pic>
              </a:graphicData>
            </a:graphic>
            <wp14:sizeRelH relativeFrom="page">
              <wp14:pctWidth>0</wp14:pctWidth>
            </wp14:sizeRelH>
            <wp14:sizeRelV relativeFrom="page">
              <wp14:pctHeight>0</wp14:pctHeight>
            </wp14:sizeRelV>
          </wp:anchor>
        </w:drawing>
      </w:r>
      <w:r w:rsidR="005561EA">
        <w:rPr>
          <w:sz w:val="22"/>
          <w:szCs w:val="22"/>
        </w:rPr>
        <w:br w:type="page"/>
      </w:r>
    </w:p>
    <w:p w14:paraId="7A45D904" w14:textId="27209795" w:rsidR="005561EA" w:rsidRPr="006D625A" w:rsidRDefault="001128C7" w:rsidP="006D625A">
      <w:pPr>
        <w:rPr>
          <w:sz w:val="22"/>
          <w:szCs w:val="22"/>
        </w:rPr>
      </w:pPr>
      <w:r>
        <w:rPr>
          <w:noProof/>
          <w:sz w:val="22"/>
          <w:szCs w:val="22"/>
        </w:rPr>
        <w:lastRenderedPageBreak/>
        <w:drawing>
          <wp:anchor distT="0" distB="0" distL="114300" distR="114300" simplePos="0" relativeHeight="251674624" behindDoc="0" locked="0" layoutInCell="1" allowOverlap="1" wp14:anchorId="0D9B402E" wp14:editId="613956EA">
            <wp:simplePos x="0" y="0"/>
            <wp:positionH relativeFrom="margin">
              <wp:posOffset>-467995</wp:posOffset>
            </wp:positionH>
            <wp:positionV relativeFrom="paragraph">
              <wp:posOffset>0</wp:posOffset>
            </wp:positionV>
            <wp:extent cx="6697980" cy="3757271"/>
            <wp:effectExtent l="0" t="0" r="7620" b="0"/>
            <wp:wrapSquare wrapText="bothSides"/>
            <wp:docPr id="6523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7980" cy="3757271"/>
                    </a:xfrm>
                    <a:prstGeom prst="rect">
                      <a:avLst/>
                    </a:prstGeom>
                    <a:noFill/>
                  </pic:spPr>
                </pic:pic>
              </a:graphicData>
            </a:graphic>
            <wp14:sizeRelH relativeFrom="page">
              <wp14:pctWidth>0</wp14:pctWidth>
            </wp14:sizeRelH>
            <wp14:sizeRelV relativeFrom="page">
              <wp14:pctHeight>0</wp14:pctHeight>
            </wp14:sizeRelV>
          </wp:anchor>
        </w:drawing>
      </w:r>
    </w:p>
    <w:p w14:paraId="58526951" w14:textId="3E7BEF3F" w:rsidR="001A343C" w:rsidRDefault="00636903" w:rsidP="001A343C">
      <w:pPr>
        <w:rPr>
          <w:sz w:val="22"/>
          <w:szCs w:val="22"/>
        </w:rPr>
      </w:pPr>
      <w:r>
        <w:rPr>
          <w:noProof/>
          <w:sz w:val="22"/>
          <w:szCs w:val="22"/>
        </w:rPr>
        <w:drawing>
          <wp:anchor distT="0" distB="0" distL="114300" distR="114300" simplePos="0" relativeHeight="251675648" behindDoc="0" locked="0" layoutInCell="1" allowOverlap="1" wp14:anchorId="385A797D" wp14:editId="797BD364">
            <wp:simplePos x="0" y="0"/>
            <wp:positionH relativeFrom="margin">
              <wp:align>center</wp:align>
            </wp:positionH>
            <wp:positionV relativeFrom="paragraph">
              <wp:posOffset>937260</wp:posOffset>
            </wp:positionV>
            <wp:extent cx="6838950" cy="3863975"/>
            <wp:effectExtent l="0" t="0" r="0" b="3175"/>
            <wp:wrapSquare wrapText="bothSides"/>
            <wp:docPr id="968042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8950" cy="3863975"/>
                    </a:xfrm>
                    <a:prstGeom prst="rect">
                      <a:avLst/>
                    </a:prstGeom>
                    <a:noFill/>
                  </pic:spPr>
                </pic:pic>
              </a:graphicData>
            </a:graphic>
            <wp14:sizeRelH relativeFrom="page">
              <wp14:pctWidth>0</wp14:pctWidth>
            </wp14:sizeRelH>
            <wp14:sizeRelV relativeFrom="page">
              <wp14:pctHeight>0</wp14:pctHeight>
            </wp14:sizeRelV>
          </wp:anchor>
        </w:drawing>
      </w:r>
      <w:r w:rsidRPr="00636903">
        <w:rPr>
          <w:sz w:val="22"/>
          <w:szCs w:val="22"/>
        </w:rPr>
        <w:t>The vulnerability results page shows the complete list of 208 security flaws detected on the target. Each entry includes the vulnerability name, severity level (High/Medium/Low), CVSS score, affected port/service, and a brief description of the risk. This page allows you to review, prioritize, and document the most critical weaknesses found during the scan.</w:t>
      </w:r>
    </w:p>
    <w:p w14:paraId="7D60E038" w14:textId="71EB0006" w:rsidR="00695351" w:rsidRDefault="00695351" w:rsidP="00007BD2">
      <w:pPr>
        <w:rPr>
          <w:b/>
          <w:bCs/>
          <w:sz w:val="22"/>
          <w:szCs w:val="22"/>
        </w:rPr>
      </w:pPr>
      <w:r w:rsidRPr="00695351">
        <w:rPr>
          <w:b/>
          <w:bCs/>
          <w:sz w:val="22"/>
          <w:szCs w:val="22"/>
        </w:rPr>
        <w:lastRenderedPageBreak/>
        <w:t>Vulnerability 1: Tiki Wiki CMS Groupware End-of-Life</w:t>
      </w:r>
    </w:p>
    <w:p w14:paraId="03EF2226" w14:textId="31B81095" w:rsidR="00007BD2" w:rsidRPr="00007BD2" w:rsidRDefault="00007BD2" w:rsidP="00007BD2">
      <w:pPr>
        <w:rPr>
          <w:sz w:val="22"/>
          <w:szCs w:val="22"/>
        </w:rPr>
      </w:pPr>
      <w:r w:rsidRPr="00007BD2">
        <w:rPr>
          <w:b/>
          <w:bCs/>
          <w:sz w:val="22"/>
          <w:szCs w:val="22"/>
        </w:rPr>
        <w:t>What the Vulnerability Is:</w:t>
      </w:r>
      <w:r w:rsidRPr="00007BD2">
        <w:rPr>
          <w:sz w:val="22"/>
          <w:szCs w:val="22"/>
        </w:rPr>
        <w:br/>
        <w:t>This is an </w:t>
      </w:r>
      <w:r w:rsidRPr="00007BD2">
        <w:rPr>
          <w:b/>
          <w:bCs/>
          <w:sz w:val="22"/>
          <w:szCs w:val="22"/>
        </w:rPr>
        <w:t>end-of-life (EOL) software vulnerability</w:t>
      </w:r>
      <w:r w:rsidRPr="00007BD2">
        <w:rPr>
          <w:sz w:val="22"/>
          <w:szCs w:val="22"/>
        </w:rPr>
        <w:t> affecting Tiki Wiki CMS Groupware version 1.9.5, which is no longer supported by the vendor. The application is installed and accessible via the web server at the path /tikiwiki.</w:t>
      </w:r>
    </w:p>
    <w:p w14:paraId="07FDC07C" w14:textId="1869647F" w:rsidR="00007BD2" w:rsidRPr="00007BD2" w:rsidRDefault="00007BD2" w:rsidP="00007BD2">
      <w:pPr>
        <w:rPr>
          <w:sz w:val="22"/>
          <w:szCs w:val="22"/>
        </w:rPr>
      </w:pPr>
      <w:r w:rsidRPr="00007BD2">
        <w:rPr>
          <w:b/>
          <w:bCs/>
          <w:sz w:val="22"/>
          <w:szCs w:val="22"/>
        </w:rPr>
        <w:t>How It Could Be Exploited:</w:t>
      </w:r>
      <w:r w:rsidRPr="00007BD2">
        <w:rPr>
          <w:sz w:val="22"/>
          <w:szCs w:val="22"/>
        </w:rPr>
        <w:br/>
        <w:t>An attacker can research publicly known, unpatched security flaws specific to version 1.9.5 or earlier. Since no security updates are provided, exploits such as SQL injection, remote file inclusion, or authentication bypass</w:t>
      </w:r>
      <w:r w:rsidR="00064FF4">
        <w:rPr>
          <w:sz w:val="22"/>
          <w:szCs w:val="22"/>
        </w:rPr>
        <w:t xml:space="preserve"> </w:t>
      </w:r>
      <w:r w:rsidRPr="00007BD2">
        <w:rPr>
          <w:sz w:val="22"/>
          <w:szCs w:val="22"/>
        </w:rPr>
        <w:t>common in outdated CMS platforms</w:t>
      </w:r>
      <w:r w:rsidR="00064FF4">
        <w:rPr>
          <w:sz w:val="22"/>
          <w:szCs w:val="22"/>
        </w:rPr>
        <w:t xml:space="preserve"> </w:t>
      </w:r>
      <w:r w:rsidRPr="00007BD2">
        <w:rPr>
          <w:sz w:val="22"/>
          <w:szCs w:val="22"/>
        </w:rPr>
        <w:t>could be executed against the /tikiwiki endpoint without mitigation.</w:t>
      </w:r>
    </w:p>
    <w:p w14:paraId="275557DA" w14:textId="4AD3502B" w:rsidR="00007BD2" w:rsidRDefault="00BD069F" w:rsidP="001A343C">
      <w:pPr>
        <w:rPr>
          <w:sz w:val="22"/>
          <w:szCs w:val="22"/>
        </w:rPr>
      </w:pPr>
      <w:r>
        <w:rPr>
          <w:noProof/>
          <w:sz w:val="22"/>
          <w:szCs w:val="22"/>
        </w:rPr>
        <w:drawing>
          <wp:anchor distT="0" distB="0" distL="114300" distR="114300" simplePos="0" relativeHeight="251676672" behindDoc="0" locked="0" layoutInCell="1" allowOverlap="1" wp14:anchorId="4BE8229B" wp14:editId="745ABEDB">
            <wp:simplePos x="0" y="0"/>
            <wp:positionH relativeFrom="margin">
              <wp:align>center</wp:align>
            </wp:positionH>
            <wp:positionV relativeFrom="paragraph">
              <wp:posOffset>1192530</wp:posOffset>
            </wp:positionV>
            <wp:extent cx="7038975" cy="3724910"/>
            <wp:effectExtent l="0" t="0" r="9525" b="8890"/>
            <wp:wrapSquare wrapText="bothSides"/>
            <wp:docPr id="18620926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38975" cy="3724910"/>
                    </a:xfrm>
                    <a:prstGeom prst="rect">
                      <a:avLst/>
                    </a:prstGeom>
                    <a:noFill/>
                  </pic:spPr>
                </pic:pic>
              </a:graphicData>
            </a:graphic>
            <wp14:sizeRelH relativeFrom="page">
              <wp14:pctWidth>0</wp14:pctWidth>
            </wp14:sizeRelH>
            <wp14:sizeRelV relativeFrom="page">
              <wp14:pctHeight>0</wp14:pctHeight>
            </wp14:sizeRelV>
          </wp:anchor>
        </w:drawing>
      </w:r>
      <w:r w:rsidR="00007BD2" w:rsidRPr="00007BD2">
        <w:rPr>
          <w:b/>
          <w:bCs/>
          <w:sz w:val="22"/>
          <w:szCs w:val="22"/>
        </w:rPr>
        <w:t>Potential Impact on the Target VM:</w:t>
      </w:r>
      <w:r w:rsidR="00007BD2" w:rsidRPr="00007BD2">
        <w:rPr>
          <w:sz w:val="22"/>
          <w:szCs w:val="22"/>
        </w:rPr>
        <w:br/>
        <w:t>If successfully exploited, an attacker could gain unauthorized access to the web server, manipulate or steal sensitive data, upload malicious files, or use the compromised host as a pivot to attack other systems within the network. The lack of patches means any existing vulnerability remains permanently exposed.</w:t>
      </w:r>
    </w:p>
    <w:p w14:paraId="648DB7D2" w14:textId="77777777" w:rsidR="00BD069F" w:rsidRDefault="00BD069F" w:rsidP="0048049C">
      <w:pPr>
        <w:rPr>
          <w:b/>
          <w:bCs/>
          <w:sz w:val="22"/>
          <w:szCs w:val="22"/>
        </w:rPr>
      </w:pPr>
    </w:p>
    <w:p w14:paraId="5B114271" w14:textId="5858DFC7" w:rsidR="0048049C" w:rsidRPr="0048049C" w:rsidRDefault="0048049C" w:rsidP="0048049C">
      <w:pPr>
        <w:rPr>
          <w:b/>
          <w:bCs/>
          <w:sz w:val="22"/>
          <w:szCs w:val="22"/>
        </w:rPr>
      </w:pPr>
      <w:r w:rsidRPr="0048049C">
        <w:rPr>
          <w:b/>
          <w:bCs/>
          <w:sz w:val="22"/>
          <w:szCs w:val="22"/>
        </w:rPr>
        <w:t>Vulnerability 2: Operating System End-of-Life (Ubuntu 10.04)</w:t>
      </w:r>
    </w:p>
    <w:p w14:paraId="402EC836" w14:textId="77777777" w:rsidR="0048049C" w:rsidRPr="0048049C" w:rsidRDefault="0048049C" w:rsidP="0048049C">
      <w:pPr>
        <w:rPr>
          <w:sz w:val="22"/>
          <w:szCs w:val="22"/>
        </w:rPr>
      </w:pPr>
      <w:r w:rsidRPr="0048049C">
        <w:rPr>
          <w:b/>
          <w:bCs/>
          <w:sz w:val="22"/>
          <w:szCs w:val="22"/>
        </w:rPr>
        <w:t>What the Vulnerability Is:</w:t>
      </w:r>
      <w:r w:rsidRPr="0048049C">
        <w:rPr>
          <w:sz w:val="22"/>
          <w:szCs w:val="22"/>
        </w:rPr>
        <w:br/>
        <w:t>This is a </w:t>
      </w:r>
      <w:r w:rsidRPr="0048049C">
        <w:rPr>
          <w:b/>
          <w:bCs/>
          <w:sz w:val="22"/>
          <w:szCs w:val="22"/>
        </w:rPr>
        <w:t>critical end-of-life (EOL) vulnerability</w:t>
      </w:r>
      <w:r w:rsidRPr="0048049C">
        <w:rPr>
          <w:sz w:val="22"/>
          <w:szCs w:val="22"/>
        </w:rPr>
        <w:t> affecting the host's operating system, </w:t>
      </w:r>
      <w:r w:rsidRPr="0048049C">
        <w:rPr>
          <w:b/>
          <w:bCs/>
          <w:sz w:val="22"/>
          <w:szCs w:val="22"/>
        </w:rPr>
        <w:t>Ubuntu 10.04</w:t>
      </w:r>
      <w:r w:rsidRPr="0048049C">
        <w:rPr>
          <w:sz w:val="22"/>
          <w:szCs w:val="22"/>
        </w:rPr>
        <w:t>, which reached end-of-life and no longer receives security updates, patches, or vendor support.</w:t>
      </w:r>
    </w:p>
    <w:p w14:paraId="5DC38D51" w14:textId="3FE31D72" w:rsidR="0048049C" w:rsidRPr="0048049C" w:rsidRDefault="0048049C" w:rsidP="0048049C">
      <w:pPr>
        <w:rPr>
          <w:sz w:val="22"/>
          <w:szCs w:val="22"/>
        </w:rPr>
      </w:pPr>
      <w:r w:rsidRPr="0048049C">
        <w:rPr>
          <w:b/>
          <w:bCs/>
          <w:sz w:val="22"/>
          <w:szCs w:val="22"/>
        </w:rPr>
        <w:lastRenderedPageBreak/>
        <w:t>How It Could Be Exploited:</w:t>
      </w:r>
      <w:r w:rsidRPr="0048049C">
        <w:rPr>
          <w:sz w:val="22"/>
          <w:szCs w:val="22"/>
        </w:rPr>
        <w:br/>
        <w:t>An attacker can leverage publicly documented, unpatched vulnerabilities (CVEs) that affect this outdated OS version. Exploits targeting kernel flaws, service vulnerabilities, or privilege escalation weaknesses</w:t>
      </w:r>
      <w:r w:rsidR="00064FF4">
        <w:rPr>
          <w:sz w:val="22"/>
          <w:szCs w:val="22"/>
        </w:rPr>
        <w:t xml:space="preserve"> </w:t>
      </w:r>
      <w:r w:rsidRPr="0048049C">
        <w:rPr>
          <w:sz w:val="22"/>
          <w:szCs w:val="22"/>
        </w:rPr>
        <w:t>which would normally be patched in supported systems</w:t>
      </w:r>
      <w:r w:rsidR="00064FF4">
        <w:rPr>
          <w:sz w:val="22"/>
          <w:szCs w:val="22"/>
        </w:rPr>
        <w:t xml:space="preserve"> </w:t>
      </w:r>
      <w:r w:rsidRPr="0048049C">
        <w:rPr>
          <w:sz w:val="22"/>
          <w:szCs w:val="22"/>
        </w:rPr>
        <w:t>can be executed remotely or locally without mitigation.</w:t>
      </w:r>
    </w:p>
    <w:p w14:paraId="32114421" w14:textId="0DBEB878" w:rsidR="0048049C" w:rsidRPr="0048049C" w:rsidRDefault="00B622AE" w:rsidP="0048049C">
      <w:pPr>
        <w:rPr>
          <w:sz w:val="22"/>
          <w:szCs w:val="22"/>
        </w:rPr>
      </w:pPr>
      <w:r w:rsidRPr="005723EA">
        <w:rPr>
          <w:noProof/>
          <w:sz w:val="22"/>
          <w:szCs w:val="22"/>
        </w:rPr>
        <w:drawing>
          <wp:anchor distT="0" distB="0" distL="114300" distR="114300" simplePos="0" relativeHeight="251677696" behindDoc="0" locked="0" layoutInCell="1" allowOverlap="1" wp14:anchorId="5F34773F" wp14:editId="1E4D47CF">
            <wp:simplePos x="0" y="0"/>
            <wp:positionH relativeFrom="page">
              <wp:posOffset>142875</wp:posOffset>
            </wp:positionH>
            <wp:positionV relativeFrom="paragraph">
              <wp:posOffset>1056005</wp:posOffset>
            </wp:positionV>
            <wp:extent cx="7196615" cy="4076700"/>
            <wp:effectExtent l="0" t="0" r="4445" b="0"/>
            <wp:wrapSquare wrapText="bothSides"/>
            <wp:docPr id="554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305" name=""/>
                    <pic:cNvPicPr/>
                  </pic:nvPicPr>
                  <pic:blipFill>
                    <a:blip r:embed="rId16">
                      <a:extLst>
                        <a:ext uri="{28A0092B-C50C-407E-A947-70E740481C1C}">
                          <a14:useLocalDpi xmlns:a14="http://schemas.microsoft.com/office/drawing/2010/main" val="0"/>
                        </a:ext>
                      </a:extLst>
                    </a:blip>
                    <a:stretch>
                      <a:fillRect/>
                    </a:stretch>
                  </pic:blipFill>
                  <pic:spPr>
                    <a:xfrm>
                      <a:off x="0" y="0"/>
                      <a:ext cx="7196615" cy="4076700"/>
                    </a:xfrm>
                    <a:prstGeom prst="rect">
                      <a:avLst/>
                    </a:prstGeom>
                  </pic:spPr>
                </pic:pic>
              </a:graphicData>
            </a:graphic>
            <wp14:sizeRelH relativeFrom="page">
              <wp14:pctWidth>0</wp14:pctWidth>
            </wp14:sizeRelH>
            <wp14:sizeRelV relativeFrom="page">
              <wp14:pctHeight>0</wp14:pctHeight>
            </wp14:sizeRelV>
          </wp:anchor>
        </w:drawing>
      </w:r>
      <w:r w:rsidR="0048049C" w:rsidRPr="0048049C">
        <w:rPr>
          <w:b/>
          <w:bCs/>
          <w:sz w:val="22"/>
          <w:szCs w:val="22"/>
        </w:rPr>
        <w:t>Potential Impact on the Target VM:</w:t>
      </w:r>
      <w:r w:rsidR="0048049C" w:rsidRPr="0048049C">
        <w:rPr>
          <w:sz w:val="22"/>
          <w:szCs w:val="22"/>
        </w:rPr>
        <w:br/>
        <w:t>If exploited, the attacker could gain full control of the system, execute arbitrary code with elevated privileges, install persistent backdoors, or compromise the entire virtual machine. The lack of security updates means the OS is permanently vulnerable to known exploits, making the host an easy target for further network penetration.</w:t>
      </w:r>
    </w:p>
    <w:p w14:paraId="03592715" w14:textId="75E79063" w:rsidR="00007BD2" w:rsidRDefault="00007BD2" w:rsidP="001A343C">
      <w:pPr>
        <w:rPr>
          <w:sz w:val="22"/>
          <w:szCs w:val="22"/>
        </w:rPr>
      </w:pPr>
    </w:p>
    <w:p w14:paraId="342CD495" w14:textId="77777777" w:rsidR="00557CDA" w:rsidRPr="00557CDA" w:rsidRDefault="00557CDA" w:rsidP="00557CDA">
      <w:pPr>
        <w:rPr>
          <w:b/>
          <w:bCs/>
          <w:sz w:val="22"/>
          <w:szCs w:val="22"/>
        </w:rPr>
      </w:pPr>
      <w:r w:rsidRPr="00557CDA">
        <w:rPr>
          <w:b/>
          <w:bCs/>
          <w:sz w:val="22"/>
          <w:szCs w:val="22"/>
        </w:rPr>
        <w:t>Vulnerability 3: Apache Tomcat Default/Hardcoded Credentials</w:t>
      </w:r>
    </w:p>
    <w:p w14:paraId="36E41E30" w14:textId="7233050C" w:rsidR="00557CDA" w:rsidRPr="00557CDA" w:rsidRDefault="00557CDA" w:rsidP="00557CDA">
      <w:pPr>
        <w:rPr>
          <w:sz w:val="22"/>
          <w:szCs w:val="22"/>
        </w:rPr>
      </w:pPr>
      <w:r w:rsidRPr="00557CDA">
        <w:rPr>
          <w:b/>
          <w:bCs/>
          <w:sz w:val="22"/>
          <w:szCs w:val="22"/>
        </w:rPr>
        <w:t>What the Vulnerability Is:</w:t>
      </w:r>
      <w:r w:rsidRPr="00557CDA">
        <w:rPr>
          <w:sz w:val="22"/>
          <w:szCs w:val="22"/>
        </w:rPr>
        <w:br/>
        <w:t>This is an </w:t>
      </w:r>
      <w:r w:rsidRPr="00557CDA">
        <w:rPr>
          <w:b/>
          <w:bCs/>
          <w:sz w:val="22"/>
          <w:szCs w:val="22"/>
        </w:rPr>
        <w:t>authentication vulnerability</w:t>
      </w:r>
      <w:r w:rsidRPr="00557CDA">
        <w:rPr>
          <w:sz w:val="22"/>
          <w:szCs w:val="22"/>
        </w:rPr>
        <w:t> in Apache Tomcat 6.0.24, where the Tomcat Manager, Host Manager, and Server Status interfaces are accessible using the default or hardcoded credentials root: owaspbwa.</w:t>
      </w:r>
    </w:p>
    <w:p w14:paraId="6866EAE8" w14:textId="77777777" w:rsidR="00557CDA" w:rsidRPr="00557CDA" w:rsidRDefault="00557CDA" w:rsidP="00557CDA">
      <w:pPr>
        <w:rPr>
          <w:sz w:val="22"/>
          <w:szCs w:val="22"/>
        </w:rPr>
      </w:pPr>
      <w:r w:rsidRPr="00557CDA">
        <w:rPr>
          <w:b/>
          <w:bCs/>
          <w:sz w:val="22"/>
          <w:szCs w:val="22"/>
        </w:rPr>
        <w:t>How It Could Be Exploited:</w:t>
      </w:r>
      <w:r w:rsidRPr="00557CDA">
        <w:rPr>
          <w:sz w:val="22"/>
          <w:szCs w:val="22"/>
        </w:rPr>
        <w:br/>
        <w:t>An attacker can easily log into the Tomcat management interfaces at http://192.168.68.12:8080/manager/html, host-manager/html, and manager/status using the exposed credentials. Once authenticated, they can upload a malicious WAR file, deploy it as a web application, and execute arbitrary commands on the server.</w:t>
      </w:r>
    </w:p>
    <w:p w14:paraId="4F4EAD75" w14:textId="77777777" w:rsidR="00557CDA" w:rsidRPr="00557CDA" w:rsidRDefault="00557CDA" w:rsidP="00557CDA">
      <w:pPr>
        <w:rPr>
          <w:sz w:val="22"/>
          <w:szCs w:val="22"/>
        </w:rPr>
      </w:pPr>
      <w:r w:rsidRPr="00557CDA">
        <w:rPr>
          <w:b/>
          <w:bCs/>
          <w:sz w:val="22"/>
          <w:szCs w:val="22"/>
        </w:rPr>
        <w:lastRenderedPageBreak/>
        <w:t>Potential Impact on the Target VM:</w:t>
      </w:r>
      <w:r w:rsidRPr="00557CDA">
        <w:rPr>
          <w:sz w:val="22"/>
          <w:szCs w:val="22"/>
        </w:rPr>
        <w:br/>
        <w:t>Successful exploitation gives the attacker complete control over the Tomcat server, allowing them to run commands with the same privileges as the Tomcat service, install backdoors, steal sensitive data, and use the compromised host to pivot further into the network. This essentially grants remote code execution and full system compromise.</w:t>
      </w:r>
    </w:p>
    <w:p w14:paraId="43A3D1A0" w14:textId="77777777" w:rsidR="00AF7E0F" w:rsidRDefault="00AF7E0F" w:rsidP="00AF7E0F">
      <w:pPr>
        <w:rPr>
          <w:b/>
          <w:bCs/>
          <w:sz w:val="22"/>
          <w:szCs w:val="22"/>
        </w:rPr>
      </w:pPr>
    </w:p>
    <w:p w14:paraId="4D7A6124" w14:textId="016610EC" w:rsidR="00AF7E0F" w:rsidRPr="00AF7E0F" w:rsidRDefault="00AF7E0F" w:rsidP="00AF7E0F">
      <w:pPr>
        <w:rPr>
          <w:b/>
          <w:bCs/>
          <w:sz w:val="22"/>
          <w:szCs w:val="22"/>
        </w:rPr>
      </w:pPr>
      <w:r w:rsidRPr="00AF7E0F">
        <w:rPr>
          <w:b/>
          <w:bCs/>
          <w:sz w:val="22"/>
          <w:szCs w:val="22"/>
        </w:rPr>
        <w:t>Attack Lifecycle Mapping – Cyber Kill Chain</w:t>
      </w:r>
    </w:p>
    <w:p w14:paraId="397D4538" w14:textId="77777777" w:rsidR="004A7C41" w:rsidRPr="004A7C41" w:rsidRDefault="004A7C41" w:rsidP="004A7C41">
      <w:pPr>
        <w:rPr>
          <w:sz w:val="22"/>
          <w:szCs w:val="22"/>
        </w:rPr>
      </w:pPr>
      <w:r w:rsidRPr="004A7C41">
        <w:rPr>
          <w:sz w:val="22"/>
          <w:szCs w:val="22"/>
        </w:rPr>
        <w:t>The vulnerabilities identified through port scanning and OpenVAS can be mapped to specific stages of the Cyber Kill Chain, which outlines how cyberattacks progress from initial discovery to final impact (Hutchins, Cloppert and Amin, 2011).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1637"/>
        <w:gridCol w:w="5555"/>
      </w:tblGrid>
      <w:tr w:rsidR="004A7C41" w:rsidRPr="004A7C41" w14:paraId="3FF65D7E" w14:textId="77777777" w:rsidTr="004A7C41">
        <w:trPr>
          <w:tblHeader/>
          <w:tblCellSpacing w:w="15" w:type="dxa"/>
        </w:trPr>
        <w:tc>
          <w:tcPr>
            <w:tcW w:w="0" w:type="auto"/>
            <w:tcBorders>
              <w:top w:val="single" w:sz="4" w:space="0" w:color="auto"/>
              <w:bottom w:val="single" w:sz="4" w:space="0" w:color="auto"/>
            </w:tcBorders>
            <w:vAlign w:val="center"/>
            <w:hideMark/>
          </w:tcPr>
          <w:p w14:paraId="15D54E70" w14:textId="77777777" w:rsidR="004A7C41" w:rsidRPr="004A7C41" w:rsidRDefault="004A7C41" w:rsidP="004A7C41">
            <w:pPr>
              <w:rPr>
                <w:b/>
                <w:bCs/>
                <w:sz w:val="22"/>
                <w:szCs w:val="22"/>
              </w:rPr>
            </w:pPr>
            <w:r w:rsidRPr="004A7C41">
              <w:rPr>
                <w:b/>
                <w:bCs/>
                <w:sz w:val="22"/>
                <w:szCs w:val="22"/>
              </w:rPr>
              <w:t>Vulnerability</w:t>
            </w:r>
          </w:p>
        </w:tc>
        <w:tc>
          <w:tcPr>
            <w:tcW w:w="0" w:type="auto"/>
            <w:tcBorders>
              <w:top w:val="single" w:sz="4" w:space="0" w:color="auto"/>
              <w:bottom w:val="single" w:sz="4" w:space="0" w:color="auto"/>
            </w:tcBorders>
            <w:vAlign w:val="center"/>
            <w:hideMark/>
          </w:tcPr>
          <w:p w14:paraId="332ED10A" w14:textId="77777777" w:rsidR="004A7C41" w:rsidRPr="004A7C41" w:rsidRDefault="004A7C41" w:rsidP="004A7C41">
            <w:pPr>
              <w:rPr>
                <w:b/>
                <w:bCs/>
                <w:sz w:val="22"/>
                <w:szCs w:val="22"/>
              </w:rPr>
            </w:pPr>
            <w:r w:rsidRPr="004A7C41">
              <w:rPr>
                <w:b/>
                <w:bCs/>
                <w:sz w:val="22"/>
                <w:szCs w:val="22"/>
              </w:rPr>
              <w:t>Cyber Kill Chain Stage</w:t>
            </w:r>
          </w:p>
        </w:tc>
        <w:tc>
          <w:tcPr>
            <w:tcW w:w="0" w:type="auto"/>
            <w:tcBorders>
              <w:top w:val="single" w:sz="4" w:space="0" w:color="auto"/>
              <w:bottom w:val="single" w:sz="4" w:space="0" w:color="auto"/>
            </w:tcBorders>
            <w:vAlign w:val="center"/>
            <w:hideMark/>
          </w:tcPr>
          <w:p w14:paraId="261648DF" w14:textId="77777777" w:rsidR="004A7C41" w:rsidRPr="004A7C41" w:rsidRDefault="004A7C41" w:rsidP="004A7C41">
            <w:pPr>
              <w:rPr>
                <w:b/>
                <w:bCs/>
                <w:sz w:val="22"/>
                <w:szCs w:val="22"/>
              </w:rPr>
            </w:pPr>
            <w:r w:rsidRPr="004A7C41">
              <w:rPr>
                <w:b/>
                <w:bCs/>
                <w:sz w:val="22"/>
                <w:szCs w:val="22"/>
              </w:rPr>
              <w:t>Explanation</w:t>
            </w:r>
          </w:p>
        </w:tc>
      </w:tr>
      <w:tr w:rsidR="004A7C41" w:rsidRPr="004A7C41" w14:paraId="27C26C08" w14:textId="77777777" w:rsidTr="004A7C41">
        <w:trPr>
          <w:tblCellSpacing w:w="15" w:type="dxa"/>
        </w:trPr>
        <w:tc>
          <w:tcPr>
            <w:tcW w:w="0" w:type="auto"/>
            <w:tcBorders>
              <w:bottom w:val="single" w:sz="4" w:space="0" w:color="auto"/>
            </w:tcBorders>
            <w:vAlign w:val="center"/>
            <w:hideMark/>
          </w:tcPr>
          <w:p w14:paraId="696D7360" w14:textId="77777777" w:rsidR="004A7C41" w:rsidRPr="004A7C41" w:rsidRDefault="004A7C41" w:rsidP="004A7C41">
            <w:pPr>
              <w:rPr>
                <w:sz w:val="22"/>
                <w:szCs w:val="22"/>
              </w:rPr>
            </w:pPr>
            <w:r w:rsidRPr="004A7C41">
              <w:rPr>
                <w:sz w:val="22"/>
                <w:szCs w:val="22"/>
              </w:rPr>
              <w:t>Apache Tomcat Default Credentials</w:t>
            </w:r>
          </w:p>
        </w:tc>
        <w:tc>
          <w:tcPr>
            <w:tcW w:w="0" w:type="auto"/>
            <w:tcBorders>
              <w:bottom w:val="single" w:sz="4" w:space="0" w:color="auto"/>
            </w:tcBorders>
            <w:vAlign w:val="center"/>
            <w:hideMark/>
          </w:tcPr>
          <w:p w14:paraId="26F02A74" w14:textId="77777777" w:rsidR="004A7C41" w:rsidRPr="004A7C41" w:rsidRDefault="004A7C41" w:rsidP="004A7C41">
            <w:pPr>
              <w:rPr>
                <w:sz w:val="22"/>
                <w:szCs w:val="22"/>
              </w:rPr>
            </w:pPr>
            <w:r w:rsidRPr="004A7C41">
              <w:rPr>
                <w:sz w:val="22"/>
                <w:szCs w:val="22"/>
              </w:rPr>
              <w:t>Exploitation</w:t>
            </w:r>
          </w:p>
        </w:tc>
        <w:tc>
          <w:tcPr>
            <w:tcW w:w="0" w:type="auto"/>
            <w:tcBorders>
              <w:bottom w:val="single" w:sz="4" w:space="0" w:color="auto"/>
            </w:tcBorders>
            <w:vAlign w:val="center"/>
            <w:hideMark/>
          </w:tcPr>
          <w:p w14:paraId="6699724A" w14:textId="77777777" w:rsidR="004A7C41" w:rsidRPr="004A7C41" w:rsidRDefault="004A7C41" w:rsidP="004A7C41">
            <w:pPr>
              <w:rPr>
                <w:sz w:val="22"/>
                <w:szCs w:val="22"/>
              </w:rPr>
            </w:pPr>
            <w:r w:rsidRPr="004A7C41">
              <w:rPr>
                <w:sz w:val="22"/>
                <w:szCs w:val="22"/>
              </w:rPr>
              <w:t>The attacker can log into the Tomcat Manager, Host Manager, and Server Status interfaces using the exposed default credentials (root:owaspbwa), allowing remote command execution and deployment of malicious WAR files (NIST, 2018).</w:t>
            </w:r>
          </w:p>
        </w:tc>
      </w:tr>
      <w:tr w:rsidR="004A7C41" w:rsidRPr="004A7C41" w14:paraId="4F4324F8" w14:textId="77777777" w:rsidTr="004A7C41">
        <w:trPr>
          <w:tblCellSpacing w:w="15" w:type="dxa"/>
        </w:trPr>
        <w:tc>
          <w:tcPr>
            <w:tcW w:w="0" w:type="auto"/>
            <w:tcBorders>
              <w:bottom w:val="single" w:sz="4" w:space="0" w:color="auto"/>
            </w:tcBorders>
            <w:vAlign w:val="center"/>
            <w:hideMark/>
          </w:tcPr>
          <w:p w14:paraId="68B73F01" w14:textId="77777777" w:rsidR="004A7C41" w:rsidRPr="004A7C41" w:rsidRDefault="004A7C41" w:rsidP="004A7C41">
            <w:pPr>
              <w:rPr>
                <w:sz w:val="22"/>
                <w:szCs w:val="22"/>
              </w:rPr>
            </w:pPr>
            <w:r w:rsidRPr="004A7C41">
              <w:rPr>
                <w:sz w:val="22"/>
                <w:szCs w:val="22"/>
              </w:rPr>
              <w:t>Tiki Wiki CMS Groupware End-of-Life</w:t>
            </w:r>
          </w:p>
        </w:tc>
        <w:tc>
          <w:tcPr>
            <w:tcW w:w="0" w:type="auto"/>
            <w:tcBorders>
              <w:bottom w:val="single" w:sz="4" w:space="0" w:color="auto"/>
            </w:tcBorders>
            <w:vAlign w:val="center"/>
            <w:hideMark/>
          </w:tcPr>
          <w:p w14:paraId="58F8E9DF" w14:textId="77777777" w:rsidR="004A7C41" w:rsidRPr="004A7C41" w:rsidRDefault="004A7C41" w:rsidP="004A7C41">
            <w:pPr>
              <w:rPr>
                <w:sz w:val="22"/>
                <w:szCs w:val="22"/>
              </w:rPr>
            </w:pPr>
            <w:r w:rsidRPr="004A7C41">
              <w:rPr>
                <w:sz w:val="22"/>
                <w:szCs w:val="22"/>
              </w:rPr>
              <w:t>Weaponization</w:t>
            </w:r>
          </w:p>
        </w:tc>
        <w:tc>
          <w:tcPr>
            <w:tcW w:w="0" w:type="auto"/>
            <w:tcBorders>
              <w:bottom w:val="single" w:sz="4" w:space="0" w:color="auto"/>
            </w:tcBorders>
            <w:vAlign w:val="center"/>
            <w:hideMark/>
          </w:tcPr>
          <w:p w14:paraId="6030E80D" w14:textId="77777777" w:rsidR="004A7C41" w:rsidRPr="004A7C41" w:rsidRDefault="004A7C41" w:rsidP="004A7C41">
            <w:pPr>
              <w:rPr>
                <w:sz w:val="22"/>
                <w:szCs w:val="22"/>
              </w:rPr>
            </w:pPr>
            <w:r w:rsidRPr="004A7C41">
              <w:rPr>
                <w:sz w:val="22"/>
                <w:szCs w:val="22"/>
              </w:rPr>
              <w:t>Since the software is outdated (version 1.9.5) and no longer supported, an attacker can craft specific exploits (e.g., SQL injection, remote file inclusion) targeting known vulnerabilities before attempting delivery (Scarfone and Mell, 2009; Greenbone, 2023).</w:t>
            </w:r>
          </w:p>
        </w:tc>
      </w:tr>
      <w:tr w:rsidR="004A7C41" w:rsidRPr="004A7C41" w14:paraId="58F64612" w14:textId="77777777">
        <w:trPr>
          <w:tblCellSpacing w:w="15" w:type="dxa"/>
        </w:trPr>
        <w:tc>
          <w:tcPr>
            <w:tcW w:w="0" w:type="auto"/>
            <w:vAlign w:val="center"/>
            <w:hideMark/>
          </w:tcPr>
          <w:p w14:paraId="5DEE2DA9" w14:textId="77777777" w:rsidR="004A7C41" w:rsidRPr="004A7C41" w:rsidRDefault="004A7C41" w:rsidP="004A7C41">
            <w:pPr>
              <w:rPr>
                <w:sz w:val="22"/>
                <w:szCs w:val="22"/>
              </w:rPr>
            </w:pPr>
            <w:r w:rsidRPr="004A7C41">
              <w:rPr>
                <w:sz w:val="22"/>
                <w:szCs w:val="22"/>
              </w:rPr>
              <w:t>Ubuntu 10.04 Operating System End-of-Life</w:t>
            </w:r>
          </w:p>
        </w:tc>
        <w:tc>
          <w:tcPr>
            <w:tcW w:w="0" w:type="auto"/>
            <w:vAlign w:val="center"/>
            <w:hideMark/>
          </w:tcPr>
          <w:p w14:paraId="155A97FF" w14:textId="77777777" w:rsidR="004A7C41" w:rsidRPr="004A7C41" w:rsidRDefault="004A7C41" w:rsidP="004A7C41">
            <w:pPr>
              <w:rPr>
                <w:sz w:val="22"/>
                <w:szCs w:val="22"/>
              </w:rPr>
            </w:pPr>
            <w:r w:rsidRPr="004A7C41">
              <w:rPr>
                <w:sz w:val="22"/>
                <w:szCs w:val="22"/>
              </w:rPr>
              <w:t>Installation / Persistence</w:t>
            </w:r>
          </w:p>
        </w:tc>
        <w:tc>
          <w:tcPr>
            <w:tcW w:w="0" w:type="auto"/>
            <w:vAlign w:val="center"/>
            <w:hideMark/>
          </w:tcPr>
          <w:p w14:paraId="4F85BED1" w14:textId="77777777" w:rsidR="004A7C41" w:rsidRPr="004A7C41" w:rsidRDefault="004A7C41" w:rsidP="004A7C41">
            <w:pPr>
              <w:rPr>
                <w:sz w:val="22"/>
                <w:szCs w:val="22"/>
              </w:rPr>
            </w:pPr>
            <w:r w:rsidRPr="004A7C41">
              <w:rPr>
                <w:sz w:val="22"/>
                <w:szCs w:val="22"/>
              </w:rPr>
              <w:t>The outdated OS lacks security patches, enabling an attacker to install backdoors, escalate privileges, or maintain persistent access on the system (NIST, 2020; CIS, 2021).</w:t>
            </w:r>
          </w:p>
        </w:tc>
      </w:tr>
    </w:tbl>
    <w:p w14:paraId="4D71B593" w14:textId="77777777" w:rsidR="004A7C41" w:rsidRDefault="004A7C41" w:rsidP="00D85FA1">
      <w:pPr>
        <w:rPr>
          <w:b/>
          <w:bCs/>
          <w:sz w:val="22"/>
          <w:szCs w:val="22"/>
        </w:rPr>
      </w:pPr>
    </w:p>
    <w:p w14:paraId="4810F23B" w14:textId="158293ED" w:rsidR="00774B05" w:rsidRDefault="004A7C41" w:rsidP="00D85FA1">
      <w:pPr>
        <w:rPr>
          <w:sz w:val="22"/>
          <w:szCs w:val="22"/>
        </w:rPr>
      </w:pPr>
      <w:r w:rsidRPr="004A7C41">
        <w:rPr>
          <w:b/>
          <w:bCs/>
          <w:sz w:val="22"/>
          <w:szCs w:val="22"/>
        </w:rPr>
        <w:t>Explanation:</w:t>
      </w:r>
      <w:r w:rsidRPr="004A7C41">
        <w:rPr>
          <w:sz w:val="22"/>
          <w:szCs w:val="22"/>
        </w:rPr>
        <w:br/>
        <w:t>Mapping each vulnerability to the Cyber Kill Chain stages demonstrates how an attacker could progress from weaponizing known weaknesses to exploiting the system and establishing persistence. This approach highlights precisely where security controls can intervene to break the chain of attack (Hutchins, Cloppert and Amin, 2011).</w:t>
      </w:r>
    </w:p>
    <w:p w14:paraId="17A33BBE" w14:textId="77777777" w:rsidR="004A7C41" w:rsidRDefault="004A7C41" w:rsidP="00D85FA1">
      <w:pPr>
        <w:rPr>
          <w:sz w:val="22"/>
          <w:szCs w:val="22"/>
        </w:rPr>
      </w:pPr>
    </w:p>
    <w:p w14:paraId="67A63010" w14:textId="77777777" w:rsidR="004A7C41" w:rsidRDefault="004A7C41" w:rsidP="00D85FA1">
      <w:pPr>
        <w:rPr>
          <w:b/>
          <w:bCs/>
          <w:sz w:val="22"/>
          <w:szCs w:val="22"/>
        </w:rPr>
      </w:pPr>
    </w:p>
    <w:p w14:paraId="1B4ACDEA" w14:textId="77777777" w:rsidR="004A7C41" w:rsidRDefault="004A7C41" w:rsidP="00D85FA1">
      <w:pPr>
        <w:rPr>
          <w:b/>
          <w:bCs/>
          <w:sz w:val="22"/>
          <w:szCs w:val="22"/>
        </w:rPr>
      </w:pPr>
    </w:p>
    <w:p w14:paraId="2C71D20C" w14:textId="77777777" w:rsidR="004A7C41" w:rsidRDefault="004A7C41" w:rsidP="00D85FA1">
      <w:pPr>
        <w:rPr>
          <w:b/>
          <w:bCs/>
          <w:sz w:val="22"/>
          <w:szCs w:val="22"/>
        </w:rPr>
      </w:pPr>
    </w:p>
    <w:p w14:paraId="24C0ECDC" w14:textId="1FCA3C23" w:rsidR="00217613" w:rsidRDefault="00EE217C" w:rsidP="00D85FA1">
      <w:pPr>
        <w:rPr>
          <w:b/>
          <w:bCs/>
        </w:rPr>
      </w:pPr>
      <w:r w:rsidRPr="00EE217C">
        <w:rPr>
          <w:b/>
          <w:bCs/>
        </w:rPr>
        <w:lastRenderedPageBreak/>
        <w:t>Task 2: Security Attacks and Defences</w:t>
      </w:r>
    </w:p>
    <w:p w14:paraId="0C0567D9" w14:textId="77777777" w:rsidR="00EC7292" w:rsidRPr="00EC7292" w:rsidRDefault="00EC7292" w:rsidP="00EC7292">
      <w:pPr>
        <w:rPr>
          <w:b/>
          <w:bCs/>
          <w:sz w:val="22"/>
          <w:szCs w:val="22"/>
        </w:rPr>
      </w:pPr>
      <w:r w:rsidRPr="00EC7292">
        <w:rPr>
          <w:b/>
          <w:bCs/>
          <w:sz w:val="22"/>
          <w:szCs w:val="22"/>
        </w:rPr>
        <w:t>Potential Attacks Against the Target VM</w:t>
      </w:r>
    </w:p>
    <w:p w14:paraId="7862144C" w14:textId="77777777" w:rsidR="00015E62" w:rsidRPr="00015E62" w:rsidRDefault="00015E62" w:rsidP="00015E62">
      <w:pPr>
        <w:rPr>
          <w:sz w:val="22"/>
          <w:szCs w:val="22"/>
        </w:rPr>
      </w:pPr>
      <w:r w:rsidRPr="00015E62">
        <w:rPr>
          <w:sz w:val="22"/>
          <w:szCs w:val="22"/>
        </w:rPr>
        <w:t xml:space="preserve">Using OpenVAS vulnerability scanning, several potential attacks were identified against the target virtual machine. The scan results showed that </w:t>
      </w:r>
      <w:r w:rsidRPr="00015E62">
        <w:rPr>
          <w:b/>
          <w:bCs/>
          <w:sz w:val="22"/>
          <w:szCs w:val="22"/>
        </w:rPr>
        <w:t>port 80 (HTTP)</w:t>
      </w:r>
      <w:r w:rsidRPr="00015E62">
        <w:rPr>
          <w:sz w:val="22"/>
          <w:szCs w:val="22"/>
        </w:rPr>
        <w:t xml:space="preserve"> and </w:t>
      </w:r>
      <w:r w:rsidRPr="00015E62">
        <w:rPr>
          <w:b/>
          <w:bCs/>
          <w:sz w:val="22"/>
          <w:szCs w:val="22"/>
        </w:rPr>
        <w:t>port 53 (DNS)</w:t>
      </w:r>
      <w:r w:rsidRPr="00015E62">
        <w:rPr>
          <w:sz w:val="22"/>
          <w:szCs w:val="22"/>
        </w:rPr>
        <w:t xml:space="preserve"> were open, exposing services that are frequently targeted by attackers. If these vulnerabilities existed within a real organisational network, they could present serious security risks.</w:t>
      </w:r>
    </w:p>
    <w:p w14:paraId="65B1AA95" w14:textId="77777777" w:rsidR="00015E62" w:rsidRPr="00015E62" w:rsidRDefault="00015E62" w:rsidP="00015E62">
      <w:pPr>
        <w:rPr>
          <w:sz w:val="22"/>
          <w:szCs w:val="22"/>
        </w:rPr>
      </w:pPr>
      <w:r w:rsidRPr="00015E62">
        <w:rPr>
          <w:sz w:val="22"/>
          <w:szCs w:val="22"/>
        </w:rPr>
        <w:t xml:space="preserve">The HTTP service running on port 80 represents a common and high-risk attack vector. Web servers are often targeted due to misconfigurations, outdated software, or insecure application code. Vulnerabilities affecting HTTP services can allow attackers to conduct </w:t>
      </w:r>
      <w:r w:rsidRPr="00015E62">
        <w:rPr>
          <w:b/>
          <w:bCs/>
          <w:sz w:val="22"/>
          <w:szCs w:val="22"/>
        </w:rPr>
        <w:t>web-based attacks</w:t>
      </w:r>
      <w:r w:rsidRPr="00015E62">
        <w:rPr>
          <w:sz w:val="22"/>
          <w:szCs w:val="22"/>
        </w:rPr>
        <w:t xml:space="preserve"> such as SQL injection, cross-site scripting (XSS), and directory traversal. Successful exploitation could result in unauthorised access to sensitive data, modification of web content, or remote command execution on the server. In an enterprise environment, a compromised web server is often used as an initial foothold, enabling attackers to move laterally to other systems on the network (ENISA, 2023).</w:t>
      </w:r>
    </w:p>
    <w:p w14:paraId="6BEA0372" w14:textId="77777777" w:rsidR="00015E62" w:rsidRPr="00015E62" w:rsidRDefault="00015E62" w:rsidP="00015E62">
      <w:pPr>
        <w:rPr>
          <w:sz w:val="22"/>
          <w:szCs w:val="22"/>
        </w:rPr>
      </w:pPr>
      <w:r w:rsidRPr="00015E62">
        <w:rPr>
          <w:sz w:val="22"/>
          <w:szCs w:val="22"/>
        </w:rPr>
        <w:t xml:space="preserve">The DNS service exposed on port 53 also introduces multiple attack possibilities. Misconfigured DNS servers can be exploited for </w:t>
      </w:r>
      <w:r w:rsidRPr="00015E62">
        <w:rPr>
          <w:b/>
          <w:bCs/>
          <w:sz w:val="22"/>
          <w:szCs w:val="22"/>
        </w:rPr>
        <w:t>DNS enumeration</w:t>
      </w:r>
      <w:r w:rsidRPr="00015E62">
        <w:rPr>
          <w:sz w:val="22"/>
          <w:szCs w:val="22"/>
        </w:rPr>
        <w:t xml:space="preserve">, allowing attackers to gather information about internal hostnames and network structure. Additionally, DNS services can be abused in </w:t>
      </w:r>
      <w:r w:rsidRPr="00015E62">
        <w:rPr>
          <w:b/>
          <w:bCs/>
          <w:sz w:val="22"/>
          <w:szCs w:val="22"/>
        </w:rPr>
        <w:t>denial-of-service (DoS) and DNS amplification attacks</w:t>
      </w:r>
      <w:r w:rsidRPr="00015E62">
        <w:rPr>
          <w:sz w:val="22"/>
          <w:szCs w:val="22"/>
        </w:rPr>
        <w:t>, where attackers generate large volumes of traffic to disrupt service availability. In a real network, this could lead to prolonged outages and disruption of critical business services (Cloudflare, 2024).</w:t>
      </w:r>
    </w:p>
    <w:p w14:paraId="28379A51" w14:textId="6D1C0972" w:rsidR="00015E62" w:rsidRDefault="00015E62" w:rsidP="00015E62">
      <w:pPr>
        <w:rPr>
          <w:sz w:val="22"/>
          <w:szCs w:val="22"/>
        </w:rPr>
      </w:pPr>
      <w:r w:rsidRPr="00015E62">
        <w:rPr>
          <w:sz w:val="22"/>
          <w:szCs w:val="22"/>
        </w:rPr>
        <w:t xml:space="preserve">Furthermore, OpenVAS scans may identify weaknesses related to insecure service configurations or excessive privileges. These weaknesses can be exploited through </w:t>
      </w:r>
      <w:r w:rsidRPr="00015E62">
        <w:rPr>
          <w:b/>
          <w:bCs/>
          <w:sz w:val="22"/>
          <w:szCs w:val="22"/>
        </w:rPr>
        <w:t>privilege escalation attacks</w:t>
      </w:r>
      <w:r w:rsidRPr="00015E62">
        <w:rPr>
          <w:sz w:val="22"/>
          <w:szCs w:val="22"/>
        </w:rPr>
        <w:t>, where an attacker gains elevated permissions after initially compromising a low-privileged service. Privilege escalation can allow attackers to install malware, disable security controls, or exfiltrate confidential data, significantly increasing the impact of an attack (NIST, 2020).</w:t>
      </w:r>
    </w:p>
    <w:p w14:paraId="7EFB069C" w14:textId="77777777" w:rsidR="008351F7" w:rsidRPr="00015E62" w:rsidRDefault="008351F7" w:rsidP="00015E62">
      <w:pPr>
        <w:rPr>
          <w:sz w:val="22"/>
          <w:szCs w:val="22"/>
        </w:rPr>
      </w:pPr>
    </w:p>
    <w:p w14:paraId="7827DFE7" w14:textId="77777777" w:rsidR="00015E62" w:rsidRPr="00015E62" w:rsidRDefault="00015E62" w:rsidP="00015E62">
      <w:pPr>
        <w:rPr>
          <w:b/>
          <w:bCs/>
          <w:sz w:val="22"/>
          <w:szCs w:val="22"/>
        </w:rPr>
      </w:pPr>
      <w:r w:rsidRPr="00015E62">
        <w:rPr>
          <w:b/>
          <w:bCs/>
          <w:sz w:val="22"/>
          <w:szCs w:val="22"/>
        </w:rPr>
        <w:t>2. Recommended Defences and Countermeasures</w:t>
      </w:r>
    </w:p>
    <w:p w14:paraId="2CC58FE3" w14:textId="77777777" w:rsidR="00015E62" w:rsidRPr="00015E62" w:rsidRDefault="00015E62" w:rsidP="00015E62">
      <w:pPr>
        <w:rPr>
          <w:sz w:val="22"/>
          <w:szCs w:val="22"/>
        </w:rPr>
      </w:pPr>
      <w:r w:rsidRPr="00015E62">
        <w:rPr>
          <w:sz w:val="22"/>
          <w:szCs w:val="22"/>
        </w:rPr>
        <w:t xml:space="preserve">To mitigate the identified threats, a layered security approach should be implemented. For HTTP-related vulnerabilities, organisations should ensure that web servers and applications are regularly patched and securely configured. Unnecessary services and default configurations should be removed to reduce the attack surface. Implementing </w:t>
      </w:r>
      <w:r w:rsidRPr="00015E62">
        <w:rPr>
          <w:b/>
          <w:bCs/>
          <w:sz w:val="22"/>
          <w:szCs w:val="22"/>
        </w:rPr>
        <w:t>HTTPS using TLS encryption</w:t>
      </w:r>
      <w:r w:rsidRPr="00015E62">
        <w:rPr>
          <w:sz w:val="22"/>
          <w:szCs w:val="22"/>
        </w:rPr>
        <w:t xml:space="preserve"> protects data in transit and reduces the risk of interception or manipulation. Secure development practices and regular security testing further reduce exposure to application-level attacks (ENISA, 2023).</w:t>
      </w:r>
    </w:p>
    <w:p w14:paraId="322DD1C1" w14:textId="77777777" w:rsidR="00015E62" w:rsidRPr="00015E62" w:rsidRDefault="00015E62" w:rsidP="00015E62">
      <w:pPr>
        <w:rPr>
          <w:sz w:val="22"/>
          <w:szCs w:val="22"/>
        </w:rPr>
      </w:pPr>
      <w:r w:rsidRPr="00015E62">
        <w:rPr>
          <w:sz w:val="22"/>
          <w:szCs w:val="22"/>
        </w:rPr>
        <w:t>DNS-related threats can be mitigated by hardening DNS server configurations. Zone transfers should be restricted, and recursive queries should be limited to authorised systems only. Implementing rate limiting and monitoring DNS traffic helps defend against DNS amplification attacks. Additionally, network firewalls and intrusion detection systems can provide early detection of abnormal DNS behaviour (Cloudflare, 2024).</w:t>
      </w:r>
    </w:p>
    <w:p w14:paraId="22D4AE3C" w14:textId="77777777" w:rsidR="00015E62" w:rsidRPr="00015E62" w:rsidRDefault="00015E62" w:rsidP="00015E62">
      <w:pPr>
        <w:rPr>
          <w:sz w:val="22"/>
          <w:szCs w:val="22"/>
        </w:rPr>
      </w:pPr>
      <w:r w:rsidRPr="00015E62">
        <w:rPr>
          <w:sz w:val="22"/>
          <w:szCs w:val="22"/>
        </w:rPr>
        <w:lastRenderedPageBreak/>
        <w:t xml:space="preserve">To reduce the risk of privilege escalation, organisations should enforce the </w:t>
      </w:r>
      <w:r w:rsidRPr="00015E62">
        <w:rPr>
          <w:b/>
          <w:bCs/>
          <w:sz w:val="22"/>
          <w:szCs w:val="22"/>
        </w:rPr>
        <w:t>principle of least privilege</w:t>
      </w:r>
      <w:r w:rsidRPr="00015E62">
        <w:rPr>
          <w:sz w:val="22"/>
          <w:szCs w:val="22"/>
        </w:rPr>
        <w:t>, ensuring users and services have only the permissions required to perform their roles. Strong password policies, multi-factor authentication (MFA), and regular account reviews significantly reduce the likelihood of unauthorised access. Routine vulnerability scanning using tools such as OpenVAS enables organisations to identify and remediate security weaknesses before they are exploited (NIST, 2020).</w:t>
      </w:r>
    </w:p>
    <w:p w14:paraId="542CF476" w14:textId="77777777" w:rsidR="00015E62" w:rsidRPr="00015E62" w:rsidRDefault="00015E62" w:rsidP="00015E62">
      <w:pPr>
        <w:rPr>
          <w:sz w:val="22"/>
          <w:szCs w:val="22"/>
        </w:rPr>
      </w:pPr>
      <w:r w:rsidRPr="00015E62">
        <w:rPr>
          <w:sz w:val="22"/>
          <w:szCs w:val="22"/>
        </w:rPr>
        <w:t xml:space="preserve">Finally, </w:t>
      </w:r>
      <w:r w:rsidRPr="00015E62">
        <w:rPr>
          <w:b/>
          <w:bCs/>
          <w:sz w:val="22"/>
          <w:szCs w:val="22"/>
        </w:rPr>
        <w:t>network segmentation and firewall rules</w:t>
      </w:r>
      <w:r w:rsidRPr="00015E62">
        <w:rPr>
          <w:sz w:val="22"/>
          <w:szCs w:val="22"/>
        </w:rPr>
        <w:t xml:space="preserve"> should be implemented to limit lateral movement within the network. Centralised logging and continuous monitoring improve visibility and support rapid incident detection and response, strengthening the organisation’s overall security posture.</w:t>
      </w:r>
    </w:p>
    <w:p w14:paraId="544ECB09" w14:textId="77777777" w:rsidR="00605027" w:rsidRDefault="00605027" w:rsidP="00D85FA1">
      <w:pPr>
        <w:rPr>
          <w:b/>
          <w:bCs/>
        </w:rPr>
      </w:pPr>
    </w:p>
    <w:p w14:paraId="77D3731D" w14:textId="219B0D02" w:rsidR="00217613" w:rsidRDefault="3E7F1D52" w:rsidP="00D85FA1">
      <w:pPr>
        <w:rPr>
          <w:b/>
          <w:bCs/>
        </w:rPr>
      </w:pPr>
      <w:r w:rsidRPr="0826E467">
        <w:rPr>
          <w:b/>
          <w:bCs/>
        </w:rPr>
        <w:t>Task 3: Propose a Framework to Secure the Network</w:t>
      </w:r>
    </w:p>
    <w:p w14:paraId="5CEFEE7B"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Improving the security of an organisation’s network requires more than simply fixing individual vulnerabilities. A structured approach is needed so that risks are managed consistently and security controls are applied across the entire system. From the results of Tasks 1 and 2, several weaknesses were identified, including outdated software, exposed services, and default credentials. To address these issues, this section proposes implementing a security framework based on the </w:t>
      </w:r>
      <w:r w:rsidRPr="006E1C7A">
        <w:rPr>
          <w:rFonts w:ascii="Aptos" w:eastAsia="Aptos" w:hAnsi="Aptos" w:cs="Aptos"/>
          <w:b/>
          <w:bCs/>
          <w:sz w:val="22"/>
          <w:szCs w:val="22"/>
        </w:rPr>
        <w:t>CIS Critical Security Controls</w:t>
      </w:r>
      <w:r w:rsidRPr="006E1C7A">
        <w:rPr>
          <w:rFonts w:ascii="Aptos" w:eastAsia="Aptos" w:hAnsi="Aptos" w:cs="Aptos"/>
          <w:sz w:val="22"/>
          <w:szCs w:val="22"/>
        </w:rPr>
        <w:t xml:space="preserve"> and the </w:t>
      </w:r>
      <w:r w:rsidRPr="006E1C7A">
        <w:rPr>
          <w:rFonts w:ascii="Aptos" w:eastAsia="Aptos" w:hAnsi="Aptos" w:cs="Aptos"/>
          <w:b/>
          <w:bCs/>
          <w:sz w:val="22"/>
          <w:szCs w:val="22"/>
        </w:rPr>
        <w:t>NIST Cybersecurity Framework</w:t>
      </w:r>
      <w:r w:rsidRPr="006E1C7A">
        <w:rPr>
          <w:rFonts w:ascii="Aptos" w:eastAsia="Aptos" w:hAnsi="Aptos" w:cs="Aptos"/>
          <w:sz w:val="22"/>
          <w:szCs w:val="22"/>
        </w:rPr>
        <w:t>.</w:t>
      </w:r>
    </w:p>
    <w:p w14:paraId="7B9CCC02"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The </w:t>
      </w:r>
      <w:r w:rsidRPr="006E1C7A">
        <w:rPr>
          <w:rFonts w:ascii="Aptos" w:eastAsia="Aptos" w:hAnsi="Aptos" w:cs="Aptos"/>
          <w:b/>
          <w:bCs/>
          <w:sz w:val="22"/>
          <w:szCs w:val="22"/>
        </w:rPr>
        <w:t>CIS Critical Security Controls</w:t>
      </w:r>
      <w:r w:rsidRPr="006E1C7A">
        <w:rPr>
          <w:rFonts w:ascii="Aptos" w:eastAsia="Aptos" w:hAnsi="Aptos" w:cs="Aptos"/>
          <w:sz w:val="22"/>
          <w:szCs w:val="22"/>
        </w:rPr>
        <w:t xml:space="preserve"> are widely used in cybersecurity because they provide practical and prioritised guidance for protecting systems against common threats. Unlike some frameworks that focus mainly on compliance, the CIS controls concentrate on technical actions that directly reduce vulnerabilities within a network. This makes them particularly useful in this scenario, where the scans identified weaknesses such as the end-of-life Ubuntu operating system and exposed web services. By applying these controls, the organisation can reduce its attack surface and ensure that systems are configured and maintained securely (CIS, 2021).</w:t>
      </w:r>
    </w:p>
    <w:p w14:paraId="494B5513"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Two CIS controls that are particularly relevant to the identified vulnerabilities are </w:t>
      </w:r>
      <w:r w:rsidRPr="006E1C7A">
        <w:rPr>
          <w:rFonts w:ascii="Aptos" w:eastAsia="Aptos" w:hAnsi="Aptos" w:cs="Aptos"/>
          <w:b/>
          <w:bCs/>
          <w:sz w:val="22"/>
          <w:szCs w:val="22"/>
        </w:rPr>
        <w:t>Control 10: Malware Defences</w:t>
      </w:r>
      <w:r w:rsidRPr="006E1C7A">
        <w:rPr>
          <w:rFonts w:ascii="Aptos" w:eastAsia="Aptos" w:hAnsi="Aptos" w:cs="Aptos"/>
          <w:sz w:val="22"/>
          <w:szCs w:val="22"/>
        </w:rPr>
        <w:t xml:space="preserve"> and </w:t>
      </w:r>
      <w:r w:rsidRPr="006E1C7A">
        <w:rPr>
          <w:rFonts w:ascii="Aptos" w:eastAsia="Aptos" w:hAnsi="Aptos" w:cs="Aptos"/>
          <w:b/>
          <w:bCs/>
          <w:sz w:val="22"/>
          <w:szCs w:val="22"/>
        </w:rPr>
        <w:t>Control 14: Security Awareness and Skills Training</w:t>
      </w:r>
      <w:r w:rsidRPr="006E1C7A">
        <w:rPr>
          <w:rFonts w:ascii="Aptos" w:eastAsia="Aptos" w:hAnsi="Aptos" w:cs="Aptos"/>
          <w:sz w:val="22"/>
          <w:szCs w:val="22"/>
        </w:rPr>
        <w:t>. Control 10 focuses on preventing malicious software from being installed or executed on systems. This is important because services such as Apache Tomcat or outdated web applications could potentially be exploited to upload malicious files. Implementing anti-malware tools, restricting unauthorised software installations, and monitoring systems for suspicious activity can help reduce the risk of malware infections (Scarfone and Mell, 2009).</w:t>
      </w:r>
    </w:p>
    <w:p w14:paraId="6A0B868D"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Control 14 focuses on improving security awareness among staff and system administrators. The vulnerability assessment identified default credentials within the Apache Tomcat service, which demonstrates how weak authentication practices can introduce serious risks. Providing regular security training helps ensure that employees understand the importance of strong passwords, secure configurations, and good security practices. Activities such as awareness sessions or simulated phishing exercises can also help reduce the chances of human error leading to a security breach.</w:t>
      </w:r>
    </w:p>
    <w:p w14:paraId="5735C875"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lastRenderedPageBreak/>
        <w:t xml:space="preserve">Alongside the CIS controls, the </w:t>
      </w:r>
      <w:r w:rsidRPr="006E1C7A">
        <w:rPr>
          <w:rFonts w:ascii="Aptos" w:eastAsia="Aptos" w:hAnsi="Aptos" w:cs="Aptos"/>
          <w:b/>
          <w:bCs/>
          <w:sz w:val="22"/>
          <w:szCs w:val="22"/>
        </w:rPr>
        <w:t>NIST Cybersecurity Framework</w:t>
      </w:r>
      <w:r w:rsidRPr="006E1C7A">
        <w:rPr>
          <w:rFonts w:ascii="Aptos" w:eastAsia="Aptos" w:hAnsi="Aptos" w:cs="Aptos"/>
          <w:sz w:val="22"/>
          <w:szCs w:val="22"/>
        </w:rPr>
        <w:t xml:space="preserve"> can be used to support a broader risk management approach. This framework organises cybersecurity activities into five key functions: </w:t>
      </w:r>
      <w:r w:rsidRPr="006E1C7A">
        <w:rPr>
          <w:rFonts w:ascii="Aptos" w:eastAsia="Aptos" w:hAnsi="Aptos" w:cs="Aptos"/>
          <w:b/>
          <w:bCs/>
          <w:sz w:val="22"/>
          <w:szCs w:val="22"/>
        </w:rPr>
        <w:t>Identify, Protect, Detect, Respond, and Recover</w:t>
      </w:r>
      <w:r w:rsidRPr="006E1C7A">
        <w:rPr>
          <w:rFonts w:ascii="Aptos" w:eastAsia="Aptos" w:hAnsi="Aptos" w:cs="Aptos"/>
          <w:sz w:val="22"/>
          <w:szCs w:val="22"/>
        </w:rPr>
        <w:t xml:space="preserve"> (NIST, 2018). These stages help organisations manage security throughout the entire lifecycle of an attack. For example, the vulnerability scans carried out earlier contribute to the </w:t>
      </w:r>
      <w:r w:rsidRPr="006E1C7A">
        <w:rPr>
          <w:rFonts w:ascii="Aptos" w:eastAsia="Aptos" w:hAnsi="Aptos" w:cs="Aptos"/>
          <w:b/>
          <w:bCs/>
          <w:sz w:val="22"/>
          <w:szCs w:val="22"/>
        </w:rPr>
        <w:t>Identify</w:t>
      </w:r>
      <w:r w:rsidRPr="006E1C7A">
        <w:rPr>
          <w:rFonts w:ascii="Aptos" w:eastAsia="Aptos" w:hAnsi="Aptos" w:cs="Aptos"/>
          <w:sz w:val="22"/>
          <w:szCs w:val="22"/>
        </w:rPr>
        <w:t xml:space="preserve"> stage by highlighting weaknesses in the system. Implementing security controls and patching vulnerabilities supports the </w:t>
      </w:r>
      <w:r w:rsidRPr="006E1C7A">
        <w:rPr>
          <w:rFonts w:ascii="Aptos" w:eastAsia="Aptos" w:hAnsi="Aptos" w:cs="Aptos"/>
          <w:b/>
          <w:bCs/>
          <w:sz w:val="22"/>
          <w:szCs w:val="22"/>
        </w:rPr>
        <w:t>Protect</w:t>
      </w:r>
      <w:r w:rsidRPr="006E1C7A">
        <w:rPr>
          <w:rFonts w:ascii="Aptos" w:eastAsia="Aptos" w:hAnsi="Aptos" w:cs="Aptos"/>
          <w:sz w:val="22"/>
          <w:szCs w:val="22"/>
        </w:rPr>
        <w:t xml:space="preserve"> stage, while monitoring systems and analysing logs contributes to the </w:t>
      </w:r>
      <w:r w:rsidRPr="006E1C7A">
        <w:rPr>
          <w:rFonts w:ascii="Aptos" w:eastAsia="Aptos" w:hAnsi="Aptos" w:cs="Aptos"/>
          <w:b/>
          <w:bCs/>
          <w:sz w:val="22"/>
          <w:szCs w:val="22"/>
        </w:rPr>
        <w:t>Detect</w:t>
      </w:r>
      <w:r w:rsidRPr="006E1C7A">
        <w:rPr>
          <w:rFonts w:ascii="Aptos" w:eastAsia="Aptos" w:hAnsi="Aptos" w:cs="Aptos"/>
          <w:sz w:val="22"/>
          <w:szCs w:val="22"/>
        </w:rPr>
        <w:t xml:space="preserve"> and </w:t>
      </w:r>
      <w:r w:rsidRPr="006E1C7A">
        <w:rPr>
          <w:rFonts w:ascii="Aptos" w:eastAsia="Aptos" w:hAnsi="Aptos" w:cs="Aptos"/>
          <w:b/>
          <w:bCs/>
          <w:sz w:val="22"/>
          <w:szCs w:val="22"/>
        </w:rPr>
        <w:t>Respond</w:t>
      </w:r>
      <w:r w:rsidRPr="006E1C7A">
        <w:rPr>
          <w:rFonts w:ascii="Aptos" w:eastAsia="Aptos" w:hAnsi="Aptos" w:cs="Aptos"/>
          <w:sz w:val="22"/>
          <w:szCs w:val="22"/>
        </w:rPr>
        <w:t xml:space="preserve"> stages.</w:t>
      </w:r>
    </w:p>
    <w:p w14:paraId="4558064C" w14:textId="77777777"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To support these frameworks in practice, organisations should implement clear security policies. One important policy is a </w:t>
      </w:r>
      <w:r w:rsidRPr="006E1C7A">
        <w:rPr>
          <w:rFonts w:ascii="Aptos" w:eastAsia="Aptos" w:hAnsi="Aptos" w:cs="Aptos"/>
          <w:b/>
          <w:bCs/>
          <w:sz w:val="22"/>
          <w:szCs w:val="22"/>
        </w:rPr>
        <w:t>Password and Account Management Policy</w:t>
      </w:r>
      <w:r w:rsidRPr="006E1C7A">
        <w:rPr>
          <w:rFonts w:ascii="Aptos" w:eastAsia="Aptos" w:hAnsi="Aptos" w:cs="Aptos"/>
          <w:sz w:val="22"/>
          <w:szCs w:val="22"/>
        </w:rPr>
        <w:t>, which ensures that strong authentication practices are enforced across the network. This includes requirements for complex passwords, regular password changes, and the removal of default credentials. Multi-factor authentication should also be used for accounts with administrative privileges to reduce the risk of unauthorised access (CIS, 2021).</w:t>
      </w:r>
    </w:p>
    <w:p w14:paraId="293C8B69" w14:textId="77777777" w:rsidR="009D5047" w:rsidRDefault="009D5047" w:rsidP="006E1C7A">
      <w:pPr>
        <w:spacing w:before="240" w:after="240"/>
        <w:rPr>
          <w:rFonts w:ascii="Aptos" w:eastAsia="Aptos" w:hAnsi="Aptos" w:cs="Aptos"/>
          <w:sz w:val="22"/>
          <w:szCs w:val="22"/>
        </w:rPr>
      </w:pPr>
    </w:p>
    <w:p w14:paraId="74654DDE" w14:textId="6F1F924D" w:rsidR="006E1C7A"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Another important policy is a </w:t>
      </w:r>
      <w:r w:rsidRPr="006E1C7A">
        <w:rPr>
          <w:rFonts w:ascii="Aptos" w:eastAsia="Aptos" w:hAnsi="Aptos" w:cs="Aptos"/>
          <w:b/>
          <w:bCs/>
          <w:sz w:val="22"/>
          <w:szCs w:val="22"/>
        </w:rPr>
        <w:t>Patch Management Policy</w:t>
      </w:r>
      <w:r w:rsidRPr="006E1C7A">
        <w:rPr>
          <w:rFonts w:ascii="Aptos" w:eastAsia="Aptos" w:hAnsi="Aptos" w:cs="Aptos"/>
          <w:sz w:val="22"/>
          <w:szCs w:val="22"/>
        </w:rPr>
        <w:t>. The vulnerability scans revealed that the target system was running outdated software, including Ubuntu 10.04, which no longer receives security updates. A patch management policy ensures that operating systems and applications are regularly updated to address known vulnerabilities. Regular vulnerability scans should also be carried out to identify new weaknesses so they can be resolved quickly (NIST, 2018).</w:t>
      </w:r>
      <w:r w:rsidR="009D5047">
        <w:rPr>
          <w:rFonts w:ascii="Aptos" w:eastAsia="Aptos" w:hAnsi="Aptos" w:cs="Aptos"/>
          <w:sz w:val="22"/>
          <w:szCs w:val="22"/>
        </w:rPr>
        <w:t xml:space="preserve"> </w:t>
      </w:r>
      <w:r w:rsidRPr="006E1C7A">
        <w:rPr>
          <w:rFonts w:ascii="Aptos" w:eastAsia="Aptos" w:hAnsi="Aptos" w:cs="Aptos"/>
          <w:sz w:val="22"/>
          <w:szCs w:val="22"/>
        </w:rPr>
        <w:t>Continuous monitoring is also necessary to ensure that these policies remain effective. This can include reviewing system logs, monitoring network traffic, and carrying out regular security audits. By doing this, organisations can detect suspicious behaviour early and respond before serious damage occurs. Monitoring also helps ensure that security controls continue to work as intended.</w:t>
      </w:r>
    </w:p>
    <w:p w14:paraId="783477BD" w14:textId="21602939" w:rsidR="009D5047" w:rsidRPr="006E1C7A" w:rsidRDefault="006E1C7A" w:rsidP="006E1C7A">
      <w:pPr>
        <w:spacing w:before="240" w:after="240"/>
        <w:rPr>
          <w:rFonts w:ascii="Aptos" w:eastAsia="Aptos" w:hAnsi="Aptos" w:cs="Aptos"/>
          <w:sz w:val="22"/>
          <w:szCs w:val="22"/>
        </w:rPr>
      </w:pPr>
      <w:r w:rsidRPr="006E1C7A">
        <w:rPr>
          <w:rFonts w:ascii="Aptos" w:eastAsia="Aptos" w:hAnsi="Aptos" w:cs="Aptos"/>
          <w:sz w:val="22"/>
          <w:szCs w:val="22"/>
        </w:rPr>
        <w:t xml:space="preserve">In conclusion, implementing a framework based on the </w:t>
      </w:r>
      <w:r w:rsidRPr="006E1C7A">
        <w:rPr>
          <w:rFonts w:ascii="Aptos" w:eastAsia="Aptos" w:hAnsi="Aptos" w:cs="Aptos"/>
          <w:b/>
          <w:bCs/>
          <w:sz w:val="22"/>
          <w:szCs w:val="22"/>
        </w:rPr>
        <w:t>CIS Critical Security Controls</w:t>
      </w:r>
      <w:r w:rsidRPr="006E1C7A">
        <w:rPr>
          <w:rFonts w:ascii="Aptos" w:eastAsia="Aptos" w:hAnsi="Aptos" w:cs="Aptos"/>
          <w:sz w:val="22"/>
          <w:szCs w:val="22"/>
        </w:rPr>
        <w:t xml:space="preserve"> and the </w:t>
      </w:r>
      <w:r w:rsidRPr="006E1C7A">
        <w:rPr>
          <w:rFonts w:ascii="Aptos" w:eastAsia="Aptos" w:hAnsi="Aptos" w:cs="Aptos"/>
          <w:b/>
          <w:bCs/>
          <w:sz w:val="22"/>
          <w:szCs w:val="22"/>
        </w:rPr>
        <w:t>NIST Cybersecurity Framework</w:t>
      </w:r>
      <w:r w:rsidRPr="006E1C7A">
        <w:rPr>
          <w:rFonts w:ascii="Aptos" w:eastAsia="Aptos" w:hAnsi="Aptos" w:cs="Aptos"/>
          <w:sz w:val="22"/>
          <w:szCs w:val="22"/>
        </w:rPr>
        <w:t xml:space="preserve"> provides a practical way to strengthen the security of the network. The introduction of strong authentication practices, regular patch management, and ongoing monitoring directly addresses the vulnerabilities identified in the earlier tasks. By combining technical controls with staff awareness and structured risk management, organisations can significantly reduce the chances of cyberattacks and improve the overall security of their systems.</w:t>
      </w:r>
    </w:p>
    <w:p w14:paraId="16101FD3" w14:textId="74689BAC" w:rsidR="0086699A" w:rsidRPr="00756B09" w:rsidRDefault="00756B09" w:rsidP="00756B09">
      <w:pPr>
        <w:spacing w:before="240" w:after="240"/>
        <w:rPr>
          <w:rFonts w:ascii="Aptos" w:eastAsia="Aptos" w:hAnsi="Aptos" w:cs="Aptos"/>
          <w:b/>
          <w:bCs/>
        </w:rPr>
      </w:pPr>
      <w:r w:rsidRPr="00756B09">
        <w:rPr>
          <w:rFonts w:ascii="Aptos" w:eastAsia="Aptos" w:hAnsi="Aptos" w:cs="Aptos"/>
          <w:b/>
          <w:bCs/>
        </w:rPr>
        <w:t>References</w:t>
      </w:r>
    </w:p>
    <w:p w14:paraId="23243D67" w14:textId="2661D703" w:rsidR="007A2D2F" w:rsidRPr="00255574" w:rsidRDefault="005B67F5" w:rsidP="007A2D2F">
      <w:pPr>
        <w:rPr>
          <w:sz w:val="22"/>
          <w:szCs w:val="22"/>
        </w:rPr>
      </w:pPr>
      <w:r w:rsidRPr="005B67F5">
        <w:rPr>
          <w:sz w:val="22"/>
          <w:szCs w:val="22"/>
        </w:rPr>
        <w:t>Centre for Internet Security (CIS) (2021)</w:t>
      </w:r>
      <w:r w:rsidRPr="00255574">
        <w:rPr>
          <w:sz w:val="22"/>
          <w:szCs w:val="22"/>
        </w:rPr>
        <w:t xml:space="preserve"> CIS</w:t>
      </w:r>
      <w:r w:rsidR="007A2D2F" w:rsidRPr="00255574">
        <w:rPr>
          <w:sz w:val="22"/>
          <w:szCs w:val="22"/>
        </w:rPr>
        <w:t xml:space="preserve"> Critical Security Controls Version 8. Available at: </w:t>
      </w:r>
      <w:hyperlink r:id="rId17" w:history="1">
        <w:r w:rsidR="0086771E" w:rsidRPr="00255574">
          <w:rPr>
            <w:rStyle w:val="Hyperlink"/>
            <w:sz w:val="22"/>
            <w:szCs w:val="22"/>
          </w:rPr>
          <w:t>https://www.cisecurity.org/controls/cis-controls-list/</w:t>
        </w:r>
      </w:hyperlink>
      <w:r w:rsidR="0086771E" w:rsidRPr="00255574">
        <w:rPr>
          <w:sz w:val="22"/>
          <w:szCs w:val="22"/>
        </w:rPr>
        <w:t xml:space="preserve"> </w:t>
      </w:r>
      <w:r w:rsidR="007A2D2F" w:rsidRPr="00255574">
        <w:rPr>
          <w:sz w:val="22"/>
          <w:szCs w:val="22"/>
        </w:rPr>
        <w:t>(Accessed: 5 February 2026).</w:t>
      </w:r>
    </w:p>
    <w:p w14:paraId="6B966B52" w14:textId="3C20E321" w:rsidR="007A2D2F" w:rsidRPr="00255574" w:rsidRDefault="007A2D2F" w:rsidP="007A2D2F">
      <w:pPr>
        <w:rPr>
          <w:sz w:val="22"/>
          <w:szCs w:val="22"/>
        </w:rPr>
      </w:pPr>
      <w:r w:rsidRPr="00255574">
        <w:rPr>
          <w:sz w:val="22"/>
          <w:szCs w:val="22"/>
        </w:rPr>
        <w:t xml:space="preserve">Cloudflare (2024) What is DNS? Available at: </w:t>
      </w:r>
      <w:hyperlink r:id="rId18" w:history="1">
        <w:r w:rsidR="0086771E" w:rsidRPr="00255574">
          <w:rPr>
            <w:rStyle w:val="Hyperlink"/>
            <w:sz w:val="22"/>
            <w:szCs w:val="22"/>
          </w:rPr>
          <w:t>https://www.cloudflare.com/learning/dns/what-is-dns/</w:t>
        </w:r>
      </w:hyperlink>
      <w:r w:rsidR="0086771E" w:rsidRPr="00255574">
        <w:rPr>
          <w:sz w:val="22"/>
          <w:szCs w:val="22"/>
        </w:rPr>
        <w:t xml:space="preserve"> </w:t>
      </w:r>
      <w:r w:rsidRPr="00255574">
        <w:rPr>
          <w:sz w:val="22"/>
          <w:szCs w:val="22"/>
        </w:rPr>
        <w:t>(Accessed: 5 February 2026).</w:t>
      </w:r>
    </w:p>
    <w:p w14:paraId="790C5A19" w14:textId="46C62411" w:rsidR="007A2D2F" w:rsidRPr="00255574" w:rsidRDefault="007A2D2F" w:rsidP="007A2D2F">
      <w:pPr>
        <w:rPr>
          <w:sz w:val="22"/>
          <w:szCs w:val="22"/>
        </w:rPr>
      </w:pPr>
      <w:r w:rsidRPr="00255574">
        <w:rPr>
          <w:sz w:val="22"/>
          <w:szCs w:val="22"/>
        </w:rPr>
        <w:lastRenderedPageBreak/>
        <w:t xml:space="preserve">ENISA (2023) ENISA Threat Landscape 2023. European Union Agency for Cybersecurity. Available at: </w:t>
      </w:r>
      <w:hyperlink r:id="rId19" w:history="1">
        <w:r w:rsidR="0086771E" w:rsidRPr="00255574">
          <w:rPr>
            <w:rStyle w:val="Hyperlink"/>
            <w:sz w:val="22"/>
            <w:szCs w:val="22"/>
          </w:rPr>
          <w:t>https://www.enisa.europa.eu/publications/enisa-threat-landscape-2023</w:t>
        </w:r>
      </w:hyperlink>
      <w:r w:rsidR="0086771E" w:rsidRPr="00255574">
        <w:rPr>
          <w:sz w:val="22"/>
          <w:szCs w:val="22"/>
        </w:rPr>
        <w:t xml:space="preserve"> </w:t>
      </w:r>
      <w:r w:rsidRPr="00255574">
        <w:rPr>
          <w:sz w:val="22"/>
          <w:szCs w:val="22"/>
        </w:rPr>
        <w:t>(Accessed: 5 February 2026).</w:t>
      </w:r>
    </w:p>
    <w:p w14:paraId="105FD6B7" w14:textId="04686EA3" w:rsidR="007A2D2F" w:rsidRPr="00255574" w:rsidRDefault="007A2D2F" w:rsidP="007A2D2F">
      <w:pPr>
        <w:rPr>
          <w:sz w:val="22"/>
          <w:szCs w:val="22"/>
        </w:rPr>
      </w:pPr>
      <w:r w:rsidRPr="00255574">
        <w:rPr>
          <w:sz w:val="22"/>
          <w:szCs w:val="22"/>
        </w:rPr>
        <w:t xml:space="preserve">Greenbone Networks (2023) Greenbone Vulnerability Management Documentation. Available at: </w:t>
      </w:r>
      <w:hyperlink r:id="rId20" w:history="1">
        <w:r w:rsidR="0086771E" w:rsidRPr="00255574">
          <w:rPr>
            <w:rStyle w:val="Hyperlink"/>
            <w:sz w:val="22"/>
            <w:szCs w:val="22"/>
          </w:rPr>
          <w:t>https://greenbone.github.io/docs/</w:t>
        </w:r>
      </w:hyperlink>
      <w:r w:rsidR="0086771E" w:rsidRPr="00255574">
        <w:rPr>
          <w:sz w:val="22"/>
          <w:szCs w:val="22"/>
        </w:rPr>
        <w:t xml:space="preserve"> </w:t>
      </w:r>
      <w:r w:rsidRPr="00255574">
        <w:rPr>
          <w:sz w:val="22"/>
          <w:szCs w:val="22"/>
        </w:rPr>
        <w:t>(Accessed: 5 February 2026).</w:t>
      </w:r>
    </w:p>
    <w:p w14:paraId="0363437F" w14:textId="20688AD2" w:rsidR="007A2D2F" w:rsidRPr="00255574" w:rsidRDefault="007A2D2F" w:rsidP="007A2D2F">
      <w:pPr>
        <w:rPr>
          <w:sz w:val="22"/>
          <w:szCs w:val="22"/>
        </w:rPr>
      </w:pPr>
      <w:r w:rsidRPr="00255574">
        <w:rPr>
          <w:sz w:val="22"/>
          <w:szCs w:val="22"/>
        </w:rPr>
        <w:t xml:space="preserve">Hutchins, E.M., Cloppert, M.J. and Amin, R.M. (2011) ‘Intelligence-Driven Computer Network Defense Informed by Analysis of Adversary Campaigns and Intrusion Kill Chains’, Leading Issues in Information Warfare &amp; Security Research, 1(1), pp. 80–106. Available at: </w:t>
      </w:r>
      <w:hyperlink r:id="rId21" w:history="1">
        <w:r w:rsidR="00255574" w:rsidRPr="00255574">
          <w:rPr>
            <w:rStyle w:val="Hyperlink"/>
            <w:sz w:val="22"/>
            <w:szCs w:val="22"/>
          </w:rPr>
          <w:t>https://www.lockheedmartin.com/en-us/capabilities/cyber/cyber-kill-chain.html</w:t>
        </w:r>
      </w:hyperlink>
      <w:r w:rsidR="00255574" w:rsidRPr="00255574">
        <w:rPr>
          <w:sz w:val="22"/>
          <w:szCs w:val="22"/>
        </w:rPr>
        <w:t xml:space="preserve"> </w:t>
      </w:r>
      <w:r w:rsidRPr="00255574">
        <w:rPr>
          <w:sz w:val="22"/>
          <w:szCs w:val="22"/>
        </w:rPr>
        <w:t>(Accessed: 5 February 2026).</w:t>
      </w:r>
    </w:p>
    <w:p w14:paraId="4540FF59" w14:textId="758EB293" w:rsidR="007A2D2F" w:rsidRPr="00255574" w:rsidRDefault="007A2D2F" w:rsidP="007A2D2F">
      <w:pPr>
        <w:rPr>
          <w:sz w:val="22"/>
          <w:szCs w:val="22"/>
        </w:rPr>
      </w:pPr>
      <w:r w:rsidRPr="00255574">
        <w:rPr>
          <w:sz w:val="22"/>
          <w:szCs w:val="22"/>
        </w:rPr>
        <w:t xml:space="preserve">National Institute of Standards and Technology (2018) Framework for Improving Critical Infrastructure Cybersecurity Version 1.1. Gaithersburg: NIST. Available at: </w:t>
      </w:r>
      <w:hyperlink r:id="rId22" w:history="1">
        <w:r w:rsidR="00255574" w:rsidRPr="00255574">
          <w:rPr>
            <w:rStyle w:val="Hyperlink"/>
            <w:sz w:val="22"/>
            <w:szCs w:val="22"/>
          </w:rPr>
          <w:t>https://www.nist.gov/cyberframework</w:t>
        </w:r>
      </w:hyperlink>
      <w:r w:rsidR="00255574" w:rsidRPr="00255574">
        <w:rPr>
          <w:sz w:val="22"/>
          <w:szCs w:val="22"/>
        </w:rPr>
        <w:t xml:space="preserve"> </w:t>
      </w:r>
      <w:r w:rsidRPr="00255574">
        <w:rPr>
          <w:sz w:val="22"/>
          <w:szCs w:val="22"/>
        </w:rPr>
        <w:t>(Accessed: 5 February 2026).</w:t>
      </w:r>
    </w:p>
    <w:p w14:paraId="3DEF4190" w14:textId="22F06FBA" w:rsidR="005914A0" w:rsidRPr="00255574" w:rsidRDefault="007A2D2F" w:rsidP="007A2D2F">
      <w:pPr>
        <w:rPr>
          <w:sz w:val="22"/>
          <w:szCs w:val="22"/>
        </w:rPr>
      </w:pPr>
      <w:r w:rsidRPr="00255574">
        <w:rPr>
          <w:sz w:val="22"/>
          <w:szCs w:val="22"/>
        </w:rPr>
        <w:t xml:space="preserve">National Institute of Standards and Technology (2020) Guide to Enterprise Patch Management Planning (NIST Special Publication 800-40 Rev.4). Gaithersburg: NIST. Available at: </w:t>
      </w:r>
      <w:hyperlink r:id="rId23" w:history="1">
        <w:r w:rsidR="00255574" w:rsidRPr="00255574">
          <w:rPr>
            <w:rStyle w:val="Hyperlink"/>
            <w:sz w:val="22"/>
            <w:szCs w:val="22"/>
          </w:rPr>
          <w:t>https://nvlpubs.nist.gov/nistpubs/SpecialPublications/NIST.SP.800-40r4.pdf</w:t>
        </w:r>
      </w:hyperlink>
      <w:r w:rsidR="00255574" w:rsidRPr="00255574">
        <w:rPr>
          <w:sz w:val="22"/>
          <w:szCs w:val="22"/>
        </w:rPr>
        <w:t xml:space="preserve"> </w:t>
      </w:r>
      <w:r w:rsidRPr="00255574">
        <w:rPr>
          <w:sz w:val="22"/>
          <w:szCs w:val="22"/>
        </w:rPr>
        <w:t>(Accessed: 5 February 2026).</w:t>
      </w:r>
    </w:p>
    <w:p w14:paraId="5AA442C5" w14:textId="35F010FE" w:rsidR="00664BE6" w:rsidRPr="00255574" w:rsidRDefault="007A2D2F" w:rsidP="007A2D2F">
      <w:pPr>
        <w:rPr>
          <w:sz w:val="22"/>
          <w:szCs w:val="22"/>
        </w:rPr>
      </w:pPr>
      <w:r w:rsidRPr="00255574">
        <w:rPr>
          <w:sz w:val="22"/>
          <w:szCs w:val="22"/>
        </w:rPr>
        <w:t xml:space="preserve">Scarfone, K. and Mell, P. (2009) Guide to Intrusion Detection and Prevention Systems (IDPS). NIST Special Publication 800-94. Gaithersburg: National Institute of Standards and Technology. Available at: </w:t>
      </w:r>
      <w:hyperlink r:id="rId24" w:history="1">
        <w:r w:rsidR="00255574" w:rsidRPr="00255574">
          <w:rPr>
            <w:rStyle w:val="Hyperlink"/>
            <w:sz w:val="22"/>
            <w:szCs w:val="22"/>
          </w:rPr>
          <w:t>https://nvlpubs.nist.gov/nistpubs/Legacy/SP/nistspecialpublication800-94.pdf</w:t>
        </w:r>
      </w:hyperlink>
      <w:r w:rsidR="00255574" w:rsidRPr="00255574">
        <w:rPr>
          <w:sz w:val="22"/>
          <w:szCs w:val="22"/>
        </w:rPr>
        <w:t xml:space="preserve"> </w:t>
      </w:r>
      <w:r w:rsidRPr="00255574">
        <w:rPr>
          <w:sz w:val="22"/>
          <w:szCs w:val="22"/>
        </w:rPr>
        <w:t>(Accessed: 5 February 2026).</w:t>
      </w:r>
      <w:r w:rsidR="00664BE6" w:rsidRPr="00255574">
        <w:rPr>
          <w:sz w:val="22"/>
          <w:szCs w:val="22"/>
        </w:rPr>
        <w:br w:type="page"/>
      </w:r>
    </w:p>
    <w:p w14:paraId="1C9CEEFB" w14:textId="1A3D3777" w:rsidR="00664BE6" w:rsidRDefault="00115232" w:rsidP="006226FD">
      <w:r>
        <w:lastRenderedPageBreak/>
        <w:t xml:space="preserve"> </w:t>
      </w:r>
    </w:p>
    <w:p w14:paraId="4F12E9BF" w14:textId="77777777" w:rsidR="00664BE6" w:rsidRDefault="00664BE6">
      <w:r>
        <w:br w:type="page"/>
      </w:r>
    </w:p>
    <w:p w14:paraId="73E79E72" w14:textId="77777777" w:rsidR="00960CA2" w:rsidRDefault="00960CA2" w:rsidP="006226FD"/>
    <w:p w14:paraId="6B9610DD" w14:textId="77777777" w:rsidR="007B5EB7" w:rsidRDefault="007B5EB7" w:rsidP="006226FD"/>
    <w:p w14:paraId="631E3A86" w14:textId="77777777" w:rsidR="00741E19" w:rsidRDefault="00741E19" w:rsidP="006226FD"/>
    <w:p w14:paraId="2FAF4247" w14:textId="77777777" w:rsidR="005261EF" w:rsidRPr="006226FD" w:rsidRDefault="005261EF" w:rsidP="006226FD"/>
    <w:p w14:paraId="2357EDED" w14:textId="77777777" w:rsidR="008C022B" w:rsidRPr="008C022B" w:rsidRDefault="008C022B" w:rsidP="008C022B"/>
    <w:p w14:paraId="6F49031F" w14:textId="77777777" w:rsidR="001A343C" w:rsidRDefault="001A343C"/>
    <w:sectPr w:rsidR="001A3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5ooNHYkL+092u" int2:id="jPOEk0kj">
      <int2:state int2:value="Rejected" int2:type="spell"/>
    </int2:textHash>
    <int2:textHash int2:hashCode="gI2AydBDi6sH5/" int2:id="rZy5Cq73">
      <int2:state int2:value="Rejected" int2:type="spell"/>
    </int2:textHash>
    <int2:textHash int2:hashCode="weDMTlGMzDcbPj" int2:id="yOWg3iCQ">
      <int2:state int2:value="Rejected" int2:type="spell"/>
    </int2:textHash>
    <int2:textHash int2:hashCode="97v0ai1Moz/DXX" int2:id="A5MWQDV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4926"/>
    <w:multiLevelType w:val="hybridMultilevel"/>
    <w:tmpl w:val="B5C031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808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3C"/>
    <w:rsid w:val="00002020"/>
    <w:rsid w:val="00007BD2"/>
    <w:rsid w:val="00015E62"/>
    <w:rsid w:val="00023212"/>
    <w:rsid w:val="00050D15"/>
    <w:rsid w:val="00064FF4"/>
    <w:rsid w:val="0007070E"/>
    <w:rsid w:val="00074903"/>
    <w:rsid w:val="000C4E1A"/>
    <w:rsid w:val="000C7388"/>
    <w:rsid w:val="000F51CA"/>
    <w:rsid w:val="0010286B"/>
    <w:rsid w:val="001031E2"/>
    <w:rsid w:val="00103FB6"/>
    <w:rsid w:val="001128C7"/>
    <w:rsid w:val="00115232"/>
    <w:rsid w:val="00127BDD"/>
    <w:rsid w:val="001315AC"/>
    <w:rsid w:val="00133E04"/>
    <w:rsid w:val="00170F37"/>
    <w:rsid w:val="00185C9D"/>
    <w:rsid w:val="001A343C"/>
    <w:rsid w:val="001B1499"/>
    <w:rsid w:val="001C1ADA"/>
    <w:rsid w:val="001C1DAF"/>
    <w:rsid w:val="00217613"/>
    <w:rsid w:val="0022098F"/>
    <w:rsid w:val="002361D4"/>
    <w:rsid w:val="00255574"/>
    <w:rsid w:val="002579D5"/>
    <w:rsid w:val="002764E0"/>
    <w:rsid w:val="002C3F5E"/>
    <w:rsid w:val="002D167A"/>
    <w:rsid w:val="002D765D"/>
    <w:rsid w:val="00337186"/>
    <w:rsid w:val="00340290"/>
    <w:rsid w:val="00347146"/>
    <w:rsid w:val="003741F1"/>
    <w:rsid w:val="0039146D"/>
    <w:rsid w:val="0039707A"/>
    <w:rsid w:val="003B675E"/>
    <w:rsid w:val="003D2321"/>
    <w:rsid w:val="003E1A08"/>
    <w:rsid w:val="003F25DC"/>
    <w:rsid w:val="004136F5"/>
    <w:rsid w:val="004216AF"/>
    <w:rsid w:val="00425C71"/>
    <w:rsid w:val="00437A8A"/>
    <w:rsid w:val="00452D7E"/>
    <w:rsid w:val="0046660F"/>
    <w:rsid w:val="0048049C"/>
    <w:rsid w:val="004A6939"/>
    <w:rsid w:val="004A7C41"/>
    <w:rsid w:val="004C058C"/>
    <w:rsid w:val="004C4C16"/>
    <w:rsid w:val="004D4C95"/>
    <w:rsid w:val="004F6042"/>
    <w:rsid w:val="005261EF"/>
    <w:rsid w:val="005267D4"/>
    <w:rsid w:val="005366E1"/>
    <w:rsid w:val="005561EA"/>
    <w:rsid w:val="00557CDA"/>
    <w:rsid w:val="005638C7"/>
    <w:rsid w:val="005723EA"/>
    <w:rsid w:val="00580CEC"/>
    <w:rsid w:val="00581898"/>
    <w:rsid w:val="005860AB"/>
    <w:rsid w:val="00587671"/>
    <w:rsid w:val="005914A0"/>
    <w:rsid w:val="00596BEF"/>
    <w:rsid w:val="005B67F5"/>
    <w:rsid w:val="005C0C65"/>
    <w:rsid w:val="005E6D2A"/>
    <w:rsid w:val="005F1A5B"/>
    <w:rsid w:val="00605027"/>
    <w:rsid w:val="00622655"/>
    <w:rsid w:val="006226FD"/>
    <w:rsid w:val="00627CDB"/>
    <w:rsid w:val="00636903"/>
    <w:rsid w:val="0064470C"/>
    <w:rsid w:val="00664BE6"/>
    <w:rsid w:val="006733A7"/>
    <w:rsid w:val="006871B3"/>
    <w:rsid w:val="00695351"/>
    <w:rsid w:val="006C15A8"/>
    <w:rsid w:val="006D625A"/>
    <w:rsid w:val="006E1C7A"/>
    <w:rsid w:val="006F09C0"/>
    <w:rsid w:val="007347F7"/>
    <w:rsid w:val="00741E19"/>
    <w:rsid w:val="00756B09"/>
    <w:rsid w:val="00774B05"/>
    <w:rsid w:val="0079684B"/>
    <w:rsid w:val="00797628"/>
    <w:rsid w:val="007A2BA9"/>
    <w:rsid w:val="007A2D2F"/>
    <w:rsid w:val="007B10AE"/>
    <w:rsid w:val="007B37BE"/>
    <w:rsid w:val="007B5EB7"/>
    <w:rsid w:val="00803E43"/>
    <w:rsid w:val="00823B89"/>
    <w:rsid w:val="00830D6D"/>
    <w:rsid w:val="008351F7"/>
    <w:rsid w:val="0086363A"/>
    <w:rsid w:val="0086699A"/>
    <w:rsid w:val="0086771E"/>
    <w:rsid w:val="00887DA4"/>
    <w:rsid w:val="008B6603"/>
    <w:rsid w:val="008C022B"/>
    <w:rsid w:val="008C38A5"/>
    <w:rsid w:val="008C66A8"/>
    <w:rsid w:val="00901E82"/>
    <w:rsid w:val="00910795"/>
    <w:rsid w:val="00935825"/>
    <w:rsid w:val="00937A69"/>
    <w:rsid w:val="00942F2D"/>
    <w:rsid w:val="00952916"/>
    <w:rsid w:val="00954B93"/>
    <w:rsid w:val="00955744"/>
    <w:rsid w:val="00960CA2"/>
    <w:rsid w:val="00965AE1"/>
    <w:rsid w:val="009A106A"/>
    <w:rsid w:val="009D5047"/>
    <w:rsid w:val="009D7F7E"/>
    <w:rsid w:val="009E4DA6"/>
    <w:rsid w:val="009E5C21"/>
    <w:rsid w:val="00A277E0"/>
    <w:rsid w:val="00A443B5"/>
    <w:rsid w:val="00A45BA2"/>
    <w:rsid w:val="00A639A0"/>
    <w:rsid w:val="00A75CBA"/>
    <w:rsid w:val="00A76175"/>
    <w:rsid w:val="00AD33C6"/>
    <w:rsid w:val="00AE23C3"/>
    <w:rsid w:val="00AE358C"/>
    <w:rsid w:val="00AF3D51"/>
    <w:rsid w:val="00AF7E0F"/>
    <w:rsid w:val="00B017CE"/>
    <w:rsid w:val="00B622AE"/>
    <w:rsid w:val="00B87537"/>
    <w:rsid w:val="00B91F47"/>
    <w:rsid w:val="00BC1D27"/>
    <w:rsid w:val="00BD046F"/>
    <w:rsid w:val="00BD069F"/>
    <w:rsid w:val="00BD4040"/>
    <w:rsid w:val="00BE270D"/>
    <w:rsid w:val="00C120F3"/>
    <w:rsid w:val="00C530CE"/>
    <w:rsid w:val="00C53DC5"/>
    <w:rsid w:val="00C7247A"/>
    <w:rsid w:val="00C969CA"/>
    <w:rsid w:val="00CB34E9"/>
    <w:rsid w:val="00CC413D"/>
    <w:rsid w:val="00CD2CE9"/>
    <w:rsid w:val="00D038BD"/>
    <w:rsid w:val="00D155EE"/>
    <w:rsid w:val="00D552CD"/>
    <w:rsid w:val="00D6349D"/>
    <w:rsid w:val="00D82321"/>
    <w:rsid w:val="00D85FA1"/>
    <w:rsid w:val="00E07D80"/>
    <w:rsid w:val="00E23123"/>
    <w:rsid w:val="00E26145"/>
    <w:rsid w:val="00E36987"/>
    <w:rsid w:val="00E54118"/>
    <w:rsid w:val="00E7412C"/>
    <w:rsid w:val="00E831C7"/>
    <w:rsid w:val="00E92A80"/>
    <w:rsid w:val="00E92EB1"/>
    <w:rsid w:val="00E955B5"/>
    <w:rsid w:val="00EB23D5"/>
    <w:rsid w:val="00EB5626"/>
    <w:rsid w:val="00EC09E2"/>
    <w:rsid w:val="00EC7292"/>
    <w:rsid w:val="00EE217C"/>
    <w:rsid w:val="00EF3522"/>
    <w:rsid w:val="00F1655B"/>
    <w:rsid w:val="00F252AA"/>
    <w:rsid w:val="00F34CF3"/>
    <w:rsid w:val="00F42CE9"/>
    <w:rsid w:val="00F46AF1"/>
    <w:rsid w:val="00F55110"/>
    <w:rsid w:val="00F67B4B"/>
    <w:rsid w:val="00F72810"/>
    <w:rsid w:val="00F973E8"/>
    <w:rsid w:val="00FA52A8"/>
    <w:rsid w:val="00FA59C4"/>
    <w:rsid w:val="00FE2C41"/>
    <w:rsid w:val="0826E467"/>
    <w:rsid w:val="0CADA1F1"/>
    <w:rsid w:val="0F964739"/>
    <w:rsid w:val="21251902"/>
    <w:rsid w:val="33EE09EF"/>
    <w:rsid w:val="3E3F3A04"/>
    <w:rsid w:val="3E7F1D52"/>
    <w:rsid w:val="42C76D4F"/>
    <w:rsid w:val="43098CEB"/>
    <w:rsid w:val="45E396A5"/>
    <w:rsid w:val="52EE6BE1"/>
    <w:rsid w:val="5AB88EAD"/>
    <w:rsid w:val="6777A133"/>
    <w:rsid w:val="7647C177"/>
    <w:rsid w:val="76B47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87EA"/>
  <w15:chartTrackingRefBased/>
  <w15:docId w15:val="{A3DB8382-208B-469B-9AB4-58221AF8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3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3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43C"/>
    <w:rPr>
      <w:rFonts w:eastAsiaTheme="majorEastAsia" w:cstheme="majorBidi"/>
      <w:color w:val="272727" w:themeColor="text1" w:themeTint="D8"/>
    </w:rPr>
  </w:style>
  <w:style w:type="paragraph" w:styleId="Title">
    <w:name w:val="Title"/>
    <w:basedOn w:val="Normal"/>
    <w:next w:val="Normal"/>
    <w:link w:val="TitleChar"/>
    <w:uiPriority w:val="10"/>
    <w:qFormat/>
    <w:rsid w:val="001A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43C"/>
    <w:pPr>
      <w:spacing w:before="160"/>
      <w:jc w:val="center"/>
    </w:pPr>
    <w:rPr>
      <w:i/>
      <w:iCs/>
      <w:color w:val="404040" w:themeColor="text1" w:themeTint="BF"/>
    </w:rPr>
  </w:style>
  <w:style w:type="character" w:customStyle="1" w:styleId="QuoteChar">
    <w:name w:val="Quote Char"/>
    <w:basedOn w:val="DefaultParagraphFont"/>
    <w:link w:val="Quote"/>
    <w:uiPriority w:val="29"/>
    <w:rsid w:val="001A343C"/>
    <w:rPr>
      <w:i/>
      <w:iCs/>
      <w:color w:val="404040" w:themeColor="text1" w:themeTint="BF"/>
    </w:rPr>
  </w:style>
  <w:style w:type="paragraph" w:styleId="ListParagraph">
    <w:name w:val="List Paragraph"/>
    <w:basedOn w:val="Normal"/>
    <w:uiPriority w:val="34"/>
    <w:qFormat/>
    <w:rsid w:val="001A343C"/>
    <w:pPr>
      <w:ind w:left="720"/>
      <w:contextualSpacing/>
    </w:pPr>
  </w:style>
  <w:style w:type="character" w:styleId="IntenseEmphasis">
    <w:name w:val="Intense Emphasis"/>
    <w:basedOn w:val="DefaultParagraphFont"/>
    <w:uiPriority w:val="21"/>
    <w:qFormat/>
    <w:rsid w:val="001A343C"/>
    <w:rPr>
      <w:i/>
      <w:iCs/>
      <w:color w:val="0F4761" w:themeColor="accent1" w:themeShade="BF"/>
    </w:rPr>
  </w:style>
  <w:style w:type="paragraph" w:styleId="IntenseQuote">
    <w:name w:val="Intense Quote"/>
    <w:basedOn w:val="Normal"/>
    <w:next w:val="Normal"/>
    <w:link w:val="IntenseQuoteChar"/>
    <w:uiPriority w:val="30"/>
    <w:qFormat/>
    <w:rsid w:val="001A3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43C"/>
    <w:rPr>
      <w:i/>
      <w:iCs/>
      <w:color w:val="0F4761" w:themeColor="accent1" w:themeShade="BF"/>
    </w:rPr>
  </w:style>
  <w:style w:type="character" w:styleId="IntenseReference">
    <w:name w:val="Intense Reference"/>
    <w:basedOn w:val="DefaultParagraphFont"/>
    <w:uiPriority w:val="32"/>
    <w:qFormat/>
    <w:rsid w:val="001A343C"/>
    <w:rPr>
      <w:b/>
      <w:bCs/>
      <w:smallCaps/>
      <w:color w:val="0F4761" w:themeColor="accent1" w:themeShade="BF"/>
      <w:spacing w:val="5"/>
    </w:rPr>
  </w:style>
  <w:style w:type="paragraph" w:styleId="NormalWeb">
    <w:name w:val="Normal (Web)"/>
    <w:basedOn w:val="Normal"/>
    <w:uiPriority w:val="99"/>
    <w:unhideWhenUsed/>
    <w:rsid w:val="00CD2C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C022B"/>
    <w:rPr>
      <w:color w:val="467886" w:themeColor="hyperlink"/>
      <w:u w:val="single"/>
    </w:rPr>
  </w:style>
  <w:style w:type="character" w:styleId="UnresolvedMention">
    <w:name w:val="Unresolved Mention"/>
    <w:basedOn w:val="DefaultParagraphFont"/>
    <w:uiPriority w:val="99"/>
    <w:semiHidden/>
    <w:unhideWhenUsed/>
    <w:rsid w:val="008C022B"/>
    <w:rPr>
      <w:color w:val="605E5C"/>
      <w:shd w:val="clear" w:color="auto" w:fill="E1DFDD"/>
    </w:rPr>
  </w:style>
  <w:style w:type="character" w:styleId="FollowedHyperlink">
    <w:name w:val="FollowedHyperlink"/>
    <w:basedOn w:val="DefaultParagraphFont"/>
    <w:uiPriority w:val="99"/>
    <w:semiHidden/>
    <w:unhideWhenUsed/>
    <w:rsid w:val="005261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cloudflare.com/learning/dns/what-is-d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lockheedmartin.com/en-us/capabilities/cyber/cyber-kill-chain.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isecurity.org/controls/cis-controls-li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reenbone.github.io/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nvlpubs.nist.gov/nistpubs/Legacy/SP/nistspecialpublication800-94.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nvlpubs.nist.gov/nistpubs/SpecialPublications/NIST.SP.800-40r4.pdf" TargetMode="External"/><Relationship Id="rId10" Type="http://schemas.openxmlformats.org/officeDocument/2006/relationships/image" Target="media/image6.png"/><Relationship Id="rId19" Type="http://schemas.openxmlformats.org/officeDocument/2006/relationships/hyperlink" Target="https://www.enisa.europa.eu/publications/enisa-threat-landscape-202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nist.gov/cyberframework"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15</Pages>
  <Words>2853</Words>
  <Characters>18092</Characters>
  <Application>Microsoft Office Word</Application>
  <DocSecurity>0</DocSecurity>
  <Lines>301</Lines>
  <Paragraphs>79</Paragraphs>
  <ScaleCrop>false</ScaleCrop>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Ahira</dc:creator>
  <cp:keywords/>
  <dc:description/>
  <cp:lastModifiedBy>Charan Ahira</cp:lastModifiedBy>
  <cp:revision>179</cp:revision>
  <dcterms:created xsi:type="dcterms:W3CDTF">2026-02-04T17:19:00Z</dcterms:created>
  <dcterms:modified xsi:type="dcterms:W3CDTF">2026-03-16T20:03:00Z</dcterms:modified>
</cp:coreProperties>
</file>