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onsolas" w:hAnsi="Consolas"/>
          <w:b/>
          <w:color w:val="7A8546"/>
          <w:sz w:val="19"/>
        </w:rPr>
        <w:t>MILITARY OSINT INTELLIGENCE PLATFORM // COMPREHENSIVE TECHNICAL MANUAL</w:t>
      </w:r>
    </w:p>
    <w:p>
      <w:pPr>
        <w:spacing w:after="80"/>
      </w:pPr>
      <w:r>
        <w:rPr>
          <w:rFonts w:ascii="Georgia" w:hAnsi="Georgia"/>
          <w:b/>
          <w:color w:val="191F0E"/>
          <w:sz w:val="52"/>
        </w:rPr>
        <w:t>Military OSINT Event Intelligence Platform (OSINT-EIP)</w:t>
      </w:r>
    </w:p>
    <w:p>
      <w:pPr>
        <w:spacing w:after="320"/>
      </w:pPr>
      <w:r>
        <w:rPr>
          <w:rFonts w:ascii="Georgia" w:hAnsi="Georgia"/>
          <w:i/>
          <w:color w:val="555C3E"/>
          <w:sz w:val="24"/>
        </w:rPr>
        <w:t>Complete System Architecture, File-by-File Technical Guide, 7-Phase Ingestion Pipeline Flow, Multi-Signal Hybrid Clustering Engine, 3-Tier LLM Synthesis Cascade, and Operational Reference.</w:t>
      </w:r>
    </w:p>
    <w:tbl>
      <w:tblPr>
        <w:tblW w:type="auto" w:w="0"/>
        <w:jc w:val="center"/>
        <w:tblLook w:firstColumn="1" w:firstRow="1" w:lastColumn="0" w:lastRow="0" w:noHBand="0" w:noVBand="1" w:val="04A0"/>
      </w:tblPr>
      <w:tblGrid>
        <w:gridCol w:w="9360"/>
      </w:tblGrid>
      <w:tr>
        <w:tc>
          <w:tcPr>
            <w:tcW w:type="dxa" w:w="9360"/>
            <w:shd w:fill="FAF6E9"/>
            <w:tcMar>
              <w:top w:w="140" w:type="dxa"/>
              <w:bottom w:w="140" w:type="dxa"/>
              <w:left w:w="200" w:type="dxa"/>
              <w:right w:w="200" w:type="dxa"/>
            </w:tcMar>
            <w:tcBorders>
              <w:left w:val="single" w:sz="24" w:space="0" w:color="9CA764"/>
              <w:top w:val="none"/>
              <w:right w:val="none"/>
              <w:bottom w:val="none"/>
            </w:tcBorders>
          </w:tcPr>
          <w:p>
            <w:pPr>
              <w:spacing w:before="40" w:after="60" w:line="276" w:lineRule="auto"/>
            </w:pPr>
            <w:r>
              <w:rPr>
                <w:rFonts w:ascii="Calibri" w:hAnsi="Calibri"/>
                <w:b/>
                <w:color w:val="191F0E"/>
                <w:sz w:val="20"/>
              </w:rPr>
              <w:t>■ Platform Overview &amp; Production Status</w:t>
              <w:br/>
            </w:r>
            <w:r>
              <w:rPr>
                <w:rFonts w:ascii="Calibri" w:hAnsi="Calibri"/>
                <w:color w:val="333D1F"/>
                <w:sz w:val="19"/>
              </w:rPr>
              <w:t>OSINT-EIP is an automated defense news intelligence platform engineered to filter off-topic news, cluster multi-wire reports into cohesive real-world events using 5-signal mathematical vectors, and generate verified collective briefings via a resilient Qwen3-14B / OpenRouter / Local Heuristic cascade. The system has zero authentication and is completely public by design.</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160"/>
            <w:shd w:fill="FAF6E9"/>
            <w:tcMar>
              <w:top w:w="120" w:type="dxa"/>
              <w:bottom w:w="120" w:type="dxa"/>
              <w:left w:w="140" w:type="dxa"/>
              <w:right w:w="140" w:type="dxa"/>
            </w:tcMar>
          </w:tcPr>
          <w:p>
            <w:pPr>
              <w:jc w:val="left"/>
            </w:pPr>
            <w:r>
              <w:rPr>
                <w:rFonts w:ascii="Calibri" w:hAnsi="Calibri"/>
                <w:b/>
                <w:color w:val="191F0E"/>
                <w:sz w:val="19"/>
              </w:rPr>
              <w:t>Dimension</w:t>
            </w:r>
          </w:p>
        </w:tc>
        <w:tc>
          <w:tcPr>
            <w:tcW w:type="dxa" w:w="2592"/>
            <w:shd w:fill="FAF6E9"/>
            <w:tcMar>
              <w:top w:w="120" w:type="dxa"/>
              <w:bottom w:w="120" w:type="dxa"/>
              <w:left w:w="140" w:type="dxa"/>
              <w:right w:w="140" w:type="dxa"/>
            </w:tcMar>
          </w:tcPr>
          <w:p>
            <w:pPr>
              <w:jc w:val="left"/>
            </w:pPr>
            <w:r>
              <w:rPr>
                <w:rFonts w:ascii="Calibri" w:hAnsi="Calibri"/>
                <w:b/>
                <w:color w:val="191F0E"/>
                <w:sz w:val="19"/>
              </w:rPr>
              <w:t>Specification</w:t>
            </w:r>
          </w:p>
        </w:tc>
        <w:tc>
          <w:tcPr>
            <w:tcW w:type="dxa" w:w="2160"/>
            <w:shd w:fill="FAF6E9"/>
            <w:tcMar>
              <w:top w:w="120" w:type="dxa"/>
              <w:bottom w:w="120" w:type="dxa"/>
              <w:left w:w="140" w:type="dxa"/>
              <w:right w:w="140" w:type="dxa"/>
            </w:tcMar>
          </w:tcPr>
          <w:p>
            <w:pPr>
              <w:jc w:val="left"/>
            </w:pPr>
            <w:r>
              <w:rPr>
                <w:rFonts w:ascii="Calibri" w:hAnsi="Calibri"/>
                <w:b/>
                <w:color w:val="191F0E"/>
                <w:sz w:val="19"/>
              </w:rPr>
              <w:t>Dimension</w:t>
            </w:r>
          </w:p>
        </w:tc>
        <w:tc>
          <w:tcPr>
            <w:tcW w:type="dxa" w:w="2448"/>
            <w:shd w:fill="FAF6E9"/>
            <w:tcMar>
              <w:top w:w="120" w:type="dxa"/>
              <w:bottom w:w="120" w:type="dxa"/>
              <w:left w:w="140" w:type="dxa"/>
              <w:right w:w="140" w:type="dxa"/>
            </w:tcMar>
          </w:tcPr>
          <w:p>
            <w:pPr>
              <w:jc w:val="left"/>
            </w:pPr>
            <w:r>
              <w:rPr>
                <w:rFonts w:ascii="Calibri" w:hAnsi="Calibri"/>
                <w:b/>
                <w:color w:val="191F0E"/>
                <w:sz w:val="19"/>
              </w:rPr>
              <w:t>Specification</w:t>
            </w:r>
          </w:p>
        </w:tc>
      </w:tr>
      <w:tr>
        <w:tc>
          <w:tcPr>
            <w:tcW w:type="dxa" w:w="2160"/>
            <w:shd w:fill="FFFFFF"/>
            <w:tcMar>
              <w:top w:w="90" w:type="dxa"/>
              <w:bottom w:w="90" w:type="dxa"/>
              <w:left w:w="140" w:type="dxa"/>
              <w:right w:w="140" w:type="dxa"/>
            </w:tcMar>
          </w:tcPr>
          <w:p>
            <w:pPr>
              <w:jc w:val="left"/>
            </w:pPr>
            <w:r>
              <w:rPr>
                <w:rFonts w:ascii="Calibri" w:hAnsi="Calibri"/>
                <w:color w:val="2D3517"/>
                <w:sz w:val="18"/>
              </w:rPr>
              <w:t>Target Domain</w:t>
            </w:r>
          </w:p>
        </w:tc>
        <w:tc>
          <w:tcPr>
            <w:tcW w:type="dxa" w:w="2592"/>
            <w:shd w:fill="FFFFFF"/>
            <w:tcMar>
              <w:top w:w="90" w:type="dxa"/>
              <w:bottom w:w="90" w:type="dxa"/>
              <w:left w:w="140" w:type="dxa"/>
              <w:right w:w="140" w:type="dxa"/>
            </w:tcMar>
          </w:tcPr>
          <w:p>
            <w:pPr>
              <w:jc w:val="left"/>
            </w:pPr>
            <w:r>
              <w:rPr>
                <w:rFonts w:ascii="Calibri" w:hAnsi="Calibri"/>
                <w:color w:val="2D3517"/>
                <w:sz w:val="18"/>
              </w:rPr>
              <w:t>Defense &amp; Armed Forces</w:t>
            </w:r>
          </w:p>
        </w:tc>
        <w:tc>
          <w:tcPr>
            <w:tcW w:type="dxa" w:w="2160"/>
            <w:shd w:fill="FFFFFF"/>
            <w:tcMar>
              <w:top w:w="90" w:type="dxa"/>
              <w:bottom w:w="90" w:type="dxa"/>
              <w:left w:w="140" w:type="dxa"/>
              <w:right w:w="140" w:type="dxa"/>
            </w:tcMar>
          </w:tcPr>
          <w:p>
            <w:pPr>
              <w:jc w:val="left"/>
            </w:pPr>
            <w:r>
              <w:rPr>
                <w:rFonts w:ascii="Calibri" w:hAnsi="Calibri"/>
                <w:color w:val="2D3517"/>
                <w:sz w:val="18"/>
              </w:rPr>
              <w:t>Primary DB</w:t>
            </w:r>
          </w:p>
        </w:tc>
        <w:tc>
          <w:tcPr>
            <w:tcW w:type="dxa" w:w="2448"/>
            <w:shd w:fill="FFFFFF"/>
            <w:tcMar>
              <w:top w:w="90" w:type="dxa"/>
              <w:bottom w:w="90" w:type="dxa"/>
              <w:left w:w="140" w:type="dxa"/>
              <w:right w:w="140" w:type="dxa"/>
            </w:tcMar>
          </w:tcPr>
          <w:p>
            <w:pPr>
              <w:jc w:val="left"/>
            </w:pPr>
            <w:r>
              <w:rPr>
                <w:rFonts w:ascii="Calibri" w:hAnsi="Calibri"/>
                <w:color w:val="2D3517"/>
                <w:sz w:val="18"/>
              </w:rPr>
              <w:t>MongoDB Atlas (Cloud)</w:t>
            </w:r>
          </w:p>
        </w:tc>
      </w:tr>
      <w:tr>
        <w:tc>
          <w:tcPr>
            <w:tcW w:type="dxa" w:w="2160"/>
            <w:shd w:fill="FCF9EF"/>
            <w:tcMar>
              <w:top w:w="90" w:type="dxa"/>
              <w:bottom w:w="90" w:type="dxa"/>
              <w:left w:w="140" w:type="dxa"/>
              <w:right w:w="140" w:type="dxa"/>
            </w:tcMar>
          </w:tcPr>
          <w:p>
            <w:pPr>
              <w:jc w:val="left"/>
            </w:pPr>
            <w:r>
              <w:rPr>
                <w:rFonts w:ascii="Calibri" w:hAnsi="Calibri"/>
                <w:color w:val="2D3517"/>
                <w:sz w:val="18"/>
              </w:rPr>
              <w:t>Backend Stack</w:t>
            </w:r>
          </w:p>
        </w:tc>
        <w:tc>
          <w:tcPr>
            <w:tcW w:type="dxa" w:w="2592"/>
            <w:shd w:fill="FCF9EF"/>
            <w:tcMar>
              <w:top w:w="90" w:type="dxa"/>
              <w:bottom w:w="90" w:type="dxa"/>
              <w:left w:w="140" w:type="dxa"/>
              <w:right w:w="140" w:type="dxa"/>
            </w:tcMar>
          </w:tcPr>
          <w:p>
            <w:pPr>
              <w:jc w:val="left"/>
            </w:pPr>
            <w:r>
              <w:rPr>
                <w:rFonts w:ascii="Calibri" w:hAnsi="Calibri"/>
                <w:color w:val="2D3517"/>
                <w:sz w:val="18"/>
              </w:rPr>
              <w:t>FastAPI (Python 3.12)</w:t>
            </w:r>
          </w:p>
        </w:tc>
        <w:tc>
          <w:tcPr>
            <w:tcW w:type="dxa" w:w="2160"/>
            <w:shd w:fill="FCF9EF"/>
            <w:tcMar>
              <w:top w:w="90" w:type="dxa"/>
              <w:bottom w:w="90" w:type="dxa"/>
              <w:left w:w="140" w:type="dxa"/>
              <w:right w:w="140" w:type="dxa"/>
            </w:tcMar>
          </w:tcPr>
          <w:p>
            <w:pPr>
              <w:jc w:val="left"/>
            </w:pPr>
            <w:r>
              <w:rPr>
                <w:rFonts w:ascii="Calibri" w:hAnsi="Calibri"/>
                <w:color w:val="2D3517"/>
                <w:sz w:val="18"/>
              </w:rPr>
              <w:t>Vector Store</w:t>
            </w:r>
          </w:p>
        </w:tc>
        <w:tc>
          <w:tcPr>
            <w:tcW w:type="dxa" w:w="2448"/>
            <w:shd w:fill="FCF9EF"/>
            <w:tcMar>
              <w:top w:w="90" w:type="dxa"/>
              <w:bottom w:w="90" w:type="dxa"/>
              <w:left w:w="140" w:type="dxa"/>
              <w:right w:w="140" w:type="dxa"/>
            </w:tcMar>
          </w:tcPr>
          <w:p>
            <w:pPr>
              <w:jc w:val="left"/>
            </w:pPr>
            <w:r>
              <w:rPr>
                <w:rFonts w:ascii="Calibri" w:hAnsi="Calibri"/>
                <w:color w:val="2D3517"/>
                <w:sz w:val="18"/>
              </w:rPr>
              <w:t>ChromaDB (384-d MiniLM)</w:t>
            </w:r>
          </w:p>
        </w:tc>
      </w:tr>
      <w:tr>
        <w:tc>
          <w:tcPr>
            <w:tcW w:type="dxa" w:w="2160"/>
            <w:shd w:fill="FFFFFF"/>
            <w:tcMar>
              <w:top w:w="90" w:type="dxa"/>
              <w:bottom w:w="90" w:type="dxa"/>
              <w:left w:w="140" w:type="dxa"/>
              <w:right w:w="140" w:type="dxa"/>
            </w:tcMar>
          </w:tcPr>
          <w:p>
            <w:pPr>
              <w:jc w:val="left"/>
            </w:pPr>
            <w:r>
              <w:rPr>
                <w:rFonts w:ascii="Calibri" w:hAnsi="Calibri"/>
                <w:color w:val="2D3517"/>
                <w:sz w:val="18"/>
              </w:rPr>
              <w:t>Frontend Stack</w:t>
            </w:r>
          </w:p>
        </w:tc>
        <w:tc>
          <w:tcPr>
            <w:tcW w:type="dxa" w:w="2592"/>
            <w:shd w:fill="FFFFFF"/>
            <w:tcMar>
              <w:top w:w="90" w:type="dxa"/>
              <w:bottom w:w="90" w:type="dxa"/>
              <w:left w:w="140" w:type="dxa"/>
              <w:right w:w="140" w:type="dxa"/>
            </w:tcMar>
          </w:tcPr>
          <w:p>
            <w:pPr>
              <w:jc w:val="left"/>
            </w:pPr>
            <w:r>
              <w:rPr>
                <w:rFonts w:ascii="Calibri" w:hAnsi="Calibri"/>
                <w:color w:val="2D3517"/>
                <w:sz w:val="18"/>
              </w:rPr>
              <w:t>React 19 + Tailwind v4 + Vite</w:t>
            </w:r>
          </w:p>
        </w:tc>
        <w:tc>
          <w:tcPr>
            <w:tcW w:type="dxa" w:w="2160"/>
            <w:shd w:fill="FFFFFF"/>
            <w:tcMar>
              <w:top w:w="90" w:type="dxa"/>
              <w:bottom w:w="90" w:type="dxa"/>
              <w:left w:w="140" w:type="dxa"/>
              <w:right w:w="140" w:type="dxa"/>
            </w:tcMar>
          </w:tcPr>
          <w:p>
            <w:pPr>
              <w:jc w:val="left"/>
            </w:pPr>
            <w:r>
              <w:rPr>
                <w:rFonts w:ascii="Calibri" w:hAnsi="Calibri"/>
                <w:color w:val="2D3517"/>
                <w:sz w:val="18"/>
              </w:rPr>
              <w:t>LLM Cascade</w:t>
            </w:r>
          </w:p>
        </w:tc>
        <w:tc>
          <w:tcPr>
            <w:tcW w:type="dxa" w:w="2448"/>
            <w:shd w:fill="FFFFFF"/>
            <w:tcMar>
              <w:top w:w="90" w:type="dxa"/>
              <w:bottom w:w="90" w:type="dxa"/>
              <w:left w:w="140" w:type="dxa"/>
              <w:right w:w="140" w:type="dxa"/>
            </w:tcMar>
          </w:tcPr>
          <w:p>
            <w:pPr>
              <w:jc w:val="left"/>
            </w:pPr>
            <w:r>
              <w:rPr>
                <w:rFonts w:ascii="Calibri" w:hAnsi="Calibri"/>
                <w:color w:val="2D3517"/>
                <w:sz w:val="18"/>
              </w:rPr>
              <w:t>Qwen3-14B / OpenRouter / Heuristic</w:t>
            </w:r>
          </w:p>
        </w:tc>
      </w:tr>
      <w:tr>
        <w:tc>
          <w:tcPr>
            <w:tcW w:type="dxa" w:w="2160"/>
            <w:shd w:fill="FCF9EF"/>
            <w:tcMar>
              <w:top w:w="90" w:type="dxa"/>
              <w:bottom w:w="90" w:type="dxa"/>
              <w:left w:w="140" w:type="dxa"/>
              <w:right w:w="140" w:type="dxa"/>
            </w:tcMar>
          </w:tcPr>
          <w:p>
            <w:pPr>
              <w:jc w:val="left"/>
            </w:pPr>
            <w:r>
              <w:rPr>
                <w:rFonts w:ascii="Calibri" w:hAnsi="Calibri"/>
                <w:color w:val="2D3517"/>
                <w:sz w:val="18"/>
              </w:rPr>
              <w:t>Pipeline Trigger</w:t>
            </w:r>
          </w:p>
        </w:tc>
        <w:tc>
          <w:tcPr>
            <w:tcW w:type="dxa" w:w="2592"/>
            <w:shd w:fill="FCF9EF"/>
            <w:tcMar>
              <w:top w:w="90" w:type="dxa"/>
              <w:bottom w:w="90" w:type="dxa"/>
              <w:left w:w="140" w:type="dxa"/>
              <w:right w:w="140" w:type="dxa"/>
            </w:tcMar>
          </w:tcPr>
          <w:p>
            <w:pPr>
              <w:jc w:val="left"/>
            </w:pPr>
            <w:r>
              <w:rPr>
                <w:rFonts w:ascii="Calibri" w:hAnsi="Calibri"/>
                <w:color w:val="2D3517"/>
                <w:sz w:val="18"/>
              </w:rPr>
              <w:t>Deterministic POST /run</w:t>
            </w:r>
          </w:p>
        </w:tc>
        <w:tc>
          <w:tcPr>
            <w:tcW w:type="dxa" w:w="2160"/>
            <w:shd w:fill="FCF9EF"/>
            <w:tcMar>
              <w:top w:w="90" w:type="dxa"/>
              <w:bottom w:w="90" w:type="dxa"/>
              <w:left w:w="140" w:type="dxa"/>
              <w:right w:w="140" w:type="dxa"/>
            </w:tcMar>
          </w:tcPr>
          <w:p>
            <w:pPr>
              <w:jc w:val="left"/>
            </w:pPr>
            <w:r>
              <w:rPr>
                <w:rFonts w:ascii="Calibri" w:hAnsi="Calibri"/>
                <w:color w:val="2D3517"/>
                <w:sz w:val="18"/>
              </w:rPr>
              <w:t>Theme Palette</w:t>
            </w:r>
          </w:p>
        </w:tc>
        <w:tc>
          <w:tcPr>
            <w:tcW w:type="dxa" w:w="2448"/>
            <w:shd w:fill="FCF9EF"/>
            <w:tcMar>
              <w:top w:w="90" w:type="dxa"/>
              <w:bottom w:w="90" w:type="dxa"/>
              <w:left w:w="140" w:type="dxa"/>
              <w:right w:w="140" w:type="dxa"/>
            </w:tcMar>
          </w:tcPr>
          <w:p>
            <w:pPr>
              <w:jc w:val="left"/>
            </w:pPr>
            <w:r>
              <w:rPr>
                <w:rFonts w:ascii="Calibri" w:hAnsi="Calibri"/>
                <w:color w:val="2D3517"/>
                <w:sz w:val="18"/>
              </w:rPr>
              <w:t>Matcha Cream &amp; Milky Honey</w:t>
            </w:r>
          </w:p>
        </w:tc>
      </w:tr>
    </w:tbl>
    <w:p>
      <w:r>
        <w:br w:type="page"/>
      </w:r>
    </w:p>
    <w:p>
      <w:pPr>
        <w:pStyle w:val="Heading1"/>
      </w:pPr>
      <w:r>
        <w:t>1. Executive Summary &amp; Core Architectural Laws</w:t>
      </w:r>
    </w:p>
    <w:p>
      <w:r>
        <w:t>Modern defense observation suffers from an inundation of repetitive, noisy news feeds. Open Source Intelligence monitors face hundreds of competing wires, varied reporting timestamps, contradictory casualty assessments, and commercial noise. OSINT-EIP resolves these operational hurdles by executing an automated, end-to-end intelligence cycle:</w:t>
      </w:r>
    </w:p>
    <w:p>
      <w:r>
        <w:t>1. Ingests defense news wires asynchronously across RSS feeds and REST APIs.</w:t>
        <w:br/>
        <w:t>2. Sanitizes content and removes boilerplate, advertising, and HTML markup.</w:t>
        <w:br/>
        <w:t>3. Enforces an uncompromising military defense taxonomy filter before vectorization.</w:t>
        <w:br/>
        <w:t>4. Extracts named military entities (actors, theaters, weapon platforms) via batched spaCy NER.</w:t>
        <w:br/>
        <w:t>5. Computes high-dimensional dense embeddings (384 dimensions) using sentence-transformers.</w:t>
        <w:br/>
        <w:t>6. Groups related articles into unified real-world events via a 5-signal hybrid clustering engine.</w:t>
        <w:br/>
        <w:t>7. Synthesizes a structured 4-to-5 line collective intelligence briefing using a 3-tier LLM cascade.</w:t>
        <w:br/>
        <w:t>8. Serves an editorial dashboard and citation-backed conversational RAG assistant without login walls.</w:t>
      </w:r>
    </w:p>
    <w:p>
      <w:pPr>
        <w:pStyle w:val="Heading2"/>
      </w:pPr>
      <w:r>
        <w:t>1.1 The Nine Non-Negotiable Architectural Laws</w:t>
      </w:r>
    </w:p>
    <w:tbl>
      <w:tblPr>
        <w:tblW w:type="auto" w:w="0"/>
        <w:jc w:val="center"/>
        <w:tblLook w:firstColumn="1" w:firstRow="1" w:lastColumn="0" w:lastRow="0" w:noHBand="0" w:noVBand="1" w:val="04A0"/>
      </w:tblPr>
      <w:tblGrid>
        <w:gridCol w:w="3120"/>
        <w:gridCol w:w="3120"/>
        <w:gridCol w:w="3120"/>
      </w:tblGrid>
      <w:tr>
        <w:tc>
          <w:tcPr>
            <w:tcW w:type="dxa" w:w="1728"/>
            <w:shd w:fill="FAF6E9"/>
            <w:tcMar>
              <w:top w:w="120" w:type="dxa"/>
              <w:bottom w:w="120" w:type="dxa"/>
              <w:left w:w="140" w:type="dxa"/>
              <w:right w:w="140" w:type="dxa"/>
            </w:tcMar>
          </w:tcPr>
          <w:p>
            <w:pPr>
              <w:jc w:val="left"/>
            </w:pPr>
            <w:r>
              <w:rPr>
                <w:rFonts w:ascii="Calibri" w:hAnsi="Calibri"/>
                <w:b/>
                <w:color w:val="191F0E"/>
                <w:sz w:val="19"/>
              </w:rPr>
              <w:t>Rule #</w:t>
            </w:r>
          </w:p>
        </w:tc>
        <w:tc>
          <w:tcPr>
            <w:tcW w:type="dxa" w:w="3168"/>
            <w:shd w:fill="FAF6E9"/>
            <w:tcMar>
              <w:top w:w="120" w:type="dxa"/>
              <w:bottom w:w="120" w:type="dxa"/>
              <w:left w:w="140" w:type="dxa"/>
              <w:right w:w="140" w:type="dxa"/>
            </w:tcMar>
          </w:tcPr>
          <w:p>
            <w:pPr>
              <w:jc w:val="left"/>
            </w:pPr>
            <w:r>
              <w:rPr>
                <w:rFonts w:ascii="Calibri" w:hAnsi="Calibri"/>
                <w:b/>
                <w:color w:val="191F0E"/>
                <w:sz w:val="19"/>
              </w:rPr>
              <w:t>Architectural Law</w:t>
            </w:r>
          </w:p>
        </w:tc>
        <w:tc>
          <w:tcPr>
            <w:tcW w:type="dxa" w:w="4464"/>
            <w:shd w:fill="FAF6E9"/>
            <w:tcMar>
              <w:top w:w="120" w:type="dxa"/>
              <w:bottom w:w="120" w:type="dxa"/>
              <w:left w:w="140" w:type="dxa"/>
              <w:right w:w="140" w:type="dxa"/>
            </w:tcMar>
          </w:tcPr>
          <w:p>
            <w:pPr>
              <w:jc w:val="left"/>
            </w:pPr>
            <w:r>
              <w:rPr>
                <w:rFonts w:ascii="Calibri" w:hAnsi="Calibri"/>
                <w:b/>
                <w:color w:val="191F0E"/>
                <w:sz w:val="19"/>
              </w:rPr>
              <w:t>Operational Requirement &amp; Constraint</w:t>
            </w:r>
          </w:p>
        </w:tc>
      </w:tr>
      <w:tr>
        <w:tc>
          <w:tcPr>
            <w:tcW w:type="dxa" w:w="1728"/>
            <w:shd w:fill="FFFFFF"/>
            <w:tcMar>
              <w:top w:w="90" w:type="dxa"/>
              <w:bottom w:w="90" w:type="dxa"/>
              <w:left w:w="140" w:type="dxa"/>
              <w:right w:w="140" w:type="dxa"/>
            </w:tcMar>
          </w:tcPr>
          <w:p>
            <w:pPr>
              <w:jc w:val="left"/>
            </w:pPr>
            <w:r>
              <w:rPr>
                <w:rFonts w:ascii="Calibri" w:hAnsi="Calibri"/>
                <w:color w:val="2D3517"/>
                <w:sz w:val="18"/>
              </w:rPr>
              <w:t>Law 1</w:t>
            </w:r>
          </w:p>
        </w:tc>
        <w:tc>
          <w:tcPr>
            <w:tcW w:type="dxa" w:w="3168"/>
            <w:shd w:fill="FFFFFF"/>
            <w:tcMar>
              <w:top w:w="90" w:type="dxa"/>
              <w:bottom w:w="90" w:type="dxa"/>
              <w:left w:w="140" w:type="dxa"/>
              <w:right w:w="140" w:type="dxa"/>
            </w:tcMar>
          </w:tcPr>
          <w:p>
            <w:pPr>
              <w:jc w:val="left"/>
            </w:pPr>
            <w:r>
              <w:rPr>
                <w:rFonts w:ascii="Calibri" w:hAnsi="Calibri"/>
                <w:color w:val="2D3517"/>
                <w:sz w:val="18"/>
              </w:rPr>
              <w:t>Zero Authentication</w:t>
            </w:r>
          </w:p>
        </w:tc>
        <w:tc>
          <w:tcPr>
            <w:tcW w:type="dxa" w:w="4464"/>
            <w:shd w:fill="FFFFFF"/>
            <w:tcMar>
              <w:top w:w="90" w:type="dxa"/>
              <w:bottom w:w="90" w:type="dxa"/>
              <w:left w:w="140" w:type="dxa"/>
              <w:right w:w="140" w:type="dxa"/>
            </w:tcMar>
          </w:tcPr>
          <w:p>
            <w:pPr>
              <w:jc w:val="left"/>
            </w:pPr>
            <w:r>
              <w:rPr>
                <w:rFonts w:ascii="Calibri" w:hAnsi="Calibri"/>
                <w:color w:val="2D3517"/>
                <w:sz w:val="18"/>
              </w:rPr>
              <w:t>Strictly no JWT, session tokens, user tables, or passwords. Every endpoint and UI view is 100% public.</w:t>
            </w:r>
          </w:p>
        </w:tc>
      </w:tr>
      <w:tr>
        <w:tc>
          <w:tcPr>
            <w:tcW w:type="dxa" w:w="1728"/>
            <w:shd w:fill="FCF9EF"/>
            <w:tcMar>
              <w:top w:w="90" w:type="dxa"/>
              <w:bottom w:w="90" w:type="dxa"/>
              <w:left w:w="140" w:type="dxa"/>
              <w:right w:w="140" w:type="dxa"/>
            </w:tcMar>
          </w:tcPr>
          <w:p>
            <w:pPr>
              <w:jc w:val="left"/>
            </w:pPr>
            <w:r>
              <w:rPr>
                <w:rFonts w:ascii="Calibri" w:hAnsi="Calibri"/>
                <w:color w:val="2D3517"/>
                <w:sz w:val="18"/>
              </w:rPr>
              <w:t>Law 2</w:t>
            </w:r>
          </w:p>
        </w:tc>
        <w:tc>
          <w:tcPr>
            <w:tcW w:type="dxa" w:w="3168"/>
            <w:shd w:fill="FCF9EF"/>
            <w:tcMar>
              <w:top w:w="90" w:type="dxa"/>
              <w:bottom w:w="90" w:type="dxa"/>
              <w:left w:w="140" w:type="dxa"/>
              <w:right w:w="140" w:type="dxa"/>
            </w:tcMar>
          </w:tcPr>
          <w:p>
            <w:pPr>
              <w:jc w:val="left"/>
            </w:pPr>
            <w:r>
              <w:rPr>
                <w:rFonts w:ascii="Calibri" w:hAnsi="Calibri"/>
                <w:color w:val="2D3517"/>
                <w:sz w:val="18"/>
              </w:rPr>
              <w:t>Cloud MongoDB Atlas</w:t>
            </w:r>
          </w:p>
        </w:tc>
        <w:tc>
          <w:tcPr>
            <w:tcW w:type="dxa" w:w="4464"/>
            <w:shd w:fill="FCF9EF"/>
            <w:tcMar>
              <w:top w:w="90" w:type="dxa"/>
              <w:bottom w:w="90" w:type="dxa"/>
              <w:left w:w="140" w:type="dxa"/>
              <w:right w:w="140" w:type="dxa"/>
            </w:tcMar>
          </w:tcPr>
          <w:p>
            <w:pPr>
              <w:jc w:val="left"/>
            </w:pPr>
            <w:r>
              <w:rPr>
                <w:rFonts w:ascii="Calibri" w:hAnsi="Calibri"/>
                <w:color w:val="2D3517"/>
                <w:sz w:val="18"/>
              </w:rPr>
              <w:t>MongoDB Atlas is cloud-only via MONGODB_URI. No local MongoDB daemon is assumed or allowed.</w:t>
            </w:r>
          </w:p>
        </w:tc>
      </w:tr>
      <w:tr>
        <w:tc>
          <w:tcPr>
            <w:tcW w:type="dxa" w:w="1728"/>
            <w:shd w:fill="FFFFFF"/>
            <w:tcMar>
              <w:top w:w="90" w:type="dxa"/>
              <w:bottom w:w="90" w:type="dxa"/>
              <w:left w:w="140" w:type="dxa"/>
              <w:right w:w="140" w:type="dxa"/>
            </w:tcMar>
          </w:tcPr>
          <w:p>
            <w:pPr>
              <w:jc w:val="left"/>
            </w:pPr>
            <w:r>
              <w:rPr>
                <w:rFonts w:ascii="Calibri" w:hAnsi="Calibri"/>
                <w:color w:val="2D3517"/>
                <w:sz w:val="18"/>
              </w:rPr>
              <w:t>Law 3</w:t>
            </w:r>
          </w:p>
        </w:tc>
        <w:tc>
          <w:tcPr>
            <w:tcW w:type="dxa" w:w="3168"/>
            <w:shd w:fill="FFFFFF"/>
            <w:tcMar>
              <w:top w:w="90" w:type="dxa"/>
              <w:bottom w:w="90" w:type="dxa"/>
              <w:left w:w="140" w:type="dxa"/>
              <w:right w:w="140" w:type="dxa"/>
            </w:tcMar>
          </w:tcPr>
          <w:p>
            <w:pPr>
              <w:jc w:val="left"/>
            </w:pPr>
            <w:r>
              <w:rPr>
                <w:rFonts w:ascii="Calibri" w:hAnsi="Calibri"/>
                <w:color w:val="2D3517"/>
                <w:sz w:val="18"/>
              </w:rPr>
              <w:t>Deterministic Manual Run</w:t>
            </w:r>
          </w:p>
        </w:tc>
        <w:tc>
          <w:tcPr>
            <w:tcW w:type="dxa" w:w="4464"/>
            <w:shd w:fill="FFFFFF"/>
            <w:tcMar>
              <w:top w:w="90" w:type="dxa"/>
              <w:bottom w:w="90" w:type="dxa"/>
              <w:left w:w="140" w:type="dxa"/>
              <w:right w:w="140" w:type="dxa"/>
            </w:tcMar>
          </w:tcPr>
          <w:p>
            <w:pPr>
              <w:jc w:val="left"/>
            </w:pPr>
            <w:r>
              <w:rPr>
                <w:rFonts w:ascii="Calibri" w:hAnsi="Calibri"/>
                <w:color w:val="2D3517"/>
                <w:sz w:val="18"/>
              </w:rPr>
              <w:t>No cron jobs or APScheduler background loops. Ingestion executes strictly on POST /api/pipeline/run.</w:t>
            </w:r>
          </w:p>
        </w:tc>
      </w:tr>
      <w:tr>
        <w:tc>
          <w:tcPr>
            <w:tcW w:type="dxa" w:w="1728"/>
            <w:shd w:fill="FCF9EF"/>
            <w:tcMar>
              <w:top w:w="90" w:type="dxa"/>
              <w:bottom w:w="90" w:type="dxa"/>
              <w:left w:w="140" w:type="dxa"/>
              <w:right w:w="140" w:type="dxa"/>
            </w:tcMar>
          </w:tcPr>
          <w:p>
            <w:pPr>
              <w:jc w:val="left"/>
            </w:pPr>
            <w:r>
              <w:rPr>
                <w:rFonts w:ascii="Calibri" w:hAnsi="Calibri"/>
                <w:color w:val="2D3517"/>
                <w:sz w:val="18"/>
              </w:rPr>
              <w:t>Law 4</w:t>
            </w:r>
          </w:p>
        </w:tc>
        <w:tc>
          <w:tcPr>
            <w:tcW w:type="dxa" w:w="3168"/>
            <w:shd w:fill="FCF9EF"/>
            <w:tcMar>
              <w:top w:w="90" w:type="dxa"/>
              <w:bottom w:w="90" w:type="dxa"/>
              <w:left w:w="140" w:type="dxa"/>
              <w:right w:w="140" w:type="dxa"/>
            </w:tcMar>
          </w:tcPr>
          <w:p>
            <w:pPr>
              <w:jc w:val="left"/>
            </w:pPr>
            <w:r>
              <w:rPr>
                <w:rFonts w:ascii="Calibri" w:hAnsi="Calibri"/>
                <w:color w:val="2D3517"/>
                <w:sz w:val="18"/>
              </w:rPr>
              <w:t>Clean Reset State</w:t>
            </w:r>
          </w:p>
        </w:tc>
        <w:tc>
          <w:tcPr>
            <w:tcW w:type="dxa" w:w="4464"/>
            <w:shd w:fill="FCF9EF"/>
            <w:tcMar>
              <w:top w:w="90" w:type="dxa"/>
              <w:bottom w:w="90" w:type="dxa"/>
              <w:left w:w="140" w:type="dxa"/>
              <w:right w:w="140" w:type="dxa"/>
            </w:tcMar>
          </w:tcPr>
          <w:p>
            <w:pPr>
              <w:jc w:val="left"/>
            </w:pPr>
            <w:r>
              <w:rPr>
                <w:rFonts w:ascii="Calibri" w:hAnsi="Calibri"/>
                <w:color w:val="2D3517"/>
                <w:sz w:val="18"/>
              </w:rPr>
              <w:t>Every pipeline execution purges volatile collections (articles, events, logs, Chroma). The sources collection is preserved.</w:t>
            </w:r>
          </w:p>
        </w:tc>
      </w:tr>
      <w:tr>
        <w:tc>
          <w:tcPr>
            <w:tcW w:type="dxa" w:w="1728"/>
            <w:shd w:fill="FFFFFF"/>
            <w:tcMar>
              <w:top w:w="90" w:type="dxa"/>
              <w:bottom w:w="90" w:type="dxa"/>
              <w:left w:w="140" w:type="dxa"/>
              <w:right w:w="140" w:type="dxa"/>
            </w:tcMar>
          </w:tcPr>
          <w:p>
            <w:pPr>
              <w:jc w:val="left"/>
            </w:pPr>
            <w:r>
              <w:rPr>
                <w:rFonts w:ascii="Calibri" w:hAnsi="Calibri"/>
                <w:color w:val="2D3517"/>
                <w:sz w:val="18"/>
              </w:rPr>
              <w:t>Law 5</w:t>
            </w:r>
          </w:p>
        </w:tc>
        <w:tc>
          <w:tcPr>
            <w:tcW w:type="dxa" w:w="3168"/>
            <w:shd w:fill="FFFFFF"/>
            <w:tcMar>
              <w:top w:w="90" w:type="dxa"/>
              <w:bottom w:w="90" w:type="dxa"/>
              <w:left w:w="140" w:type="dxa"/>
              <w:right w:w="140" w:type="dxa"/>
            </w:tcMar>
          </w:tcPr>
          <w:p>
            <w:pPr>
              <w:jc w:val="left"/>
            </w:pPr>
            <w:r>
              <w:rPr>
                <w:rFonts w:ascii="Calibri" w:hAnsi="Calibri"/>
                <w:color w:val="2D3517"/>
                <w:sz w:val="18"/>
              </w:rPr>
              <w:t>Strict Military Filter</w:t>
            </w:r>
          </w:p>
        </w:tc>
        <w:tc>
          <w:tcPr>
            <w:tcW w:type="dxa" w:w="4464"/>
            <w:shd w:fill="FFFFFF"/>
            <w:tcMar>
              <w:top w:w="90" w:type="dxa"/>
              <w:bottom w:w="90" w:type="dxa"/>
              <w:left w:w="140" w:type="dxa"/>
              <w:right w:w="140" w:type="dxa"/>
            </w:tcMar>
          </w:tcPr>
          <w:p>
            <w:pPr>
              <w:jc w:val="left"/>
            </w:pPr>
            <w:r>
              <w:rPr>
                <w:rFonts w:ascii="Calibri" w:hAnsi="Calibri"/>
                <w:color w:val="2D3517"/>
                <w:sz w:val="18"/>
              </w:rPr>
              <w:t>Non-defense noise (politics, sports, finance, entertainment) is rejected prior to vectorization.</w:t>
            </w:r>
          </w:p>
        </w:tc>
      </w:tr>
      <w:tr>
        <w:tc>
          <w:tcPr>
            <w:tcW w:type="dxa" w:w="1728"/>
            <w:shd w:fill="FCF9EF"/>
            <w:tcMar>
              <w:top w:w="90" w:type="dxa"/>
              <w:bottom w:w="90" w:type="dxa"/>
              <w:left w:w="140" w:type="dxa"/>
              <w:right w:w="140" w:type="dxa"/>
            </w:tcMar>
          </w:tcPr>
          <w:p>
            <w:pPr>
              <w:jc w:val="left"/>
            </w:pPr>
            <w:r>
              <w:rPr>
                <w:rFonts w:ascii="Calibri" w:hAnsi="Calibri"/>
                <w:color w:val="2D3517"/>
                <w:sz w:val="18"/>
              </w:rPr>
              <w:t>Law 6</w:t>
            </w:r>
          </w:p>
        </w:tc>
        <w:tc>
          <w:tcPr>
            <w:tcW w:type="dxa" w:w="3168"/>
            <w:shd w:fill="FCF9EF"/>
            <w:tcMar>
              <w:top w:w="90" w:type="dxa"/>
              <w:bottom w:w="90" w:type="dxa"/>
              <w:left w:w="140" w:type="dxa"/>
              <w:right w:w="140" w:type="dxa"/>
            </w:tcMar>
          </w:tcPr>
          <w:p>
            <w:pPr>
              <w:jc w:val="left"/>
            </w:pPr>
            <w:r>
              <w:rPr>
                <w:rFonts w:ascii="Calibri" w:hAnsi="Calibri"/>
                <w:color w:val="2D3517"/>
                <w:sz w:val="18"/>
              </w:rPr>
              <w:t>Hybrid Multi-Signal Cluster</w:t>
            </w:r>
          </w:p>
        </w:tc>
        <w:tc>
          <w:tcPr>
            <w:tcW w:type="dxa" w:w="4464"/>
            <w:shd w:fill="FCF9EF"/>
            <w:tcMar>
              <w:top w:w="90" w:type="dxa"/>
              <w:bottom w:w="90" w:type="dxa"/>
              <w:left w:w="140" w:type="dxa"/>
              <w:right w:w="140" w:type="dxa"/>
            </w:tcMar>
          </w:tcPr>
          <w:p>
            <w:pPr>
              <w:jc w:val="left"/>
            </w:pPr>
            <w:r>
              <w:rPr>
                <w:rFonts w:ascii="Calibri" w:hAnsi="Calibri"/>
                <w:color w:val="2D3517"/>
                <w:sz w:val="18"/>
              </w:rPr>
              <w:t>Events are formed via 5 mathematical signals (semantic, entity, location, temporal, metadata) with a 0.62 threshold.</w:t>
            </w:r>
          </w:p>
        </w:tc>
      </w:tr>
      <w:tr>
        <w:tc>
          <w:tcPr>
            <w:tcW w:type="dxa" w:w="1728"/>
            <w:shd w:fill="FFFFFF"/>
            <w:tcMar>
              <w:top w:w="90" w:type="dxa"/>
              <w:bottom w:w="90" w:type="dxa"/>
              <w:left w:w="140" w:type="dxa"/>
              <w:right w:w="140" w:type="dxa"/>
            </w:tcMar>
          </w:tcPr>
          <w:p>
            <w:pPr>
              <w:jc w:val="left"/>
            </w:pPr>
            <w:r>
              <w:rPr>
                <w:rFonts w:ascii="Calibri" w:hAnsi="Calibri"/>
                <w:color w:val="2D3517"/>
                <w:sz w:val="18"/>
              </w:rPr>
              <w:t>Law 7</w:t>
            </w:r>
          </w:p>
        </w:tc>
        <w:tc>
          <w:tcPr>
            <w:tcW w:type="dxa" w:w="3168"/>
            <w:shd w:fill="FFFFFF"/>
            <w:tcMar>
              <w:top w:w="90" w:type="dxa"/>
              <w:bottom w:w="90" w:type="dxa"/>
              <w:left w:w="140" w:type="dxa"/>
              <w:right w:w="140" w:type="dxa"/>
            </w:tcMar>
          </w:tcPr>
          <w:p>
            <w:pPr>
              <w:jc w:val="left"/>
            </w:pPr>
            <w:r>
              <w:rPr>
                <w:rFonts w:ascii="Calibri" w:hAnsi="Calibri"/>
                <w:color w:val="2D3517"/>
                <w:sz w:val="18"/>
              </w:rPr>
              <w:t>Collective Synthesis</w:t>
            </w:r>
          </w:p>
        </w:tc>
        <w:tc>
          <w:tcPr>
            <w:tcW w:type="dxa" w:w="4464"/>
            <w:shd w:fill="FFFFFF"/>
            <w:tcMar>
              <w:top w:w="90" w:type="dxa"/>
              <w:bottom w:w="90" w:type="dxa"/>
              <w:left w:w="140" w:type="dxa"/>
              <w:right w:w="140" w:type="dxa"/>
            </w:tcMar>
          </w:tcPr>
          <w:p>
            <w:pPr>
              <w:jc w:val="left"/>
            </w:pPr>
            <w:r>
              <w:rPr>
                <w:rFonts w:ascii="Calibri" w:hAnsi="Calibri"/>
                <w:color w:val="2D3517"/>
                <w:sz w:val="18"/>
              </w:rPr>
              <w:t>Event summaries are generated from ALL member articles combined, never from a single isolated story.</w:t>
            </w:r>
          </w:p>
        </w:tc>
      </w:tr>
      <w:tr>
        <w:tc>
          <w:tcPr>
            <w:tcW w:type="dxa" w:w="1728"/>
            <w:shd w:fill="FCF9EF"/>
            <w:tcMar>
              <w:top w:w="90" w:type="dxa"/>
              <w:bottom w:w="90" w:type="dxa"/>
              <w:left w:w="140" w:type="dxa"/>
              <w:right w:w="140" w:type="dxa"/>
            </w:tcMar>
          </w:tcPr>
          <w:p>
            <w:pPr>
              <w:jc w:val="left"/>
            </w:pPr>
            <w:r>
              <w:rPr>
                <w:rFonts w:ascii="Calibri" w:hAnsi="Calibri"/>
                <w:color w:val="2D3517"/>
                <w:sz w:val="18"/>
              </w:rPr>
              <w:t>Law 8</w:t>
            </w:r>
          </w:p>
        </w:tc>
        <w:tc>
          <w:tcPr>
            <w:tcW w:type="dxa" w:w="3168"/>
            <w:shd w:fill="FCF9EF"/>
            <w:tcMar>
              <w:top w:w="90" w:type="dxa"/>
              <w:bottom w:w="90" w:type="dxa"/>
              <w:left w:w="140" w:type="dxa"/>
              <w:right w:w="140" w:type="dxa"/>
            </w:tcMar>
          </w:tcPr>
          <w:p>
            <w:pPr>
              <w:jc w:val="left"/>
            </w:pPr>
            <w:r>
              <w:rPr>
                <w:rFonts w:ascii="Calibri" w:hAnsi="Calibri"/>
                <w:color w:val="2D3517"/>
                <w:sz w:val="18"/>
              </w:rPr>
              <w:t>3-Tier LLM Resilience</w:t>
            </w:r>
          </w:p>
        </w:tc>
        <w:tc>
          <w:tcPr>
            <w:tcW w:type="dxa" w:w="4464"/>
            <w:shd w:fill="FCF9EF"/>
            <w:tcMar>
              <w:top w:w="90" w:type="dxa"/>
              <w:bottom w:w="90" w:type="dxa"/>
              <w:left w:w="140" w:type="dxa"/>
              <w:right w:w="140" w:type="dxa"/>
            </w:tcMar>
          </w:tcPr>
          <w:p>
            <w:pPr>
              <w:jc w:val="left"/>
            </w:pPr>
            <w:r>
              <w:rPr>
                <w:rFonts w:ascii="Calibri" w:hAnsi="Calibri"/>
                <w:color w:val="2D3517"/>
                <w:sz w:val="18"/>
              </w:rPr>
              <w:t>Summarization flows through Qwen3-14B Tunnel -&gt; OpenRouter Cloud -&gt; Local Deterministic Heuristic.</w:t>
            </w:r>
          </w:p>
        </w:tc>
      </w:tr>
      <w:tr>
        <w:tc>
          <w:tcPr>
            <w:tcW w:type="dxa" w:w="1728"/>
            <w:shd w:fill="FFFFFF"/>
            <w:tcMar>
              <w:top w:w="90" w:type="dxa"/>
              <w:bottom w:w="90" w:type="dxa"/>
              <w:left w:w="140" w:type="dxa"/>
              <w:right w:w="140" w:type="dxa"/>
            </w:tcMar>
          </w:tcPr>
          <w:p>
            <w:pPr>
              <w:jc w:val="left"/>
            </w:pPr>
            <w:r>
              <w:rPr>
                <w:rFonts w:ascii="Calibri" w:hAnsi="Calibri"/>
                <w:color w:val="2D3517"/>
                <w:sz w:val="18"/>
              </w:rPr>
              <w:t>Law 9</w:t>
            </w:r>
          </w:p>
        </w:tc>
        <w:tc>
          <w:tcPr>
            <w:tcW w:type="dxa" w:w="3168"/>
            <w:shd w:fill="FFFFFF"/>
            <w:tcMar>
              <w:top w:w="90" w:type="dxa"/>
              <w:bottom w:w="90" w:type="dxa"/>
              <w:left w:w="140" w:type="dxa"/>
              <w:right w:w="140" w:type="dxa"/>
            </w:tcMar>
          </w:tcPr>
          <w:p>
            <w:pPr>
              <w:jc w:val="left"/>
            </w:pPr>
            <w:r>
              <w:rPr>
                <w:rFonts w:ascii="Calibri" w:hAnsi="Calibri"/>
                <w:color w:val="2D3517"/>
                <w:sz w:val="18"/>
              </w:rPr>
              <w:t>Real-Time Telemetry</w:t>
            </w:r>
          </w:p>
        </w:tc>
        <w:tc>
          <w:tcPr>
            <w:tcW w:type="dxa" w:w="4464"/>
            <w:shd w:fill="FFFFFF"/>
            <w:tcMar>
              <w:top w:w="90" w:type="dxa"/>
              <w:bottom w:w="90" w:type="dxa"/>
              <w:left w:w="140" w:type="dxa"/>
              <w:right w:w="140" w:type="dxa"/>
            </w:tcMar>
          </w:tcPr>
          <w:p>
            <w:pPr>
              <w:jc w:val="left"/>
            </w:pPr>
            <w:r>
              <w:rPr>
                <w:rFonts w:ascii="Calibri" w:hAnsi="Calibri"/>
                <w:color w:val="2D3517"/>
                <w:sz w:val="18"/>
              </w:rPr>
              <w:t>Every phase persists structured JSON execution metrics to MongoDB pipeline_logs and streams to the UI.</w:t>
            </w:r>
          </w:p>
        </w:tc>
      </w:tr>
    </w:tbl>
    <w:p>
      <w:r>
        <w:br w:type="page"/>
      </w:r>
    </w:p>
    <w:p>
      <w:pPr>
        <w:pStyle w:val="Heading1"/>
      </w:pPr>
      <w:r>
        <w:t>2. System Architecture &amp; Component Interaction</w:t>
      </w:r>
    </w:p>
    <w:p>
      <w:r>
        <w:t>OSINT-EIP is architectured around clean decoupling between data ingestion, domain filtering, vector mathematics, LLM inference, and an editorial presentation layer. The system operates with zero background polling threads to maximize compute efficiency and reproducibility.</w:t>
      </w:r>
    </w:p>
    <w:p>
      <w:pPr>
        <w:pStyle w:val="Heading2"/>
      </w:pPr>
      <w:r>
        <w:t>2.1 Layer-by-Layer Architectural Breakdown</w:t>
      </w:r>
    </w:p>
    <w:p>
      <w:r>
        <w:t>• External Ingestion Layer:</w:t>
        <w:br/>
        <w:t xml:space="preserve">  Polls configured news wires (RSS feeds and REST APIs) asynchronously using httpx and feedparser.   Canonical URLs are resolved, cleaned of tracking tokens (utm_*), and hashed using SHA-256 for instantaneous deduplication.</w:t>
        <w:br/>
        <w:br/>
        <w:t>• Sanitization &amp; Filtration Layer:</w:t>
        <w:br/>
        <w:t xml:space="preserve">  Extracts article bodies, strips HTML artifacts, and parses publication timestamps to UTC ISO-8601.   The Military Topic Filter evaluates text against an authoritative defense taxonomy (branches of armed forces, combat operations,   ordnance, missile classifications, treaties). Off-topic articles are pruned immediately.</w:t>
        <w:br/>
        <w:br/>
        <w:t>• Entity Extraction &amp; Dense Vectorization Layer:</w:t>
        <w:br/>
        <w:t xml:space="preserve">  Batched spaCy execution extracts operational actors (ORG), theaters (LOC/GPE), and key figures.   The sentence-transformers all-MiniLM-L6-v2 pipeline projects cleaned text into 384-dimensional dense semantic vectors.</w:t>
        <w:br/>
        <w:br/>
        <w:t>• Hybrid Multi-Signal Clustering Layer:</w:t>
        <w:br/>
        <w:t xml:space="preserve">  Evaluates all active articles against existing event clusters using a 5-signal composite similarity equation.   Pairs scoring &gt;= 0.62 are clustered into unified events, establishing cross-wire corroboration.</w:t>
        <w:br/>
        <w:br/>
        <w:t>• LLM Inference &amp; Collective Synthesis Layer:</w:t>
        <w:br/>
        <w:t xml:space="preserve">  Member articles are synthesized into a collective intelligence briefing via the 3-tier cascade.   Tier 1 Qwen3-14B (tunnel) -&gt; Tier 2 OpenRouter -&gt; Tier 3 Local Heuristic guarantees zero unsummarized events.</w:t>
        <w:br/>
        <w:br/>
        <w:t>• Persistence &amp; Vector Storage Layer:</w:t>
        <w:br/>
        <w:t xml:space="preserve">  MongoDB Atlas cloud cluster stores document state across articles, events, sources, pipeline_logs, and rag_chat_logs.   ChromaDB indexes vector embeddings across osint_articles and osint_events for fast cosine retrieval.</w:t>
        <w:br/>
        <w:br/>
        <w:t>• Presentation Layer (React 19 + Tailwind v4):</w:t>
        <w:br/>
        <w:t xml:space="preserve">  A responsive Single Page Application serving an Overview dashboard, Event feeds, detailed intelligence dossiers,   source registry controls, live pipeline telemetry, and the conversational RAG research assistant.</w:t>
      </w:r>
    </w:p>
    <w:p>
      <w:pPr>
        <w:pStyle w:val="Heading2"/>
      </w:pPr>
      <w:r>
        <w:t>2.2 Technology Stack Justification (Why Each Was Chosen)</w:t>
      </w:r>
    </w:p>
    <w:tbl>
      <w:tblPr>
        <w:tblW w:type="auto" w:w="0"/>
        <w:jc w:val="center"/>
        <w:tblLook w:firstColumn="1" w:firstRow="1" w:lastColumn="0" w:lastRow="0" w:noHBand="0" w:noVBand="1" w:val="04A0"/>
      </w:tblPr>
      <w:tblGrid>
        <w:gridCol w:w="3120"/>
        <w:gridCol w:w="3120"/>
        <w:gridCol w:w="3120"/>
      </w:tblGrid>
      <w:tr>
        <w:tc>
          <w:tcPr>
            <w:tcW w:type="dxa" w:w="2592"/>
            <w:shd w:fill="FAF6E9"/>
            <w:tcMar>
              <w:top w:w="120" w:type="dxa"/>
              <w:bottom w:w="120" w:type="dxa"/>
              <w:left w:w="140" w:type="dxa"/>
              <w:right w:w="140" w:type="dxa"/>
            </w:tcMar>
          </w:tcPr>
          <w:p>
            <w:pPr>
              <w:jc w:val="left"/>
            </w:pPr>
            <w:r>
              <w:rPr>
                <w:rFonts w:ascii="Calibri" w:hAnsi="Calibri"/>
                <w:b/>
                <w:color w:val="191F0E"/>
                <w:sz w:val="19"/>
              </w:rPr>
              <w:t>Technology</w:t>
            </w:r>
          </w:p>
        </w:tc>
        <w:tc>
          <w:tcPr>
            <w:tcW w:type="dxa" w:w="2592"/>
            <w:shd w:fill="FAF6E9"/>
            <w:tcMar>
              <w:top w:w="120" w:type="dxa"/>
              <w:bottom w:w="120" w:type="dxa"/>
              <w:left w:w="140" w:type="dxa"/>
              <w:right w:w="140" w:type="dxa"/>
            </w:tcMar>
          </w:tcPr>
          <w:p>
            <w:pPr>
              <w:jc w:val="left"/>
            </w:pPr>
            <w:r>
              <w:rPr>
                <w:rFonts w:ascii="Calibri" w:hAnsi="Calibri"/>
                <w:b/>
                <w:color w:val="191F0E"/>
                <w:sz w:val="19"/>
              </w:rPr>
              <w:t>Role in Platform</w:t>
            </w:r>
          </w:p>
        </w:tc>
        <w:tc>
          <w:tcPr>
            <w:tcW w:type="dxa" w:w="4176"/>
            <w:shd w:fill="FAF6E9"/>
            <w:tcMar>
              <w:top w:w="120" w:type="dxa"/>
              <w:bottom w:w="120" w:type="dxa"/>
              <w:left w:w="140" w:type="dxa"/>
              <w:right w:w="140" w:type="dxa"/>
            </w:tcMar>
          </w:tcPr>
          <w:p>
            <w:pPr>
              <w:jc w:val="left"/>
            </w:pPr>
            <w:r>
              <w:rPr>
                <w:rFonts w:ascii="Calibri" w:hAnsi="Calibri"/>
                <w:b/>
                <w:color w:val="191F0E"/>
                <w:sz w:val="19"/>
              </w:rPr>
              <w:t>Selection Justification &amp; Rationale</w:t>
            </w:r>
          </w:p>
        </w:tc>
      </w:tr>
      <w:tr>
        <w:tc>
          <w:tcPr>
            <w:tcW w:type="dxa" w:w="2592"/>
            <w:shd w:fill="FFFFFF"/>
            <w:tcMar>
              <w:top w:w="90" w:type="dxa"/>
              <w:bottom w:w="90" w:type="dxa"/>
              <w:left w:w="140" w:type="dxa"/>
              <w:right w:w="140" w:type="dxa"/>
            </w:tcMar>
          </w:tcPr>
          <w:p>
            <w:pPr>
              <w:jc w:val="left"/>
            </w:pPr>
            <w:r>
              <w:rPr>
                <w:rFonts w:ascii="Calibri" w:hAnsi="Calibri"/>
                <w:color w:val="2D3517"/>
                <w:sz w:val="18"/>
              </w:rPr>
              <w:t>FastAPI (Python 3.12)</w:t>
            </w:r>
          </w:p>
        </w:tc>
        <w:tc>
          <w:tcPr>
            <w:tcW w:type="dxa" w:w="2592"/>
            <w:shd w:fill="FFFFFF"/>
            <w:tcMar>
              <w:top w:w="90" w:type="dxa"/>
              <w:bottom w:w="90" w:type="dxa"/>
              <w:left w:w="140" w:type="dxa"/>
              <w:right w:w="140" w:type="dxa"/>
            </w:tcMar>
          </w:tcPr>
          <w:p>
            <w:pPr>
              <w:jc w:val="left"/>
            </w:pPr>
            <w:r>
              <w:rPr>
                <w:rFonts w:ascii="Calibri" w:hAnsi="Calibri"/>
                <w:color w:val="2D3517"/>
                <w:sz w:val="18"/>
              </w:rPr>
              <w:t>Backend Application</w:t>
            </w:r>
          </w:p>
        </w:tc>
        <w:tc>
          <w:tcPr>
            <w:tcW w:type="dxa" w:w="4176"/>
            <w:shd w:fill="FFFFFF"/>
            <w:tcMar>
              <w:top w:w="90" w:type="dxa"/>
              <w:bottom w:w="90" w:type="dxa"/>
              <w:left w:w="140" w:type="dxa"/>
              <w:right w:w="140" w:type="dxa"/>
            </w:tcMar>
          </w:tcPr>
          <w:p>
            <w:pPr>
              <w:jc w:val="left"/>
            </w:pPr>
            <w:r>
              <w:rPr>
                <w:rFonts w:ascii="Calibri" w:hAnsi="Calibri"/>
                <w:color w:val="2D3517"/>
                <w:sz w:val="18"/>
              </w:rPr>
              <w:t>Async native I/O for concurrent feed fetching; strict Pydantic v2 schema enforcement; high performance.</w:t>
            </w:r>
          </w:p>
        </w:tc>
      </w:tr>
      <w:tr>
        <w:tc>
          <w:tcPr>
            <w:tcW w:type="dxa" w:w="2592"/>
            <w:shd w:fill="FCF9EF"/>
            <w:tcMar>
              <w:top w:w="90" w:type="dxa"/>
              <w:bottom w:w="90" w:type="dxa"/>
              <w:left w:w="140" w:type="dxa"/>
              <w:right w:w="140" w:type="dxa"/>
            </w:tcMar>
          </w:tcPr>
          <w:p>
            <w:pPr>
              <w:jc w:val="left"/>
            </w:pPr>
            <w:r>
              <w:rPr>
                <w:rFonts w:ascii="Calibri" w:hAnsi="Calibri"/>
                <w:color w:val="2D3517"/>
                <w:sz w:val="18"/>
              </w:rPr>
              <w:t>MongoDB Atlas</w:t>
            </w:r>
          </w:p>
        </w:tc>
        <w:tc>
          <w:tcPr>
            <w:tcW w:type="dxa" w:w="2592"/>
            <w:shd w:fill="FCF9EF"/>
            <w:tcMar>
              <w:top w:w="90" w:type="dxa"/>
              <w:bottom w:w="90" w:type="dxa"/>
              <w:left w:w="140" w:type="dxa"/>
              <w:right w:w="140" w:type="dxa"/>
            </w:tcMar>
          </w:tcPr>
          <w:p>
            <w:pPr>
              <w:jc w:val="left"/>
            </w:pPr>
            <w:r>
              <w:rPr>
                <w:rFonts w:ascii="Calibri" w:hAnsi="Calibri"/>
                <w:color w:val="2D3517"/>
                <w:sz w:val="18"/>
              </w:rPr>
              <w:t>Cloud Document Store</w:t>
            </w:r>
          </w:p>
        </w:tc>
        <w:tc>
          <w:tcPr>
            <w:tcW w:type="dxa" w:w="4176"/>
            <w:shd w:fill="FCF9EF"/>
            <w:tcMar>
              <w:top w:w="90" w:type="dxa"/>
              <w:bottom w:w="90" w:type="dxa"/>
              <w:left w:w="140" w:type="dxa"/>
              <w:right w:w="140" w:type="dxa"/>
            </w:tcMar>
          </w:tcPr>
          <w:p>
            <w:pPr>
              <w:jc w:val="left"/>
            </w:pPr>
            <w:r>
              <w:rPr>
                <w:rFonts w:ascii="Calibri" w:hAnsi="Calibri"/>
                <w:color w:val="2D3517"/>
                <w:sz w:val="18"/>
              </w:rPr>
              <w:t>Flexible schema for multi-article event nesting; zero local daemon overhead; cloud persistent source registry.</w:t>
            </w:r>
          </w:p>
        </w:tc>
      </w:tr>
      <w:tr>
        <w:tc>
          <w:tcPr>
            <w:tcW w:type="dxa" w:w="2592"/>
            <w:shd w:fill="FFFFFF"/>
            <w:tcMar>
              <w:top w:w="90" w:type="dxa"/>
              <w:bottom w:w="90" w:type="dxa"/>
              <w:left w:w="140" w:type="dxa"/>
              <w:right w:w="140" w:type="dxa"/>
            </w:tcMar>
          </w:tcPr>
          <w:p>
            <w:pPr>
              <w:jc w:val="left"/>
            </w:pPr>
            <w:r>
              <w:rPr>
                <w:rFonts w:ascii="Calibri" w:hAnsi="Calibri"/>
                <w:color w:val="2D3517"/>
                <w:sz w:val="18"/>
              </w:rPr>
              <w:t>ChromaDB</w:t>
            </w:r>
          </w:p>
        </w:tc>
        <w:tc>
          <w:tcPr>
            <w:tcW w:type="dxa" w:w="2592"/>
            <w:shd w:fill="FFFFFF"/>
            <w:tcMar>
              <w:top w:w="90" w:type="dxa"/>
              <w:bottom w:w="90" w:type="dxa"/>
              <w:left w:w="140" w:type="dxa"/>
              <w:right w:w="140" w:type="dxa"/>
            </w:tcMar>
          </w:tcPr>
          <w:p>
            <w:pPr>
              <w:jc w:val="left"/>
            </w:pPr>
            <w:r>
              <w:rPr>
                <w:rFonts w:ascii="Calibri" w:hAnsi="Calibri"/>
                <w:color w:val="2D3517"/>
                <w:sz w:val="18"/>
              </w:rPr>
              <w:t>Vector Store</w:t>
            </w:r>
          </w:p>
        </w:tc>
        <w:tc>
          <w:tcPr>
            <w:tcW w:type="dxa" w:w="4176"/>
            <w:shd w:fill="FFFFFF"/>
            <w:tcMar>
              <w:top w:w="90" w:type="dxa"/>
              <w:bottom w:w="90" w:type="dxa"/>
              <w:left w:w="140" w:type="dxa"/>
              <w:right w:w="140" w:type="dxa"/>
            </w:tcMar>
          </w:tcPr>
          <w:p>
            <w:pPr>
              <w:jc w:val="left"/>
            </w:pPr>
            <w:r>
              <w:rPr>
                <w:rFonts w:ascii="Calibri" w:hAnsi="Calibri"/>
                <w:color w:val="2D3517"/>
                <w:sz w:val="18"/>
              </w:rPr>
              <w:t>Native Python embedding indexing; sub-millisecond cosine search; decoupled collections for articles &amp; events.</w:t>
            </w:r>
          </w:p>
        </w:tc>
      </w:tr>
      <w:tr>
        <w:tc>
          <w:tcPr>
            <w:tcW w:type="dxa" w:w="2592"/>
            <w:shd w:fill="FCF9EF"/>
            <w:tcMar>
              <w:top w:w="90" w:type="dxa"/>
              <w:bottom w:w="90" w:type="dxa"/>
              <w:left w:w="140" w:type="dxa"/>
              <w:right w:w="140" w:type="dxa"/>
            </w:tcMar>
          </w:tcPr>
          <w:p>
            <w:pPr>
              <w:jc w:val="left"/>
            </w:pPr>
            <w:r>
              <w:rPr>
                <w:rFonts w:ascii="Calibri" w:hAnsi="Calibri"/>
                <w:color w:val="2D3517"/>
                <w:sz w:val="18"/>
              </w:rPr>
              <w:t>spaCy (en_core_web_sm)</w:t>
            </w:r>
          </w:p>
        </w:tc>
        <w:tc>
          <w:tcPr>
            <w:tcW w:type="dxa" w:w="2592"/>
            <w:shd w:fill="FCF9EF"/>
            <w:tcMar>
              <w:top w:w="90" w:type="dxa"/>
              <w:bottom w:w="90" w:type="dxa"/>
              <w:left w:w="140" w:type="dxa"/>
              <w:right w:w="140" w:type="dxa"/>
            </w:tcMar>
          </w:tcPr>
          <w:p>
            <w:pPr>
              <w:jc w:val="left"/>
            </w:pPr>
            <w:r>
              <w:rPr>
                <w:rFonts w:ascii="Calibri" w:hAnsi="Calibri"/>
                <w:color w:val="2D3517"/>
                <w:sz w:val="18"/>
              </w:rPr>
              <w:t>Entity Extraction</w:t>
            </w:r>
          </w:p>
        </w:tc>
        <w:tc>
          <w:tcPr>
            <w:tcW w:type="dxa" w:w="4176"/>
            <w:shd w:fill="FCF9EF"/>
            <w:tcMar>
              <w:top w:w="90" w:type="dxa"/>
              <w:bottom w:w="90" w:type="dxa"/>
              <w:left w:w="140" w:type="dxa"/>
              <w:right w:w="140" w:type="dxa"/>
            </w:tcMar>
          </w:tcPr>
          <w:p>
            <w:pPr>
              <w:jc w:val="left"/>
            </w:pPr>
            <w:r>
              <w:rPr>
                <w:rFonts w:ascii="Calibri" w:hAnsi="Calibri"/>
                <w:color w:val="2D3517"/>
                <w:sz w:val="18"/>
              </w:rPr>
              <w:t>Fast, deterministic local NER for armed forces (ORG), locations (GPE/LOC), and figures without external API fees.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all-MiniLM-L6-v2</w:t>
            </w:r>
          </w:p>
        </w:tc>
        <w:tc>
          <w:tcPr>
            <w:tcW w:type="dxa" w:w="2592"/>
            <w:shd w:fill="FFFFFF"/>
            <w:tcMar>
              <w:top w:w="90" w:type="dxa"/>
              <w:bottom w:w="90" w:type="dxa"/>
              <w:left w:w="140" w:type="dxa"/>
              <w:right w:w="140" w:type="dxa"/>
            </w:tcMar>
          </w:tcPr>
          <w:p>
            <w:pPr>
              <w:jc w:val="left"/>
            </w:pPr>
            <w:r>
              <w:rPr>
                <w:rFonts w:ascii="Calibri" w:hAnsi="Calibri"/>
                <w:color w:val="2D3517"/>
                <w:sz w:val="18"/>
              </w:rPr>
              <w:t>Semantic Vectors</w:t>
            </w:r>
          </w:p>
        </w:tc>
        <w:tc>
          <w:tcPr>
            <w:tcW w:type="dxa" w:w="4176"/>
            <w:shd w:fill="FFFFFF"/>
            <w:tcMar>
              <w:top w:w="90" w:type="dxa"/>
              <w:bottom w:w="90" w:type="dxa"/>
              <w:left w:w="140" w:type="dxa"/>
              <w:right w:w="140" w:type="dxa"/>
            </w:tcMar>
          </w:tcPr>
          <w:p>
            <w:pPr>
              <w:jc w:val="left"/>
            </w:pPr>
            <w:r>
              <w:rPr>
                <w:rFonts w:ascii="Calibri" w:hAnsi="Calibri"/>
                <w:color w:val="2D3517"/>
                <w:sz w:val="18"/>
              </w:rPr>
              <w:t>384-dimensional dense embeddings; state-of-the-art balance between inference speed and semantic nuance.</w:t>
            </w:r>
          </w:p>
        </w:tc>
      </w:tr>
      <w:tr>
        <w:tc>
          <w:tcPr>
            <w:tcW w:type="dxa" w:w="2592"/>
            <w:shd w:fill="FCF9EF"/>
            <w:tcMar>
              <w:top w:w="90" w:type="dxa"/>
              <w:bottom w:w="90" w:type="dxa"/>
              <w:left w:w="140" w:type="dxa"/>
              <w:right w:w="140" w:type="dxa"/>
            </w:tcMar>
          </w:tcPr>
          <w:p>
            <w:pPr>
              <w:jc w:val="left"/>
            </w:pPr>
            <w:r>
              <w:rPr>
                <w:rFonts w:ascii="Calibri" w:hAnsi="Calibri"/>
                <w:color w:val="2D3517"/>
                <w:sz w:val="18"/>
              </w:rPr>
              <w:t>Qwen3-14B</w:t>
            </w:r>
          </w:p>
        </w:tc>
        <w:tc>
          <w:tcPr>
            <w:tcW w:type="dxa" w:w="2592"/>
            <w:shd w:fill="FCF9EF"/>
            <w:tcMar>
              <w:top w:w="90" w:type="dxa"/>
              <w:bottom w:w="90" w:type="dxa"/>
              <w:left w:w="140" w:type="dxa"/>
              <w:right w:w="140" w:type="dxa"/>
            </w:tcMar>
          </w:tcPr>
          <w:p>
            <w:pPr>
              <w:jc w:val="left"/>
            </w:pPr>
            <w:r>
              <w:rPr>
                <w:rFonts w:ascii="Calibri" w:hAnsi="Calibri"/>
                <w:color w:val="2D3517"/>
                <w:sz w:val="18"/>
              </w:rPr>
              <w:t>Primary LLM</w:t>
            </w:r>
          </w:p>
        </w:tc>
        <w:tc>
          <w:tcPr>
            <w:tcW w:type="dxa" w:w="4176"/>
            <w:shd w:fill="FCF9EF"/>
            <w:tcMar>
              <w:top w:w="90" w:type="dxa"/>
              <w:bottom w:w="90" w:type="dxa"/>
              <w:left w:w="140" w:type="dxa"/>
              <w:right w:w="140" w:type="dxa"/>
            </w:tcMar>
          </w:tcPr>
          <w:p>
            <w:pPr>
              <w:jc w:val="left"/>
            </w:pPr>
            <w:r>
              <w:rPr>
                <w:rFonts w:ascii="Calibri" w:hAnsi="Calibri"/>
                <w:color w:val="2D3517"/>
                <w:sz w:val="18"/>
              </w:rPr>
              <w:t>High reasoning capacity for defense synthesis; hosted locally or via tunnel; zero per-token cost.</w:t>
            </w:r>
          </w:p>
        </w:tc>
      </w:tr>
      <w:tr>
        <w:tc>
          <w:tcPr>
            <w:tcW w:type="dxa" w:w="2592"/>
            <w:shd w:fill="FFFFFF"/>
            <w:tcMar>
              <w:top w:w="90" w:type="dxa"/>
              <w:bottom w:w="90" w:type="dxa"/>
              <w:left w:w="140" w:type="dxa"/>
              <w:right w:w="140" w:type="dxa"/>
            </w:tcMar>
          </w:tcPr>
          <w:p>
            <w:pPr>
              <w:jc w:val="left"/>
            </w:pPr>
            <w:r>
              <w:rPr>
                <w:rFonts w:ascii="Calibri" w:hAnsi="Calibri"/>
                <w:color w:val="2D3517"/>
                <w:sz w:val="18"/>
              </w:rPr>
              <w:t>OpenRouter API</w:t>
            </w:r>
          </w:p>
        </w:tc>
        <w:tc>
          <w:tcPr>
            <w:tcW w:type="dxa" w:w="2592"/>
            <w:shd w:fill="FFFFFF"/>
            <w:tcMar>
              <w:top w:w="90" w:type="dxa"/>
              <w:bottom w:w="90" w:type="dxa"/>
              <w:left w:w="140" w:type="dxa"/>
              <w:right w:w="140" w:type="dxa"/>
            </w:tcMar>
          </w:tcPr>
          <w:p>
            <w:pPr>
              <w:jc w:val="left"/>
            </w:pPr>
            <w:r>
              <w:rPr>
                <w:rFonts w:ascii="Calibri" w:hAnsi="Calibri"/>
                <w:color w:val="2D3517"/>
                <w:sz w:val="18"/>
              </w:rPr>
              <w:t>Secondary LLM</w:t>
            </w:r>
          </w:p>
        </w:tc>
        <w:tc>
          <w:tcPr>
            <w:tcW w:type="dxa" w:w="4176"/>
            <w:shd w:fill="FFFFFF"/>
            <w:tcMar>
              <w:top w:w="90" w:type="dxa"/>
              <w:bottom w:w="90" w:type="dxa"/>
              <w:left w:w="140" w:type="dxa"/>
              <w:right w:w="140" w:type="dxa"/>
            </w:tcMar>
          </w:tcPr>
          <w:p>
            <w:pPr>
              <w:jc w:val="left"/>
            </w:pPr>
            <w:r>
              <w:rPr>
                <w:rFonts w:ascii="Calibri" w:hAnsi="Calibri"/>
                <w:color w:val="2D3517"/>
                <w:sz w:val="18"/>
              </w:rPr>
              <w:t>Cloud gateway fallback providing instantaneous failover if Tier 1 experiences tunnel latency or failure.</w:t>
            </w:r>
          </w:p>
        </w:tc>
      </w:tr>
      <w:tr>
        <w:tc>
          <w:tcPr>
            <w:tcW w:type="dxa" w:w="2592"/>
            <w:shd w:fill="FCF9EF"/>
            <w:tcMar>
              <w:top w:w="90" w:type="dxa"/>
              <w:bottom w:w="90" w:type="dxa"/>
              <w:left w:w="140" w:type="dxa"/>
              <w:right w:w="140" w:type="dxa"/>
            </w:tcMar>
          </w:tcPr>
          <w:p>
            <w:pPr>
              <w:jc w:val="left"/>
            </w:pPr>
            <w:r>
              <w:rPr>
                <w:rFonts w:ascii="Calibri" w:hAnsi="Calibri"/>
                <w:color w:val="2D3517"/>
                <w:sz w:val="18"/>
              </w:rPr>
              <w:t>React 19 + Vite</w:t>
            </w:r>
          </w:p>
        </w:tc>
        <w:tc>
          <w:tcPr>
            <w:tcW w:type="dxa" w:w="2592"/>
            <w:shd w:fill="FCF9EF"/>
            <w:tcMar>
              <w:top w:w="90" w:type="dxa"/>
              <w:bottom w:w="90" w:type="dxa"/>
              <w:left w:w="140" w:type="dxa"/>
              <w:right w:w="140" w:type="dxa"/>
            </w:tcMar>
          </w:tcPr>
          <w:p>
            <w:pPr>
              <w:jc w:val="left"/>
            </w:pPr>
            <w:r>
              <w:rPr>
                <w:rFonts w:ascii="Calibri" w:hAnsi="Calibri"/>
                <w:color w:val="2D3517"/>
                <w:sz w:val="18"/>
              </w:rPr>
              <w:t>Frontend Framework</w:t>
            </w:r>
          </w:p>
        </w:tc>
        <w:tc>
          <w:tcPr>
            <w:tcW w:type="dxa" w:w="4176"/>
            <w:shd w:fill="FCF9EF"/>
            <w:tcMar>
              <w:top w:w="90" w:type="dxa"/>
              <w:bottom w:w="90" w:type="dxa"/>
              <w:left w:w="140" w:type="dxa"/>
              <w:right w:w="140" w:type="dxa"/>
            </w:tcMar>
          </w:tcPr>
          <w:p>
            <w:pPr>
              <w:jc w:val="left"/>
            </w:pPr>
            <w:r>
              <w:rPr>
                <w:rFonts w:ascii="Calibri" w:hAnsi="Calibri"/>
                <w:color w:val="2D3517"/>
                <w:sz w:val="18"/>
              </w:rPr>
              <w:t>Zero-auth public client; sub-second HMR development; ultra-compact production bundle (&lt;280 kB).</w:t>
            </w:r>
          </w:p>
        </w:tc>
      </w:tr>
      <w:tr>
        <w:tc>
          <w:tcPr>
            <w:tcW w:type="dxa" w:w="2592"/>
            <w:shd w:fill="FFFFFF"/>
            <w:tcMar>
              <w:top w:w="90" w:type="dxa"/>
              <w:bottom w:w="90" w:type="dxa"/>
              <w:left w:w="140" w:type="dxa"/>
              <w:right w:w="140" w:type="dxa"/>
            </w:tcMar>
          </w:tcPr>
          <w:p>
            <w:pPr>
              <w:jc w:val="left"/>
            </w:pPr>
            <w:r>
              <w:rPr>
                <w:rFonts w:ascii="Calibri" w:hAnsi="Calibri"/>
                <w:color w:val="2D3517"/>
                <w:sz w:val="18"/>
              </w:rPr>
              <w:t>Tailwind CSS v4</w:t>
            </w:r>
          </w:p>
        </w:tc>
        <w:tc>
          <w:tcPr>
            <w:tcW w:type="dxa" w:w="2592"/>
            <w:shd w:fill="FFFFFF"/>
            <w:tcMar>
              <w:top w:w="90" w:type="dxa"/>
              <w:bottom w:w="90" w:type="dxa"/>
              <w:left w:w="140" w:type="dxa"/>
              <w:right w:w="140" w:type="dxa"/>
            </w:tcMar>
          </w:tcPr>
          <w:p>
            <w:pPr>
              <w:jc w:val="left"/>
            </w:pPr>
            <w:r>
              <w:rPr>
                <w:rFonts w:ascii="Calibri" w:hAnsi="Calibri"/>
                <w:color w:val="2D3517"/>
                <w:sz w:val="18"/>
              </w:rPr>
              <w:t>Styling Engine</w:t>
            </w:r>
          </w:p>
        </w:tc>
        <w:tc>
          <w:tcPr>
            <w:tcW w:type="dxa" w:w="4176"/>
            <w:shd w:fill="FFFFFF"/>
            <w:tcMar>
              <w:top w:w="90" w:type="dxa"/>
              <w:bottom w:w="90" w:type="dxa"/>
              <w:left w:w="140" w:type="dxa"/>
              <w:right w:w="140" w:type="dxa"/>
            </w:tcMar>
          </w:tcPr>
          <w:p>
            <w:pPr>
              <w:jc w:val="left"/>
            </w:pPr>
            <w:r>
              <w:rPr>
                <w:rFonts w:ascii="Calibri" w:hAnsi="Calibri"/>
                <w:color w:val="2D3517"/>
                <w:sz w:val="18"/>
              </w:rPr>
              <w:t>Atomic CSS with centralized design tokens for Matcha Cream and Milky Honey; instant light/dark switching.</w:t>
            </w:r>
          </w:p>
        </w:tc>
      </w:tr>
    </w:tbl>
    <w:p>
      <w:r>
        <w:br w:type="page"/>
      </w:r>
    </w:p>
    <w:p>
      <w:pPr>
        <w:pStyle w:val="Heading1"/>
      </w:pPr>
      <w:r>
        <w:t>3. Complete Repository &amp; File-by-File Technical Guide</w:t>
      </w:r>
    </w:p>
    <w:p>
      <w:r>
        <w:t>This chapter provides an exhaustive index of all directories and files in the repository, documenting the exact operational functionality of every script, component, and configuration.</w:t>
      </w:r>
    </w:p>
    <w:p>
      <w:pPr>
        <w:pStyle w:val="Heading2"/>
      </w:pPr>
      <w:r>
        <w:t>3.1 Root Directory Files</w:t>
      </w:r>
    </w:p>
    <w:tbl>
      <w:tblPr>
        <w:tblW w:type="auto" w:w="0"/>
        <w:jc w:val="center"/>
        <w:tblLook w:firstColumn="1" w:firstRow="1" w:lastColumn="0" w:lastRow="0" w:noHBand="0" w:noVBand="1" w:val="04A0"/>
      </w:tblPr>
      <w:tblGrid>
        <w:gridCol w:w="3120"/>
        <w:gridCol w:w="3120"/>
        <w:gridCol w:w="3120"/>
      </w:tblGrid>
      <w:tr>
        <w:tc>
          <w:tcPr>
            <w:tcW w:type="dxa" w:w="2592"/>
            <w:shd w:fill="FAF6E9"/>
            <w:tcMar>
              <w:top w:w="120" w:type="dxa"/>
              <w:bottom w:w="120" w:type="dxa"/>
              <w:left w:w="140" w:type="dxa"/>
              <w:right w:w="140" w:type="dxa"/>
            </w:tcMar>
          </w:tcPr>
          <w:p>
            <w:pPr>
              <w:jc w:val="left"/>
            </w:pPr>
            <w:r>
              <w:rPr>
                <w:rFonts w:ascii="Calibri" w:hAnsi="Calibri"/>
                <w:b/>
                <w:color w:val="191F0E"/>
                <w:sz w:val="19"/>
              </w:rPr>
              <w:t>File Name</w:t>
            </w:r>
          </w:p>
        </w:tc>
        <w:tc>
          <w:tcPr>
            <w:tcW w:type="dxa" w:w="2016"/>
            <w:shd w:fill="FAF6E9"/>
            <w:tcMar>
              <w:top w:w="120" w:type="dxa"/>
              <w:bottom w:w="120" w:type="dxa"/>
              <w:left w:w="140" w:type="dxa"/>
              <w:right w:w="140" w:type="dxa"/>
            </w:tcMar>
          </w:tcPr>
          <w:p>
            <w:pPr>
              <w:jc w:val="left"/>
            </w:pPr>
            <w:r>
              <w:rPr>
                <w:rFonts w:ascii="Calibri" w:hAnsi="Calibri"/>
                <w:b/>
                <w:color w:val="191F0E"/>
                <w:sz w:val="19"/>
              </w:rPr>
              <w:t>File Category</w:t>
            </w:r>
          </w:p>
        </w:tc>
        <w:tc>
          <w:tcPr>
            <w:tcW w:type="dxa" w:w="4752"/>
            <w:shd w:fill="FAF6E9"/>
            <w:tcMar>
              <w:top w:w="120" w:type="dxa"/>
              <w:bottom w:w="120" w:type="dxa"/>
              <w:left w:w="140" w:type="dxa"/>
              <w:right w:w="140" w:type="dxa"/>
            </w:tcMar>
          </w:tcPr>
          <w:p>
            <w:pPr>
              <w:jc w:val="left"/>
            </w:pPr>
            <w:r>
              <w:rPr>
                <w:rFonts w:ascii="Calibri" w:hAnsi="Calibri"/>
                <w:b/>
                <w:color w:val="191F0E"/>
                <w:sz w:val="19"/>
              </w:rPr>
              <w:t>Technical Description &amp; Responsibility</w:t>
            </w:r>
          </w:p>
        </w:tc>
      </w:tr>
      <w:tr>
        <w:tc>
          <w:tcPr>
            <w:tcW w:type="dxa" w:w="2592"/>
            <w:shd w:fill="FFFFFF"/>
            <w:tcMar>
              <w:top w:w="90" w:type="dxa"/>
              <w:bottom w:w="90" w:type="dxa"/>
              <w:left w:w="140" w:type="dxa"/>
              <w:right w:w="140" w:type="dxa"/>
            </w:tcMar>
          </w:tcPr>
          <w:p>
            <w:pPr>
              <w:jc w:val="left"/>
            </w:pPr>
            <w:r>
              <w:rPr>
                <w:rFonts w:ascii="Calibri" w:hAnsi="Calibri"/>
                <w:color w:val="2D3517"/>
                <w:sz w:val="18"/>
              </w:rPr>
              <w:t>.env</w:t>
            </w:r>
          </w:p>
        </w:tc>
        <w:tc>
          <w:tcPr>
            <w:tcW w:type="dxa" w:w="2016"/>
            <w:shd w:fill="FFFFFF"/>
            <w:tcMar>
              <w:top w:w="90" w:type="dxa"/>
              <w:bottom w:w="90" w:type="dxa"/>
              <w:left w:w="140" w:type="dxa"/>
              <w:right w:w="140" w:type="dxa"/>
            </w:tcMar>
          </w:tcPr>
          <w:p>
            <w:pPr>
              <w:jc w:val="left"/>
            </w:pPr>
            <w:r>
              <w:rPr>
                <w:rFonts w:ascii="Calibri" w:hAnsi="Calibri"/>
                <w:color w:val="2D3517"/>
                <w:sz w:val="18"/>
              </w:rPr>
              <w:t>Config</w:t>
            </w:r>
          </w:p>
        </w:tc>
        <w:tc>
          <w:tcPr>
            <w:tcW w:type="dxa" w:w="4752"/>
            <w:shd w:fill="FFFFFF"/>
            <w:tcMar>
              <w:top w:w="90" w:type="dxa"/>
              <w:bottom w:w="90" w:type="dxa"/>
              <w:left w:w="140" w:type="dxa"/>
              <w:right w:w="140" w:type="dxa"/>
            </w:tcMar>
          </w:tcPr>
          <w:p>
            <w:pPr>
              <w:jc w:val="left"/>
            </w:pPr>
            <w:r>
              <w:rPr>
                <w:rFonts w:ascii="Calibri" w:hAnsi="Calibri"/>
                <w:color w:val="2D3517"/>
                <w:sz w:val="18"/>
              </w:rPr>
              <w:t>Canonical active environment variables. Loaded with override=True by backend config. Holds Atlas URI and LLM credentials.</w:t>
            </w:r>
          </w:p>
        </w:tc>
      </w:tr>
      <w:tr>
        <w:tc>
          <w:tcPr>
            <w:tcW w:type="dxa" w:w="2592"/>
            <w:shd w:fill="FCF9EF"/>
            <w:tcMar>
              <w:top w:w="90" w:type="dxa"/>
              <w:bottom w:w="90" w:type="dxa"/>
              <w:left w:w="140" w:type="dxa"/>
              <w:right w:w="140" w:type="dxa"/>
            </w:tcMar>
          </w:tcPr>
          <w:p>
            <w:pPr>
              <w:jc w:val="left"/>
            </w:pPr>
            <w:r>
              <w:rPr>
                <w:rFonts w:ascii="Calibri" w:hAnsi="Calibri"/>
                <w:color w:val="2D3517"/>
                <w:sz w:val="18"/>
              </w:rPr>
              <w:t>.env.example</w:t>
            </w:r>
          </w:p>
        </w:tc>
        <w:tc>
          <w:tcPr>
            <w:tcW w:type="dxa" w:w="2016"/>
            <w:shd w:fill="FCF9EF"/>
            <w:tcMar>
              <w:top w:w="90" w:type="dxa"/>
              <w:bottom w:w="90" w:type="dxa"/>
              <w:left w:w="140" w:type="dxa"/>
              <w:right w:w="140" w:type="dxa"/>
            </w:tcMar>
          </w:tcPr>
          <w:p>
            <w:pPr>
              <w:jc w:val="left"/>
            </w:pPr>
            <w:r>
              <w:rPr>
                <w:rFonts w:ascii="Calibri" w:hAnsi="Calibri"/>
                <w:color w:val="2D3517"/>
                <w:sz w:val="18"/>
              </w:rPr>
              <w:t>Template</w:t>
            </w:r>
          </w:p>
        </w:tc>
        <w:tc>
          <w:tcPr>
            <w:tcW w:type="dxa" w:w="4752"/>
            <w:shd w:fill="FCF9EF"/>
            <w:tcMar>
              <w:top w:w="90" w:type="dxa"/>
              <w:bottom w:w="90" w:type="dxa"/>
              <w:left w:w="140" w:type="dxa"/>
              <w:right w:w="140" w:type="dxa"/>
            </w:tcMar>
          </w:tcPr>
          <w:p>
            <w:pPr>
              <w:jc w:val="left"/>
            </w:pPr>
            <w:r>
              <w:rPr>
                <w:rFonts w:ascii="Calibri" w:hAnsi="Calibri"/>
                <w:color w:val="2D3517"/>
                <w:sz w:val="18"/>
              </w:rPr>
              <w:t>Reference template showing all required environment variables, sensible clustering weights, and timeout parameters.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.gitignore</w:t>
            </w:r>
          </w:p>
        </w:tc>
        <w:tc>
          <w:tcPr>
            <w:tcW w:type="dxa" w:w="2016"/>
            <w:shd w:fill="FFFFFF"/>
            <w:tcMar>
              <w:top w:w="90" w:type="dxa"/>
              <w:bottom w:w="90" w:type="dxa"/>
              <w:left w:w="140" w:type="dxa"/>
              <w:right w:w="140" w:type="dxa"/>
            </w:tcMar>
          </w:tcPr>
          <w:p>
            <w:pPr>
              <w:jc w:val="left"/>
            </w:pPr>
            <w:r>
              <w:rPr>
                <w:rFonts w:ascii="Calibri" w:hAnsi="Calibri"/>
                <w:color w:val="2D3517"/>
                <w:sz w:val="18"/>
              </w:rPr>
              <w:t>Git Config</w:t>
            </w:r>
          </w:p>
        </w:tc>
        <w:tc>
          <w:tcPr>
            <w:tcW w:type="dxa" w:w="4752"/>
            <w:shd w:fill="FFFFFF"/>
            <w:tcMar>
              <w:top w:w="90" w:type="dxa"/>
              <w:bottom w:w="90" w:type="dxa"/>
              <w:left w:w="140" w:type="dxa"/>
              <w:right w:w="140" w:type="dxa"/>
            </w:tcMar>
          </w:tcPr>
          <w:p>
            <w:pPr>
              <w:jc w:val="left"/>
            </w:pPr>
            <w:r>
              <w:rPr>
                <w:rFonts w:ascii="Calibri" w:hAnsi="Calibri"/>
                <w:color w:val="2D3517"/>
                <w:sz w:val="18"/>
              </w:rPr>
              <w:t>Excludes virtual environments (.venv/), node_modules, credentials (.env), build dist, and vector caches from git.</w:t>
            </w:r>
          </w:p>
        </w:tc>
      </w:tr>
      <w:tr>
        <w:tc>
          <w:tcPr>
            <w:tcW w:type="dxa" w:w="2592"/>
            <w:shd w:fill="FCF9EF"/>
            <w:tcMar>
              <w:top w:w="90" w:type="dxa"/>
              <w:bottom w:w="90" w:type="dxa"/>
              <w:left w:w="140" w:type="dxa"/>
              <w:right w:w="140" w:type="dxa"/>
            </w:tcMar>
          </w:tcPr>
          <w:p>
            <w:pPr>
              <w:jc w:val="left"/>
            </w:pPr>
            <w:r>
              <w:rPr>
                <w:rFonts w:ascii="Calibri" w:hAnsi="Calibri"/>
                <w:color w:val="2D3517"/>
                <w:sz w:val="18"/>
              </w:rPr>
              <w:t>AGENTS.md</w:t>
            </w:r>
          </w:p>
        </w:tc>
        <w:tc>
          <w:tcPr>
            <w:tcW w:type="dxa" w:w="2016"/>
            <w:shd w:fill="FCF9EF"/>
            <w:tcMar>
              <w:top w:w="90" w:type="dxa"/>
              <w:bottom w:w="90" w:type="dxa"/>
              <w:left w:w="140" w:type="dxa"/>
              <w:right w:w="140" w:type="dxa"/>
            </w:tcMar>
          </w:tcPr>
          <w:p>
            <w:pPr>
              <w:jc w:val="left"/>
            </w:pPr>
            <w:r>
              <w:rPr>
                <w:rFonts w:ascii="Calibri" w:hAnsi="Calibri"/>
                <w:color w:val="2D3517"/>
                <w:sz w:val="18"/>
              </w:rPr>
              <w:t>Specification</w:t>
            </w:r>
          </w:p>
        </w:tc>
        <w:tc>
          <w:tcPr>
            <w:tcW w:type="dxa" w:w="4752"/>
            <w:shd w:fill="FCF9EF"/>
            <w:tcMar>
              <w:top w:w="90" w:type="dxa"/>
              <w:bottom w:w="90" w:type="dxa"/>
              <w:left w:w="140" w:type="dxa"/>
              <w:right w:w="140" w:type="dxa"/>
            </w:tcMar>
          </w:tcPr>
          <w:p>
            <w:pPr>
              <w:jc w:val="left"/>
            </w:pPr>
            <w:r>
              <w:rPr>
                <w:rFonts w:ascii="Calibri" w:hAnsi="Calibri"/>
                <w:color w:val="2D3517"/>
                <w:sz w:val="18"/>
              </w:rPr>
              <w:t>Authoritative project rules for AI coding agents. Enforces zero-auth, cloud Atlas, and hybrid clustering rules.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COMPLETE_PROJECT_DOCUMENTATION.md</w:t>
            </w:r>
          </w:p>
        </w:tc>
        <w:tc>
          <w:tcPr>
            <w:tcW w:type="dxa" w:w="2016"/>
            <w:shd w:fill="FFFFFF"/>
            <w:tcMar>
              <w:top w:w="90" w:type="dxa"/>
              <w:bottom w:w="90" w:type="dxa"/>
              <w:left w:w="140" w:type="dxa"/>
              <w:right w:w="140" w:type="dxa"/>
            </w:tcMar>
          </w:tcPr>
          <w:p>
            <w:pPr>
              <w:jc w:val="left"/>
            </w:pPr>
            <w:r>
              <w:rPr>
                <w:rFonts w:ascii="Calibri" w:hAnsi="Calibri"/>
                <w:color w:val="2D3517"/>
                <w:sz w:val="18"/>
              </w:rPr>
              <w:t>Documentation</w:t>
            </w:r>
          </w:p>
        </w:tc>
        <w:tc>
          <w:tcPr>
            <w:tcW w:type="dxa" w:w="4752"/>
            <w:shd w:fill="FFFFFF"/>
            <w:tcMar>
              <w:top w:w="90" w:type="dxa"/>
              <w:bottom w:w="90" w:type="dxa"/>
              <w:left w:w="140" w:type="dxa"/>
              <w:right w:w="140" w:type="dxa"/>
            </w:tcMar>
          </w:tcPr>
          <w:p>
            <w:pPr>
              <w:jc w:val="left"/>
            </w:pPr>
            <w:r>
              <w:rPr>
                <w:rFonts w:ascii="Calibri" w:hAnsi="Calibri"/>
                <w:color w:val="2D3517"/>
                <w:sz w:val="18"/>
              </w:rPr>
              <w:t>Comprehensive 660+ line technical master specification of the entire system architecture.</w:t>
            </w:r>
          </w:p>
        </w:tc>
      </w:tr>
      <w:tr>
        <w:tc>
          <w:tcPr>
            <w:tcW w:type="dxa" w:w="2592"/>
            <w:shd w:fill="FCF9EF"/>
            <w:tcMar>
              <w:top w:w="90" w:type="dxa"/>
              <w:bottom w:w="90" w:type="dxa"/>
              <w:left w:w="140" w:type="dxa"/>
              <w:right w:w="140" w:type="dxa"/>
            </w:tcMar>
          </w:tcPr>
          <w:p>
            <w:pPr>
              <w:jc w:val="left"/>
            </w:pPr>
            <w:r>
              <w:rPr>
                <w:rFonts w:ascii="Calibri" w:hAnsi="Calibri"/>
                <w:color w:val="2D3517"/>
                <w:sz w:val="18"/>
              </w:rPr>
              <w:t>README.md</w:t>
            </w:r>
          </w:p>
        </w:tc>
        <w:tc>
          <w:tcPr>
            <w:tcW w:type="dxa" w:w="2016"/>
            <w:shd w:fill="FCF9EF"/>
            <w:tcMar>
              <w:top w:w="90" w:type="dxa"/>
              <w:bottom w:w="90" w:type="dxa"/>
              <w:left w:w="140" w:type="dxa"/>
              <w:right w:w="140" w:type="dxa"/>
            </w:tcMar>
          </w:tcPr>
          <w:p>
            <w:pPr>
              <w:jc w:val="left"/>
            </w:pPr>
            <w:r>
              <w:rPr>
                <w:rFonts w:ascii="Calibri" w:hAnsi="Calibri"/>
                <w:color w:val="2D3517"/>
                <w:sz w:val="18"/>
              </w:rPr>
              <w:t>User Guide</w:t>
            </w:r>
          </w:p>
        </w:tc>
        <w:tc>
          <w:tcPr>
            <w:tcW w:type="dxa" w:w="4752"/>
            <w:shd w:fill="FCF9EF"/>
            <w:tcMar>
              <w:top w:w="90" w:type="dxa"/>
              <w:bottom w:w="90" w:type="dxa"/>
              <w:left w:w="140" w:type="dxa"/>
              <w:right w:w="140" w:type="dxa"/>
            </w:tcMar>
          </w:tcPr>
          <w:p>
            <w:pPr>
              <w:jc w:val="left"/>
            </w:pPr>
            <w:r>
              <w:rPr>
                <w:rFonts w:ascii="Calibri" w:hAnsi="Calibri"/>
                <w:color w:val="2D3517"/>
                <w:sz w:val="18"/>
              </w:rPr>
              <w:t>Quick-start guide outlining installation, starting the backend and frontend dev servers, and API descriptions.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pytest.ini</w:t>
            </w:r>
          </w:p>
        </w:tc>
        <w:tc>
          <w:tcPr>
            <w:tcW w:type="dxa" w:w="2016"/>
            <w:shd w:fill="FFFFFF"/>
            <w:tcMar>
              <w:top w:w="90" w:type="dxa"/>
              <w:bottom w:w="90" w:type="dxa"/>
              <w:left w:w="140" w:type="dxa"/>
              <w:right w:w="140" w:type="dxa"/>
            </w:tcMar>
          </w:tcPr>
          <w:p>
            <w:pPr>
              <w:jc w:val="left"/>
            </w:pPr>
            <w:r>
              <w:rPr>
                <w:rFonts w:ascii="Calibri" w:hAnsi="Calibri"/>
                <w:color w:val="2D3517"/>
                <w:sz w:val="18"/>
              </w:rPr>
              <w:t>Testing Config</w:t>
            </w:r>
          </w:p>
        </w:tc>
        <w:tc>
          <w:tcPr>
            <w:tcW w:type="dxa" w:w="4752"/>
            <w:shd w:fill="FFFFFF"/>
            <w:tcMar>
              <w:top w:w="90" w:type="dxa"/>
              <w:bottom w:w="90" w:type="dxa"/>
              <w:left w:w="140" w:type="dxa"/>
              <w:right w:w="140" w:type="dxa"/>
            </w:tcMar>
          </w:tcPr>
          <w:p>
            <w:pPr>
              <w:jc w:val="left"/>
            </w:pPr>
            <w:r>
              <w:rPr>
                <w:rFonts w:ascii="Calibri" w:hAnsi="Calibri"/>
                <w:color w:val="2D3517"/>
                <w:sz w:val="18"/>
              </w:rPr>
              <w:t>Pytest configuration specifying asyncio strict mode, test discovery patterns, and test execution flags.</w:t>
            </w:r>
          </w:p>
        </w:tc>
      </w:tr>
    </w:tbl>
    <w:p>
      <w:pPr>
        <w:pStyle w:val="Heading2"/>
      </w:pPr>
      <w:r>
        <w:t>3.2 Backend Codebase (backend/app/)</w:t>
      </w:r>
    </w:p>
    <w:p>
      <w:r>
        <w:t>Core Application &amp; Configuration:</w:t>
      </w:r>
    </w:p>
    <w:p>
      <w:r>
        <w:t>• backend/app/main.py:</w:t>
        <w:br/>
        <w:t xml:space="preserve">  FastAPI application entry point. Configures permissive CORS for frontend interaction, initializes async database lifecycle events   (on_startup and on_shutdown), and mounts all modular API routers (/api/pipeline, /api/events, /api/sources, /api/assistant, /api/search).</w:t>
        <w:br/>
        <w:br/>
        <w:t>• backend/app/config.py:</w:t>
        <w:br/>
        <w:t xml:space="preserve">  Configuration manager. Utilizes dotenv to load root_env (c:\Users\Charan\codex_major\.env) with priority.   Exports the immutable Settings dataclass holding MongoDB Atlas URIs, ChromaDB paths, Qwen and OpenRouter gateway settings,   and mathematical hybrid clustering weights.</w:t>
      </w:r>
    </w:p>
    <w:p>
      <w:r>
        <w:t>Database &amp; Vector Adapters:</w:t>
      </w:r>
    </w:p>
    <w:p>
      <w:r>
        <w:t>• backend/app/db/mongo.py:</w:t>
        <w:br/>
        <w:t xml:space="preserve">  Asynchronous Motor client lifecycle wrapper. Provides get_database() and manages connection pooling to MongoDB Atlas.</w:t>
        <w:br/>
        <w:br/>
        <w:t>• backend/app/db/chroma.py:</w:t>
        <w:br/>
        <w:t xml:space="preserve">  ChromaDB client adapter. Manages persistent vector collections (osint_articles and osint_events), indexing 384-dimensional vectors.</w:t>
      </w:r>
    </w:p>
    <w:p>
      <w:r>
        <w:t>Domain Models &amp; Schemas:</w:t>
      </w:r>
    </w:p>
    <w:p>
      <w:r>
        <w:t>• backend/app/models/domain.py:</w:t>
        <w:br/>
        <w:t xml:space="preserve">  Internal Python domain models representing Article, Event, Source, and PipelineLog data structures.</w:t>
        <w:br/>
        <w:br/>
        <w:t>• backend/app/models/schemas.py:</w:t>
        <w:br/>
        <w:t xml:space="preserve">  Pydantic v2 schemas validating request/response JSON payloads for events, articles, pipeline triggers, source creation, and chat queries.</w:t>
      </w:r>
    </w:p>
    <w:p>
      <w:r>
        <w:t>Data Repositories (backend/app/repositories/):</w:t>
      </w:r>
    </w:p>
    <w:p>
      <w:r>
        <w:t>• article_repository.py: Handles CRUD operations for ingested articles. Performs batch insertions, URL hash queries, and collection wipes.</w:t>
        <w:br/>
        <w:t>• event_repository.py: Handles MongoDB operations for clustered events. Supports faceted filtering by theater, category, and date.</w:t>
        <w:br/>
        <w:t>• source_repository.py: Manages active defense news wire feeds. Enables feed registration, trust rating updates, and deactivation.</w:t>
        <w:br/>
        <w:t>• log_repository.py: Appends structured pipeline execution telemetry and conversational RAG inquiry logs.</w:t>
      </w:r>
    </w:p>
    <w:p>
      <w:r>
        <w:t>Business Logic Services (backend/app/services/):</w:t>
      </w:r>
    </w:p>
    <w:p>
      <w:r>
        <w:t>• ingestion_service.py: Asynchronously polls RSS and REST APIs. Resolves canonical URLs and computes SHA-256 deduplication hashes.</w:t>
        <w:br/>
        <w:t>• cleaning_service.py: Strips HTML tags, advertisements, and editorial boilerplates. Formats dates into UTC ISO-8601 strings.</w:t>
        <w:br/>
        <w:t>• topic_filter_service.py: Matches content against an extensive military defense taxonomy, rejecting off-topic news.</w:t>
        <w:br/>
        <w:t>• ner_embedding_service.py: Runs batched spaCy NER for military entities and generates 384-dimensional dense vectors.</w:t>
        <w:br/>
        <w:t>• clustering_service.py: Computes composite 5-signal similarity scores and groups articles into Events exceeding the 0.62 threshold.</w:t>
        <w:br/>
        <w:t>• summarization_service.py: Aggregates member articles and drives the 3-tier cascade to generate 4-5 line collective briefings.</w:t>
        <w:br/>
        <w:t>• rag_service.py: Performs cosine vector interrogation and generates grounded answers citing specific report IDs.</w:t>
        <w:br/>
        <w:t>• pipeline_service.py: Orchestrates the sequential 7-phase run cycle with single-execution concurrency locks.</w:t>
      </w:r>
    </w:p>
    <w:p>
      <w:r>
        <w:t>Routers &amp; API Endpoints (backend/app/routers/):</w:t>
      </w:r>
    </w:p>
    <w:p>
      <w:r>
        <w:t>• pipeline_router.py: Handles POST /api/pipeline/run, POST /api/pipeline/clean-db, GET /api/pipeline/status, and GET /api/pipeline/logs.</w:t>
        <w:br/>
        <w:t>• events_router.py: Handles GET /api/events (paginated feed with filters) and GET /api/events/{id} (complete dossier).</w:t>
        <w:br/>
        <w:t>• sources_router.py: Handles GET /api/sources, POST /api/sources (add feed), and PATCH /api/sources/{id}/disable.</w:t>
        <w:br/>
        <w:t>• assistant_router.py: Handles POST /api/assistant/chat (RAG query) and GET /api/assistant/sessions/{id}.</w:t>
        <w:br/>
        <w:t>• search_router.py: Handles GET /api/search supporting Semantic Vector Search and Keyword Text Search modes.</w:t>
      </w:r>
    </w:p>
    <w:p>
      <w:pPr>
        <w:pStyle w:val="Heading2"/>
      </w:pPr>
      <w:r>
        <w:t>3.3 Frontend Codebase (frontend/src/)</w:t>
      </w:r>
    </w:p>
    <w:p>
      <w:r>
        <w:t>• src/App.jsx: Root router listening to browser popstate events and rendering the appropriate page component.</w:t>
        <w:br/>
        <w:t>• src/index.css: Declares Tailwind v4 @custom-variant dark, Matcha Cream (#9CA764) and Milky Honey (#F1E8C7) design tokens.</w:t>
        <w:br/>
        <w:t>• src/api/client.js: Centralized async HTTP client communicating with backend endpoints.</w:t>
        <w:br/>
        <w:t>• src/components/Navbar.jsx: Top navigation header with brand pill, search input, theme toggle, and pipeline indicator.</w:t>
        <w:br/>
        <w:t>• src/components/ui/: Reusable UI components including Badge.jsx, Button.jsx, Card.jsx, Icons.jsx, Modal.jsx, and Table.jsx.</w:t>
        <w:br/>
        <w:t>• src/pages/OverviewPage.jsx: High-level dashboard displaying active event metrics, regional theaters, and recent reports.</w:t>
        <w:br/>
        <w:t>• src/pages/EventFeedPage.jsx: Paginated event feed with comprehensive sidebar filters (theater, category, confidence rating).</w:t>
        <w:br/>
        <w:t>• src/pages/EventDetailPage.jsx: Full intelligence dossier displaying executive summary, conflict matrix, timeline, and member articles.</w:t>
        <w:br/>
        <w:t>• src/pages/SourcesPage.jsx: Registry table for active defense news wires with add-source modal.</w:t>
        <w:br/>
        <w:t>• src/pages/AssistantPage.jsx: RAG research workbench with message history, suggested prompts, and citation links.</w:t>
        <w:br/>
        <w:t>• src/pages/PipelinePage.jsx: Telemetry console displaying 7-phase progress cards, clean-db modal, and historical execution logs.</w:t>
        <w:br/>
        <w:t>• src/pages/SearchPage.jsx: Dedicated query portal with toggle between Semantic Vector Search and Keyword Search.</w:t>
        <w:br/>
        <w:t>• src/pages/EntitiesPage.jsx: Extracted actor directory ranking organizations, locations, and persons across events.</w:t>
        <w:br/>
        <w:t>• src/pages/AnalysisPage.jsx: Cross-source discrepancy matrix highlighting diverging casualty numbers or contested claims.</w:t>
      </w:r>
    </w:p>
    <w:p>
      <w:r>
        <w:br w:type="page"/>
      </w:r>
    </w:p>
    <w:p>
      <w:pPr>
        <w:pStyle w:val="Heading1"/>
      </w:pPr>
      <w:r>
        <w:t>4. The 7-Phase Ingestion &amp; Intelligence Pipeline</w:t>
      </w:r>
    </w:p>
    <w:p>
      <w:r>
        <w:t>The pipeline runs deterministically via POST /api/pipeline/run. If a run is already active, the endpoint returns HTTP 409 Conflict. Each phase emits a JSON telemetry record tracking duration, item counts, and any non-fatal errors.</w:t>
      </w:r>
    </w:p>
    <w:tbl>
      <w:tblPr>
        <w:tblW w:type="auto" w:w="0"/>
        <w:jc w:val="center"/>
        <w:tblLook w:firstColumn="1" w:firstRow="1" w:lastColumn="0" w:lastRow="0" w:noHBand="0" w:noVBand="1" w:val="04A0"/>
      </w:tblPr>
      <w:tblGrid>
        <w:gridCol w:w="2340"/>
        <w:gridCol w:w="2340"/>
        <w:gridCol w:w="2340"/>
        <w:gridCol w:w="2340"/>
      </w:tblGrid>
      <w:tr>
        <w:tc>
          <w:tcPr>
            <w:tcW w:type="dxa" w:w="1152"/>
            <w:shd w:fill="FAF6E9"/>
            <w:tcMar>
              <w:top w:w="120" w:type="dxa"/>
              <w:bottom w:w="120" w:type="dxa"/>
              <w:left w:w="140" w:type="dxa"/>
              <w:right w:w="140" w:type="dxa"/>
            </w:tcMar>
          </w:tcPr>
          <w:p>
            <w:pPr>
              <w:jc w:val="left"/>
            </w:pPr>
            <w:r>
              <w:rPr>
                <w:rFonts w:ascii="Calibri" w:hAnsi="Calibri"/>
                <w:b/>
                <w:color w:val="191F0E"/>
                <w:sz w:val="19"/>
              </w:rPr>
              <w:t>Phase</w:t>
            </w:r>
          </w:p>
        </w:tc>
        <w:tc>
          <w:tcPr>
            <w:tcW w:type="dxa" w:w="2592"/>
            <w:shd w:fill="FAF6E9"/>
            <w:tcMar>
              <w:top w:w="120" w:type="dxa"/>
              <w:bottom w:w="120" w:type="dxa"/>
              <w:left w:w="140" w:type="dxa"/>
              <w:right w:w="140" w:type="dxa"/>
            </w:tcMar>
          </w:tcPr>
          <w:p>
            <w:pPr>
              <w:jc w:val="left"/>
            </w:pPr>
            <w:r>
              <w:rPr>
                <w:rFonts w:ascii="Calibri" w:hAnsi="Calibri"/>
                <w:b/>
                <w:color w:val="191F0E"/>
                <w:sz w:val="19"/>
              </w:rPr>
              <w:t>Phase Name</w:t>
            </w:r>
          </w:p>
        </w:tc>
        <w:tc>
          <w:tcPr>
            <w:tcW w:type="dxa" w:w="2592"/>
            <w:shd w:fill="FAF6E9"/>
            <w:tcMar>
              <w:top w:w="120" w:type="dxa"/>
              <w:bottom w:w="120" w:type="dxa"/>
              <w:left w:w="140" w:type="dxa"/>
              <w:right w:w="140" w:type="dxa"/>
            </w:tcMar>
          </w:tcPr>
          <w:p>
            <w:pPr>
              <w:jc w:val="left"/>
            </w:pPr>
            <w:r>
              <w:rPr>
                <w:rFonts w:ascii="Calibri" w:hAnsi="Calibri"/>
                <w:b/>
                <w:color w:val="191F0E"/>
                <w:sz w:val="19"/>
              </w:rPr>
              <w:t>Primary Operation</w:t>
            </w:r>
          </w:p>
        </w:tc>
        <w:tc>
          <w:tcPr>
            <w:tcW w:type="dxa" w:w="3024"/>
            <w:shd w:fill="FAF6E9"/>
            <w:tcMar>
              <w:top w:w="120" w:type="dxa"/>
              <w:bottom w:w="120" w:type="dxa"/>
              <w:left w:w="140" w:type="dxa"/>
              <w:right w:w="140" w:type="dxa"/>
            </w:tcMar>
          </w:tcPr>
          <w:p>
            <w:pPr>
              <w:jc w:val="left"/>
            </w:pPr>
            <w:r>
              <w:rPr>
                <w:rFonts w:ascii="Calibri" w:hAnsi="Calibri"/>
                <w:b/>
                <w:color w:val="191F0E"/>
                <w:sz w:val="19"/>
              </w:rPr>
              <w:t>Output Artifact &amp; DB State</w:t>
            </w:r>
          </w:p>
        </w:tc>
      </w:tr>
      <w:tr>
        <w:tc>
          <w:tcPr>
            <w:tcW w:type="dxa" w:w="1152"/>
            <w:shd w:fill="FFFFFF"/>
            <w:tcMar>
              <w:top w:w="90" w:type="dxa"/>
              <w:bottom w:w="90" w:type="dxa"/>
              <w:left w:w="140" w:type="dxa"/>
              <w:right w:w="140" w:type="dxa"/>
            </w:tcMar>
          </w:tcPr>
          <w:p>
            <w:pPr>
              <w:jc w:val="left"/>
            </w:pPr>
            <w:r>
              <w:rPr>
                <w:rFonts w:ascii="Calibri" w:hAnsi="Calibri"/>
                <w:color w:val="2D3517"/>
                <w:sz w:val="18"/>
              </w:rPr>
              <w:t>1</w:t>
            </w:r>
          </w:p>
        </w:tc>
        <w:tc>
          <w:tcPr>
            <w:tcW w:type="dxa" w:w="2592"/>
            <w:shd w:fill="FFFFFF"/>
            <w:tcMar>
              <w:top w:w="90" w:type="dxa"/>
              <w:bottom w:w="90" w:type="dxa"/>
              <w:left w:w="140" w:type="dxa"/>
              <w:right w:w="140" w:type="dxa"/>
            </w:tcMar>
          </w:tcPr>
          <w:p>
            <w:pPr>
              <w:jc w:val="left"/>
            </w:pPr>
            <w:r>
              <w:rPr>
                <w:rFonts w:ascii="Calibri" w:hAnsi="Calibri"/>
                <w:color w:val="2D3517"/>
                <w:sz w:val="18"/>
              </w:rPr>
              <w:t>Database Wipe</w:t>
            </w:r>
          </w:p>
        </w:tc>
        <w:tc>
          <w:tcPr>
            <w:tcW w:type="dxa" w:w="2592"/>
            <w:shd w:fill="FFFFFF"/>
            <w:tcMar>
              <w:top w:w="90" w:type="dxa"/>
              <w:bottom w:w="90" w:type="dxa"/>
              <w:left w:w="140" w:type="dxa"/>
              <w:right w:w="140" w:type="dxa"/>
            </w:tcMar>
          </w:tcPr>
          <w:p>
            <w:pPr>
              <w:jc w:val="left"/>
            </w:pPr>
            <w:r>
              <w:rPr>
                <w:rFonts w:ascii="Calibri" w:hAnsi="Calibri"/>
                <w:color w:val="2D3517"/>
                <w:sz w:val="18"/>
              </w:rPr>
              <w:t>Purge volatile collections in MongoDB Atlas &amp; ChromaDB.</w:t>
            </w:r>
          </w:p>
        </w:tc>
        <w:tc>
          <w:tcPr>
            <w:tcW w:type="dxa" w:w="3024"/>
            <w:shd w:fill="FFFFFF"/>
            <w:tcMar>
              <w:top w:w="90" w:type="dxa"/>
              <w:bottom w:w="90" w:type="dxa"/>
              <w:left w:w="140" w:type="dxa"/>
              <w:right w:w="140" w:type="dxa"/>
            </w:tcMar>
          </w:tcPr>
          <w:p>
            <w:pPr>
              <w:jc w:val="left"/>
            </w:pPr>
            <w:r>
              <w:rPr>
                <w:rFonts w:ascii="Calibri" w:hAnsi="Calibri"/>
                <w:color w:val="2D3517"/>
                <w:sz w:val="18"/>
              </w:rPr>
              <w:t>Articles, events, logs wiped. Sources preserved.</w:t>
            </w:r>
          </w:p>
        </w:tc>
      </w:tr>
      <w:tr>
        <w:tc>
          <w:tcPr>
            <w:tcW w:type="dxa" w:w="1152"/>
            <w:shd w:fill="FCF9EF"/>
            <w:tcMar>
              <w:top w:w="90" w:type="dxa"/>
              <w:bottom w:w="90" w:type="dxa"/>
              <w:left w:w="140" w:type="dxa"/>
              <w:right w:w="140" w:type="dxa"/>
            </w:tcMar>
          </w:tcPr>
          <w:p>
            <w:pPr>
              <w:jc w:val="left"/>
            </w:pPr>
            <w:r>
              <w:rPr>
                <w:rFonts w:ascii="Calibri" w:hAnsi="Calibri"/>
                <w:color w:val="2D3517"/>
                <w:sz w:val="18"/>
              </w:rPr>
              <w:t>2</w:t>
            </w:r>
          </w:p>
        </w:tc>
        <w:tc>
          <w:tcPr>
            <w:tcW w:type="dxa" w:w="2592"/>
            <w:shd w:fill="FCF9EF"/>
            <w:tcMar>
              <w:top w:w="90" w:type="dxa"/>
              <w:bottom w:w="90" w:type="dxa"/>
              <w:left w:w="140" w:type="dxa"/>
              <w:right w:w="140" w:type="dxa"/>
            </w:tcMar>
          </w:tcPr>
          <w:p>
            <w:pPr>
              <w:jc w:val="left"/>
            </w:pPr>
            <w:r>
              <w:rPr>
                <w:rFonts w:ascii="Calibri" w:hAnsi="Calibri"/>
                <w:color w:val="2D3517"/>
                <w:sz w:val="18"/>
              </w:rPr>
              <w:t>News Ingestion</w:t>
            </w:r>
          </w:p>
        </w:tc>
        <w:tc>
          <w:tcPr>
            <w:tcW w:type="dxa" w:w="2592"/>
            <w:shd w:fill="FCF9EF"/>
            <w:tcMar>
              <w:top w:w="90" w:type="dxa"/>
              <w:bottom w:w="90" w:type="dxa"/>
              <w:left w:w="140" w:type="dxa"/>
              <w:right w:w="140" w:type="dxa"/>
            </w:tcMar>
          </w:tcPr>
          <w:p>
            <w:pPr>
              <w:jc w:val="left"/>
            </w:pPr>
            <w:r>
              <w:rPr>
                <w:rFonts w:ascii="Calibri" w:hAnsi="Calibri"/>
                <w:color w:val="2D3517"/>
                <w:sz w:val="18"/>
              </w:rPr>
              <w:t>Fetch active RSS &amp; REST feeds; SHA-256 URL hashing.</w:t>
            </w:r>
          </w:p>
        </w:tc>
        <w:tc>
          <w:tcPr>
            <w:tcW w:type="dxa" w:w="3024"/>
            <w:shd w:fill="FCF9EF"/>
            <w:tcMar>
              <w:top w:w="90" w:type="dxa"/>
              <w:bottom w:w="90" w:type="dxa"/>
              <w:left w:w="140" w:type="dxa"/>
              <w:right w:w="140" w:type="dxa"/>
            </w:tcMar>
          </w:tcPr>
          <w:p>
            <w:pPr>
              <w:jc w:val="left"/>
            </w:pPr>
            <w:r>
              <w:rPr>
                <w:rFonts w:ascii="Calibri" w:hAnsi="Calibri"/>
                <w:color w:val="2D3517"/>
                <w:sz w:val="18"/>
              </w:rPr>
              <w:t>Raw articles fetched; duplicates skipped.</w:t>
            </w:r>
          </w:p>
        </w:tc>
      </w:tr>
      <w:tr>
        <w:tc>
          <w:tcPr>
            <w:tcW w:type="dxa" w:w="1152"/>
            <w:shd w:fill="FFFFFF"/>
            <w:tcMar>
              <w:top w:w="90" w:type="dxa"/>
              <w:bottom w:w="90" w:type="dxa"/>
              <w:left w:w="140" w:type="dxa"/>
              <w:right w:w="140" w:type="dxa"/>
            </w:tcMar>
          </w:tcPr>
          <w:p>
            <w:pPr>
              <w:jc w:val="left"/>
            </w:pPr>
            <w:r>
              <w:rPr>
                <w:rFonts w:ascii="Calibri" w:hAnsi="Calibri"/>
                <w:color w:val="2D3517"/>
                <w:sz w:val="18"/>
              </w:rPr>
              <w:t>3</w:t>
            </w:r>
          </w:p>
        </w:tc>
        <w:tc>
          <w:tcPr>
            <w:tcW w:type="dxa" w:w="2592"/>
            <w:shd w:fill="FFFFFF"/>
            <w:tcMar>
              <w:top w:w="90" w:type="dxa"/>
              <w:bottom w:w="90" w:type="dxa"/>
              <w:left w:w="140" w:type="dxa"/>
              <w:right w:w="140" w:type="dxa"/>
            </w:tcMar>
          </w:tcPr>
          <w:p>
            <w:pPr>
              <w:jc w:val="left"/>
            </w:pPr>
            <w:r>
              <w:rPr>
                <w:rFonts w:ascii="Calibri" w:hAnsi="Calibri"/>
                <w:color w:val="2D3517"/>
                <w:sz w:val="18"/>
              </w:rPr>
              <w:t>Text Cleaning</w:t>
            </w:r>
          </w:p>
        </w:tc>
        <w:tc>
          <w:tcPr>
            <w:tcW w:type="dxa" w:w="2592"/>
            <w:shd w:fill="FFFFFF"/>
            <w:tcMar>
              <w:top w:w="90" w:type="dxa"/>
              <w:bottom w:w="90" w:type="dxa"/>
              <w:left w:w="140" w:type="dxa"/>
              <w:right w:w="140" w:type="dxa"/>
            </w:tcMar>
          </w:tcPr>
          <w:p>
            <w:pPr>
              <w:jc w:val="left"/>
            </w:pPr>
            <w:r>
              <w:rPr>
                <w:rFonts w:ascii="Calibri" w:hAnsi="Calibri"/>
                <w:color w:val="2D3517"/>
                <w:sz w:val="18"/>
              </w:rPr>
              <w:t>Strip HTML tags, boilerplate, ads; parse UTC dates.</w:t>
            </w:r>
          </w:p>
        </w:tc>
        <w:tc>
          <w:tcPr>
            <w:tcW w:type="dxa" w:w="3024"/>
            <w:shd w:fill="FFFFFF"/>
            <w:tcMar>
              <w:top w:w="90" w:type="dxa"/>
              <w:bottom w:w="90" w:type="dxa"/>
              <w:left w:w="140" w:type="dxa"/>
              <w:right w:w="140" w:type="dxa"/>
            </w:tcMar>
          </w:tcPr>
          <w:p>
            <w:pPr>
              <w:jc w:val="left"/>
            </w:pPr>
            <w:r>
              <w:rPr>
                <w:rFonts w:ascii="Calibri" w:hAnsi="Calibri"/>
                <w:color w:val="2D3517"/>
                <w:sz w:val="18"/>
              </w:rPr>
              <w:t>Sanitized clean_text and ISO-8601 dates.</w:t>
            </w:r>
          </w:p>
        </w:tc>
      </w:tr>
      <w:tr>
        <w:tc>
          <w:tcPr>
            <w:tcW w:type="dxa" w:w="1152"/>
            <w:shd w:fill="FCF9EF"/>
            <w:tcMar>
              <w:top w:w="90" w:type="dxa"/>
              <w:bottom w:w="90" w:type="dxa"/>
              <w:left w:w="140" w:type="dxa"/>
              <w:right w:w="140" w:type="dxa"/>
            </w:tcMar>
          </w:tcPr>
          <w:p>
            <w:pPr>
              <w:jc w:val="left"/>
            </w:pPr>
            <w:r>
              <w:rPr>
                <w:rFonts w:ascii="Calibri" w:hAnsi="Calibri"/>
                <w:color w:val="2D3517"/>
                <w:sz w:val="18"/>
              </w:rPr>
              <w:t>4</w:t>
            </w:r>
          </w:p>
        </w:tc>
        <w:tc>
          <w:tcPr>
            <w:tcW w:type="dxa" w:w="2592"/>
            <w:shd w:fill="FCF9EF"/>
            <w:tcMar>
              <w:top w:w="90" w:type="dxa"/>
              <w:bottom w:w="90" w:type="dxa"/>
              <w:left w:w="140" w:type="dxa"/>
              <w:right w:w="140" w:type="dxa"/>
            </w:tcMar>
          </w:tcPr>
          <w:p>
            <w:pPr>
              <w:jc w:val="left"/>
            </w:pPr>
            <w:r>
              <w:rPr>
                <w:rFonts w:ascii="Calibri" w:hAnsi="Calibri"/>
                <w:color w:val="2D3517"/>
                <w:sz w:val="18"/>
              </w:rPr>
              <w:t>Military Filter</w:t>
            </w:r>
          </w:p>
        </w:tc>
        <w:tc>
          <w:tcPr>
            <w:tcW w:type="dxa" w:w="2592"/>
            <w:shd w:fill="FCF9EF"/>
            <w:tcMar>
              <w:top w:w="90" w:type="dxa"/>
              <w:bottom w:w="90" w:type="dxa"/>
              <w:left w:w="140" w:type="dxa"/>
              <w:right w:w="140" w:type="dxa"/>
            </w:tcMar>
          </w:tcPr>
          <w:p>
            <w:pPr>
              <w:jc w:val="left"/>
            </w:pPr>
            <w:r>
              <w:rPr>
                <w:rFonts w:ascii="Calibri" w:hAnsi="Calibri"/>
                <w:color w:val="2D3517"/>
                <w:sz w:val="18"/>
              </w:rPr>
              <w:t>Evaluate content against defense taxonomy.</w:t>
            </w:r>
          </w:p>
        </w:tc>
        <w:tc>
          <w:tcPr>
            <w:tcW w:type="dxa" w:w="3024"/>
            <w:shd w:fill="FCF9EF"/>
            <w:tcMar>
              <w:top w:w="90" w:type="dxa"/>
              <w:bottom w:w="90" w:type="dxa"/>
              <w:left w:w="140" w:type="dxa"/>
              <w:right w:w="140" w:type="dxa"/>
            </w:tcMar>
          </w:tcPr>
          <w:p>
            <w:pPr>
              <w:jc w:val="left"/>
            </w:pPr>
            <w:r>
              <w:rPr>
                <w:rFonts w:ascii="Calibri" w:hAnsi="Calibri"/>
                <w:color w:val="2D3517"/>
                <w:sz w:val="18"/>
              </w:rPr>
              <w:t>Non-military stories pruned; defense news retained.</w:t>
            </w:r>
          </w:p>
        </w:tc>
      </w:tr>
      <w:tr>
        <w:tc>
          <w:tcPr>
            <w:tcW w:type="dxa" w:w="1152"/>
            <w:shd w:fill="FFFFFF"/>
            <w:tcMar>
              <w:top w:w="90" w:type="dxa"/>
              <w:bottom w:w="90" w:type="dxa"/>
              <w:left w:w="140" w:type="dxa"/>
              <w:right w:w="140" w:type="dxa"/>
            </w:tcMar>
          </w:tcPr>
          <w:p>
            <w:pPr>
              <w:jc w:val="left"/>
            </w:pPr>
            <w:r>
              <w:rPr>
                <w:rFonts w:ascii="Calibri" w:hAnsi="Calibri"/>
                <w:color w:val="2D3517"/>
                <w:sz w:val="18"/>
              </w:rPr>
              <w:t>5</w:t>
            </w:r>
          </w:p>
        </w:tc>
        <w:tc>
          <w:tcPr>
            <w:tcW w:type="dxa" w:w="2592"/>
            <w:shd w:fill="FFFFFF"/>
            <w:tcMar>
              <w:top w:w="90" w:type="dxa"/>
              <w:bottom w:w="90" w:type="dxa"/>
              <w:left w:w="140" w:type="dxa"/>
              <w:right w:w="140" w:type="dxa"/>
            </w:tcMar>
          </w:tcPr>
          <w:p>
            <w:pPr>
              <w:jc w:val="left"/>
            </w:pPr>
            <w:r>
              <w:rPr>
                <w:rFonts w:ascii="Calibri" w:hAnsi="Calibri"/>
                <w:color w:val="2D3517"/>
                <w:sz w:val="18"/>
              </w:rPr>
              <w:t>Vectorization</w:t>
            </w:r>
          </w:p>
        </w:tc>
        <w:tc>
          <w:tcPr>
            <w:tcW w:type="dxa" w:w="2592"/>
            <w:shd w:fill="FFFFFF"/>
            <w:tcMar>
              <w:top w:w="90" w:type="dxa"/>
              <w:bottom w:w="90" w:type="dxa"/>
              <w:left w:w="140" w:type="dxa"/>
              <w:right w:w="140" w:type="dxa"/>
            </w:tcMar>
          </w:tcPr>
          <w:p>
            <w:pPr>
              <w:jc w:val="left"/>
            </w:pPr>
            <w:r>
              <w:rPr>
                <w:rFonts w:ascii="Calibri" w:hAnsi="Calibri"/>
                <w:color w:val="2D3517"/>
                <w:sz w:val="18"/>
              </w:rPr>
              <w:t>Extract spaCy NER; compute 384-d dense vectors.</w:t>
            </w:r>
          </w:p>
        </w:tc>
        <w:tc>
          <w:tcPr>
            <w:tcW w:type="dxa" w:w="3024"/>
            <w:shd w:fill="FFFFFF"/>
            <w:tcMar>
              <w:top w:w="90" w:type="dxa"/>
              <w:bottom w:w="90" w:type="dxa"/>
              <w:left w:w="140" w:type="dxa"/>
              <w:right w:w="140" w:type="dxa"/>
            </w:tcMar>
          </w:tcPr>
          <w:p>
            <w:pPr>
              <w:jc w:val="left"/>
            </w:pPr>
            <w:r>
              <w:rPr>
                <w:rFonts w:ascii="Calibri" w:hAnsi="Calibri"/>
                <w:color w:val="2D3517"/>
                <w:sz w:val="18"/>
              </w:rPr>
              <w:t>Articles saved to Atlas; vectors indexed in Chroma.</w:t>
            </w:r>
          </w:p>
        </w:tc>
      </w:tr>
      <w:tr>
        <w:tc>
          <w:tcPr>
            <w:tcW w:type="dxa" w:w="1152"/>
            <w:shd w:fill="FCF9EF"/>
            <w:tcMar>
              <w:top w:w="90" w:type="dxa"/>
              <w:bottom w:w="90" w:type="dxa"/>
              <w:left w:w="140" w:type="dxa"/>
              <w:right w:w="140" w:type="dxa"/>
            </w:tcMar>
          </w:tcPr>
          <w:p>
            <w:pPr>
              <w:jc w:val="left"/>
            </w:pPr>
            <w:r>
              <w:rPr>
                <w:rFonts w:ascii="Calibri" w:hAnsi="Calibri"/>
                <w:color w:val="2D3517"/>
                <w:sz w:val="18"/>
              </w:rPr>
              <w:t>6</w:t>
            </w:r>
          </w:p>
        </w:tc>
        <w:tc>
          <w:tcPr>
            <w:tcW w:type="dxa" w:w="2592"/>
            <w:shd w:fill="FCF9EF"/>
            <w:tcMar>
              <w:top w:w="90" w:type="dxa"/>
              <w:bottom w:w="90" w:type="dxa"/>
              <w:left w:w="140" w:type="dxa"/>
              <w:right w:w="140" w:type="dxa"/>
            </w:tcMar>
          </w:tcPr>
          <w:p>
            <w:pPr>
              <w:jc w:val="left"/>
            </w:pPr>
            <w:r>
              <w:rPr>
                <w:rFonts w:ascii="Calibri" w:hAnsi="Calibri"/>
                <w:color w:val="2D3517"/>
                <w:sz w:val="18"/>
              </w:rPr>
              <w:t>Hybrid Clustering</w:t>
            </w:r>
          </w:p>
        </w:tc>
        <w:tc>
          <w:tcPr>
            <w:tcW w:type="dxa" w:w="2592"/>
            <w:shd w:fill="FCF9EF"/>
            <w:tcMar>
              <w:top w:w="90" w:type="dxa"/>
              <w:bottom w:w="90" w:type="dxa"/>
              <w:left w:w="140" w:type="dxa"/>
              <w:right w:w="140" w:type="dxa"/>
            </w:tcMar>
          </w:tcPr>
          <w:p>
            <w:pPr>
              <w:jc w:val="left"/>
            </w:pPr>
            <w:r>
              <w:rPr>
                <w:rFonts w:ascii="Calibri" w:hAnsi="Calibri"/>
                <w:color w:val="2D3517"/>
                <w:sz w:val="18"/>
              </w:rPr>
              <w:t>Calculate 5-signal composite similarity scores.</w:t>
            </w:r>
          </w:p>
        </w:tc>
        <w:tc>
          <w:tcPr>
            <w:tcW w:type="dxa" w:w="3024"/>
            <w:shd w:fill="FCF9EF"/>
            <w:tcMar>
              <w:top w:w="90" w:type="dxa"/>
              <w:bottom w:w="90" w:type="dxa"/>
              <w:left w:w="140" w:type="dxa"/>
              <w:right w:w="140" w:type="dxa"/>
            </w:tcMar>
          </w:tcPr>
          <w:p>
            <w:pPr>
              <w:jc w:val="left"/>
            </w:pPr>
            <w:r>
              <w:rPr>
                <w:rFonts w:ascii="Calibri" w:hAnsi="Calibri"/>
                <w:color w:val="2D3517"/>
                <w:sz w:val="18"/>
              </w:rPr>
              <w:t>Events created (threshold &gt;= 0.62) &amp; singletons.</w:t>
            </w:r>
          </w:p>
        </w:tc>
      </w:tr>
      <w:tr>
        <w:tc>
          <w:tcPr>
            <w:tcW w:type="dxa" w:w="1152"/>
            <w:shd w:fill="FFFFFF"/>
            <w:tcMar>
              <w:top w:w="90" w:type="dxa"/>
              <w:bottom w:w="90" w:type="dxa"/>
              <w:left w:w="140" w:type="dxa"/>
              <w:right w:w="140" w:type="dxa"/>
            </w:tcMar>
          </w:tcPr>
          <w:p>
            <w:pPr>
              <w:jc w:val="left"/>
            </w:pPr>
            <w:r>
              <w:rPr>
                <w:rFonts w:ascii="Calibri" w:hAnsi="Calibri"/>
                <w:color w:val="2D3517"/>
                <w:sz w:val="18"/>
              </w:rPr>
              <w:t>7</w:t>
            </w:r>
          </w:p>
        </w:tc>
        <w:tc>
          <w:tcPr>
            <w:tcW w:type="dxa" w:w="2592"/>
            <w:shd w:fill="FFFFFF"/>
            <w:tcMar>
              <w:top w:w="90" w:type="dxa"/>
              <w:bottom w:w="90" w:type="dxa"/>
              <w:left w:w="140" w:type="dxa"/>
              <w:right w:w="140" w:type="dxa"/>
            </w:tcMar>
          </w:tcPr>
          <w:p>
            <w:pPr>
              <w:jc w:val="left"/>
            </w:pPr>
            <w:r>
              <w:rPr>
                <w:rFonts w:ascii="Calibri" w:hAnsi="Calibri"/>
                <w:color w:val="2D3517"/>
                <w:sz w:val="18"/>
              </w:rPr>
              <w:t>Collective Synthesis</w:t>
            </w:r>
          </w:p>
        </w:tc>
        <w:tc>
          <w:tcPr>
            <w:tcW w:type="dxa" w:w="2592"/>
            <w:shd w:fill="FFFFFF"/>
            <w:tcMar>
              <w:top w:w="90" w:type="dxa"/>
              <w:bottom w:w="90" w:type="dxa"/>
              <w:left w:w="140" w:type="dxa"/>
              <w:right w:w="140" w:type="dxa"/>
            </w:tcMar>
          </w:tcPr>
          <w:p>
            <w:pPr>
              <w:jc w:val="left"/>
            </w:pPr>
            <w:r>
              <w:rPr>
                <w:rFonts w:ascii="Calibri" w:hAnsi="Calibri"/>
                <w:color w:val="2D3517"/>
                <w:sz w:val="18"/>
              </w:rPr>
              <w:t>Synthesize collective multi-wire briefings via LLM cascade.</w:t>
            </w:r>
          </w:p>
        </w:tc>
        <w:tc>
          <w:tcPr>
            <w:tcW w:type="dxa" w:w="3024"/>
            <w:shd w:fill="FFFFFF"/>
            <w:tcMar>
              <w:top w:w="90" w:type="dxa"/>
              <w:bottom w:w="90" w:type="dxa"/>
              <w:left w:w="140" w:type="dxa"/>
              <w:right w:w="140" w:type="dxa"/>
            </w:tcMar>
          </w:tcPr>
          <w:p>
            <w:pPr>
              <w:jc w:val="left"/>
            </w:pPr>
            <w:r>
              <w:rPr>
                <w:rFonts w:ascii="Calibri" w:hAnsi="Calibri"/>
                <w:color w:val="2D3517"/>
                <w:sz w:val="18"/>
              </w:rPr>
              <w:t>4-5 line summaries and verified claims stored.</w:t>
            </w:r>
          </w:p>
        </w:tc>
      </w:tr>
    </w:tbl>
    <w:p>
      <w:r>
        <w:br w:type="page"/>
      </w:r>
    </w:p>
    <w:p>
      <w:pPr>
        <w:pStyle w:val="Heading1"/>
      </w:pPr>
      <w:r>
        <w:t>5. Hybrid Multi-Signal Event Clustering Engine</w:t>
      </w:r>
    </w:p>
    <w:p>
      <w:r>
        <w:t>Traditional intelligence aggregators rely on keyword overlap, which often fails when two articles report the same event using different phrasing or report different events using similar military jargon. OSINT-EIP resolves this through a 5-signal composite scoring engine:</w:t>
      </w:r>
    </w:p>
    <w:tbl>
      <w:tblPr>
        <w:tblW w:type="auto" w:w="0"/>
        <w:jc w:val="center"/>
        <w:tblLook w:firstColumn="1" w:firstRow="1" w:lastColumn="0" w:lastRow="0" w:noHBand="0" w:noVBand="1" w:val="04A0"/>
      </w:tblPr>
      <w:tblGrid>
        <w:gridCol w:w="9360"/>
      </w:tblGrid>
      <w:tr>
        <w:tc>
          <w:tcPr>
            <w:tcW w:type="dxa" w:w="9360"/>
            <w:shd w:fill="FAF6E9"/>
            <w:tcMar>
              <w:top w:w="140" w:type="dxa"/>
              <w:bottom w:w="140" w:type="dxa"/>
              <w:left w:w="200" w:type="dxa"/>
              <w:right w:w="200" w:type="dxa"/>
            </w:tcMar>
            <w:tcBorders>
              <w:left w:val="single" w:sz="24" w:space="0" w:color="9CA764"/>
              <w:top w:val="none"/>
              <w:right w:val="none"/>
              <w:bottom w:val="none"/>
            </w:tcBorders>
          </w:tcPr>
          <w:p>
            <w:pPr>
              <w:spacing w:before="40" w:after="60" w:line="276" w:lineRule="auto"/>
            </w:pPr>
            <w:r>
              <w:rPr>
                <w:rFonts w:ascii="Calibri" w:hAnsi="Calibri"/>
                <w:b/>
                <w:color w:val="191F0E"/>
                <w:sz w:val="20"/>
              </w:rPr>
              <w:t>■ Composite Mathematical Formula</w:t>
              <w:br/>
            </w:r>
            <w:r>
              <w:rPr>
                <w:rFonts w:ascii="Calibri" w:hAnsi="Calibri"/>
                <w:color w:val="333D1F"/>
                <w:sz w:val="19"/>
              </w:rPr>
              <w:t>Score(A_i, A_j) = 0.55 * S_sem + 0.18 * S_ent + 0.12 * S_loc + 0.10 * S_time + 0.05 * S_meta</w:t>
              <w:br/>
              <w:t>Threshold: If Score &gt;= 0.62, the articles are merged into a unified Event cluster.</w:t>
            </w:r>
          </w:p>
        </w:tc>
      </w:tr>
    </w:tbl>
    <w:p>
      <w:pPr>
        <w:spacing w:after="80"/>
      </w:pPr>
    </w:p>
    <w:tbl>
      <w:tblPr>
        <w:tblW w:type="auto" w:w="0"/>
        <w:jc w:val="center"/>
        <w:tblLook w:firstColumn="1" w:firstRow="1" w:lastColumn="0" w:lastRow="0" w:noHBand="0" w:noVBand="1" w:val="04A0"/>
      </w:tblPr>
      <w:tblGrid>
        <w:gridCol w:w="3120"/>
        <w:gridCol w:w="3120"/>
        <w:gridCol w:w="3120"/>
      </w:tblGrid>
      <w:tr>
        <w:tc>
          <w:tcPr>
            <w:tcW w:type="dxa" w:w="2160"/>
            <w:shd w:fill="FAF6E9"/>
            <w:tcMar>
              <w:top w:w="120" w:type="dxa"/>
              <w:bottom w:w="120" w:type="dxa"/>
              <w:left w:w="140" w:type="dxa"/>
              <w:right w:w="140" w:type="dxa"/>
            </w:tcMar>
          </w:tcPr>
          <w:p>
            <w:pPr>
              <w:jc w:val="left"/>
            </w:pPr>
            <w:r>
              <w:rPr>
                <w:rFonts w:ascii="Calibri" w:hAnsi="Calibri"/>
                <w:b/>
                <w:color w:val="191F0E"/>
                <w:sz w:val="19"/>
              </w:rPr>
              <w:t>Signal Component</w:t>
            </w:r>
          </w:p>
        </w:tc>
        <w:tc>
          <w:tcPr>
            <w:tcW w:type="dxa" w:w="1728"/>
            <w:shd w:fill="FAF6E9"/>
            <w:tcMar>
              <w:top w:w="120" w:type="dxa"/>
              <w:bottom w:w="120" w:type="dxa"/>
              <w:left w:w="140" w:type="dxa"/>
              <w:right w:w="140" w:type="dxa"/>
            </w:tcMar>
          </w:tcPr>
          <w:p>
            <w:pPr>
              <w:jc w:val="left"/>
            </w:pPr>
            <w:r>
              <w:rPr>
                <w:rFonts w:ascii="Calibri" w:hAnsi="Calibri"/>
                <w:b/>
                <w:color w:val="191F0E"/>
                <w:sz w:val="19"/>
              </w:rPr>
              <w:t>Weight</w:t>
            </w:r>
          </w:p>
        </w:tc>
        <w:tc>
          <w:tcPr>
            <w:tcW w:type="dxa" w:w="5472"/>
            <w:shd w:fill="FAF6E9"/>
            <w:tcMar>
              <w:top w:w="120" w:type="dxa"/>
              <w:bottom w:w="120" w:type="dxa"/>
              <w:left w:w="140" w:type="dxa"/>
              <w:right w:w="140" w:type="dxa"/>
            </w:tcMar>
          </w:tcPr>
          <w:p>
            <w:pPr>
              <w:jc w:val="left"/>
            </w:pPr>
            <w:r>
              <w:rPr>
                <w:rFonts w:ascii="Calibri" w:hAnsi="Calibri"/>
                <w:b/>
                <w:color w:val="191F0E"/>
                <w:sz w:val="19"/>
              </w:rPr>
              <w:t>Mathematical Implementation &amp; Purpose</w:t>
            </w:r>
          </w:p>
        </w:tc>
      </w:tr>
      <w:tr>
        <w:tc>
          <w:tcPr>
            <w:tcW w:type="dxa" w:w="2160"/>
            <w:shd w:fill="FFFFFF"/>
            <w:tcMar>
              <w:top w:w="90" w:type="dxa"/>
              <w:bottom w:w="90" w:type="dxa"/>
              <w:left w:w="140" w:type="dxa"/>
              <w:right w:w="140" w:type="dxa"/>
            </w:tcMar>
          </w:tcPr>
          <w:p>
            <w:pPr>
              <w:jc w:val="left"/>
            </w:pPr>
            <w:r>
              <w:rPr>
                <w:rFonts w:ascii="Calibri" w:hAnsi="Calibri"/>
                <w:color w:val="2D3517"/>
                <w:sz w:val="18"/>
              </w:rPr>
              <w:t>Semantic Vector (S_sem)</w:t>
            </w:r>
          </w:p>
        </w:tc>
        <w:tc>
          <w:tcPr>
            <w:tcW w:type="dxa" w:w="1728"/>
            <w:shd w:fill="FFFFFF"/>
            <w:tcMar>
              <w:top w:w="90" w:type="dxa"/>
              <w:bottom w:w="90" w:type="dxa"/>
              <w:left w:w="140" w:type="dxa"/>
              <w:right w:w="140" w:type="dxa"/>
            </w:tcMar>
          </w:tcPr>
          <w:p>
            <w:pPr>
              <w:jc w:val="left"/>
            </w:pPr>
            <w:r>
              <w:rPr>
                <w:rFonts w:ascii="Calibri" w:hAnsi="Calibri"/>
                <w:color w:val="2D3517"/>
                <w:sz w:val="18"/>
              </w:rPr>
              <w:t>0.55 (55%)</w:t>
            </w:r>
          </w:p>
        </w:tc>
        <w:tc>
          <w:tcPr>
            <w:tcW w:type="dxa" w:w="5472"/>
            <w:shd w:fill="FFFFFF"/>
            <w:tcMar>
              <w:top w:w="90" w:type="dxa"/>
              <w:bottom w:w="90" w:type="dxa"/>
              <w:left w:w="140" w:type="dxa"/>
              <w:right w:w="140" w:type="dxa"/>
            </w:tcMar>
          </w:tcPr>
          <w:p>
            <w:pPr>
              <w:jc w:val="left"/>
            </w:pPr>
            <w:r>
              <w:rPr>
                <w:rFonts w:ascii="Calibri" w:hAnsi="Calibri"/>
                <w:color w:val="2D3517"/>
                <w:sz w:val="18"/>
              </w:rPr>
              <w:t>Cosine similarity between 384-d embeddings. Captures shared contextual meaning across phrasing.</w:t>
            </w:r>
          </w:p>
        </w:tc>
      </w:tr>
      <w:tr>
        <w:tc>
          <w:tcPr>
            <w:tcW w:type="dxa" w:w="2160"/>
            <w:shd w:fill="FCF9EF"/>
            <w:tcMar>
              <w:top w:w="90" w:type="dxa"/>
              <w:bottom w:w="90" w:type="dxa"/>
              <w:left w:w="140" w:type="dxa"/>
              <w:right w:w="140" w:type="dxa"/>
            </w:tcMar>
          </w:tcPr>
          <w:p>
            <w:pPr>
              <w:jc w:val="left"/>
            </w:pPr>
            <w:r>
              <w:rPr>
                <w:rFonts w:ascii="Calibri" w:hAnsi="Calibri"/>
                <w:color w:val="2D3517"/>
                <w:sz w:val="18"/>
              </w:rPr>
              <w:t>Entity Jaccard (S_ent)</w:t>
            </w:r>
          </w:p>
        </w:tc>
        <w:tc>
          <w:tcPr>
            <w:tcW w:type="dxa" w:w="1728"/>
            <w:shd w:fill="FCF9EF"/>
            <w:tcMar>
              <w:top w:w="90" w:type="dxa"/>
              <w:bottom w:w="90" w:type="dxa"/>
              <w:left w:w="140" w:type="dxa"/>
              <w:right w:w="140" w:type="dxa"/>
            </w:tcMar>
          </w:tcPr>
          <w:p>
            <w:pPr>
              <w:jc w:val="left"/>
            </w:pPr>
            <w:r>
              <w:rPr>
                <w:rFonts w:ascii="Calibri" w:hAnsi="Calibri"/>
                <w:color w:val="2D3517"/>
                <w:sz w:val="18"/>
              </w:rPr>
              <w:t>0.18 (18%)</w:t>
            </w:r>
          </w:p>
        </w:tc>
        <w:tc>
          <w:tcPr>
            <w:tcW w:type="dxa" w:w="5472"/>
            <w:shd w:fill="FCF9EF"/>
            <w:tcMar>
              <w:top w:w="90" w:type="dxa"/>
              <w:bottom w:w="90" w:type="dxa"/>
              <w:left w:w="140" w:type="dxa"/>
              <w:right w:w="140" w:type="dxa"/>
            </w:tcMar>
          </w:tcPr>
          <w:p>
            <w:pPr>
              <w:jc w:val="left"/>
            </w:pPr>
            <w:r>
              <w:rPr>
                <w:rFonts w:ascii="Calibri" w:hAnsi="Calibri"/>
                <w:color w:val="2D3517"/>
                <w:sz w:val="18"/>
              </w:rPr>
              <w:t>Jaccard similarity index across extracted military entities (units, weapons, military actors).</w:t>
            </w:r>
          </w:p>
        </w:tc>
      </w:tr>
      <w:tr>
        <w:tc>
          <w:tcPr>
            <w:tcW w:type="dxa" w:w="2160"/>
            <w:shd w:fill="FFFFFF"/>
            <w:tcMar>
              <w:top w:w="90" w:type="dxa"/>
              <w:bottom w:w="90" w:type="dxa"/>
              <w:left w:w="140" w:type="dxa"/>
              <w:right w:w="140" w:type="dxa"/>
            </w:tcMar>
          </w:tcPr>
          <w:p>
            <w:pPr>
              <w:jc w:val="left"/>
            </w:pPr>
            <w:r>
              <w:rPr>
                <w:rFonts w:ascii="Calibri" w:hAnsi="Calibri"/>
                <w:color w:val="2D3517"/>
                <w:sz w:val="18"/>
              </w:rPr>
              <w:t>Location Match (S_loc)</w:t>
            </w:r>
          </w:p>
        </w:tc>
        <w:tc>
          <w:tcPr>
            <w:tcW w:type="dxa" w:w="1728"/>
            <w:shd w:fill="FFFFFF"/>
            <w:tcMar>
              <w:top w:w="90" w:type="dxa"/>
              <w:bottom w:w="90" w:type="dxa"/>
              <w:left w:w="140" w:type="dxa"/>
              <w:right w:w="140" w:type="dxa"/>
            </w:tcMar>
          </w:tcPr>
          <w:p>
            <w:pPr>
              <w:jc w:val="left"/>
            </w:pPr>
            <w:r>
              <w:rPr>
                <w:rFonts w:ascii="Calibri" w:hAnsi="Calibri"/>
                <w:color w:val="2D3517"/>
                <w:sz w:val="18"/>
              </w:rPr>
              <w:t>0.12 (12%)</w:t>
            </w:r>
          </w:p>
        </w:tc>
        <w:tc>
          <w:tcPr>
            <w:tcW w:type="dxa" w:w="5472"/>
            <w:shd w:fill="FFFFFF"/>
            <w:tcMar>
              <w:top w:w="90" w:type="dxa"/>
              <w:bottom w:w="90" w:type="dxa"/>
              <w:left w:w="140" w:type="dxa"/>
              <w:right w:w="140" w:type="dxa"/>
            </w:tcMar>
          </w:tcPr>
          <w:p>
            <w:pPr>
              <w:jc w:val="left"/>
            </w:pPr>
            <w:r>
              <w:rPr>
                <w:rFonts w:ascii="Calibri" w:hAnsi="Calibri"/>
                <w:color w:val="2D3517"/>
                <w:sz w:val="18"/>
              </w:rPr>
              <w:t>Jaccard similarity of extracted geographic entities (GPE, LOC). Prevents conflating separate theaters.</w:t>
            </w:r>
          </w:p>
        </w:tc>
      </w:tr>
      <w:tr>
        <w:tc>
          <w:tcPr>
            <w:tcW w:type="dxa" w:w="2160"/>
            <w:shd w:fill="FCF9EF"/>
            <w:tcMar>
              <w:top w:w="90" w:type="dxa"/>
              <w:bottom w:w="90" w:type="dxa"/>
              <w:left w:w="140" w:type="dxa"/>
              <w:right w:w="140" w:type="dxa"/>
            </w:tcMar>
          </w:tcPr>
          <w:p>
            <w:pPr>
              <w:jc w:val="left"/>
            </w:pPr>
            <w:r>
              <w:rPr>
                <w:rFonts w:ascii="Calibri" w:hAnsi="Calibri"/>
                <w:color w:val="2D3517"/>
                <w:sz w:val="18"/>
              </w:rPr>
              <w:t>Temporal Decay (S_time)</w:t>
            </w:r>
          </w:p>
        </w:tc>
        <w:tc>
          <w:tcPr>
            <w:tcW w:type="dxa" w:w="1728"/>
            <w:shd w:fill="FCF9EF"/>
            <w:tcMar>
              <w:top w:w="90" w:type="dxa"/>
              <w:bottom w:w="90" w:type="dxa"/>
              <w:left w:w="140" w:type="dxa"/>
              <w:right w:w="140" w:type="dxa"/>
            </w:tcMar>
          </w:tcPr>
          <w:p>
            <w:pPr>
              <w:jc w:val="left"/>
            </w:pPr>
            <w:r>
              <w:rPr>
                <w:rFonts w:ascii="Calibri" w:hAnsi="Calibri"/>
                <w:color w:val="2D3517"/>
                <w:sz w:val="18"/>
              </w:rPr>
              <w:t>0.10 (10%)</w:t>
            </w:r>
          </w:p>
        </w:tc>
        <w:tc>
          <w:tcPr>
            <w:tcW w:type="dxa" w:w="5472"/>
            <w:shd w:fill="FCF9EF"/>
            <w:tcMar>
              <w:top w:w="90" w:type="dxa"/>
              <w:bottom w:w="90" w:type="dxa"/>
              <w:left w:w="140" w:type="dxa"/>
              <w:right w:w="140" w:type="dxa"/>
            </w:tcMar>
          </w:tcPr>
          <w:p>
            <w:pPr>
              <w:jc w:val="left"/>
            </w:pPr>
            <w:r>
              <w:rPr>
                <w:rFonts w:ascii="Calibri" w:hAnsi="Calibri"/>
                <w:color w:val="2D3517"/>
                <w:sz w:val="18"/>
              </w:rPr>
              <w:t>Exponential decay exp(-dt / tau) where tau = 48 hours. Strongly favors temporally proximate stories.</w:t>
            </w:r>
          </w:p>
        </w:tc>
      </w:tr>
      <w:tr>
        <w:tc>
          <w:tcPr>
            <w:tcW w:type="dxa" w:w="2160"/>
            <w:shd w:fill="FFFFFF"/>
            <w:tcMar>
              <w:top w:w="90" w:type="dxa"/>
              <w:bottom w:w="90" w:type="dxa"/>
              <w:left w:w="140" w:type="dxa"/>
              <w:right w:w="140" w:type="dxa"/>
            </w:tcMar>
          </w:tcPr>
          <w:p>
            <w:pPr>
              <w:jc w:val="left"/>
            </w:pPr>
            <w:r>
              <w:rPr>
                <w:rFonts w:ascii="Calibri" w:hAnsi="Calibri"/>
                <w:color w:val="2D3517"/>
                <w:sz w:val="18"/>
              </w:rPr>
              <w:t>Metadata Diversity (S_meta)</w:t>
            </w:r>
          </w:p>
        </w:tc>
        <w:tc>
          <w:tcPr>
            <w:tcW w:type="dxa" w:w="1728"/>
            <w:shd w:fill="FFFFFF"/>
            <w:tcMar>
              <w:top w:w="90" w:type="dxa"/>
              <w:bottom w:w="90" w:type="dxa"/>
              <w:left w:w="140" w:type="dxa"/>
              <w:right w:w="140" w:type="dxa"/>
            </w:tcMar>
          </w:tcPr>
          <w:p>
            <w:pPr>
              <w:jc w:val="left"/>
            </w:pPr>
            <w:r>
              <w:rPr>
                <w:rFonts w:ascii="Calibri" w:hAnsi="Calibri"/>
                <w:color w:val="2D3517"/>
                <w:sz w:val="18"/>
              </w:rPr>
              <w:t>0.05 (5%)</w:t>
            </w:r>
          </w:p>
        </w:tc>
        <w:tc>
          <w:tcPr>
            <w:tcW w:type="dxa" w:w="5472"/>
            <w:shd w:fill="FFFFFF"/>
            <w:tcMar>
              <w:top w:w="90" w:type="dxa"/>
              <w:bottom w:w="90" w:type="dxa"/>
              <w:left w:w="140" w:type="dxa"/>
              <w:right w:w="140" w:type="dxa"/>
            </w:tcMar>
          </w:tcPr>
          <w:p>
            <w:pPr>
              <w:jc w:val="left"/>
            </w:pPr>
            <w:r>
              <w:rPr>
                <w:rFonts w:ascii="Calibri" w:hAnsi="Calibri"/>
                <w:color w:val="2D3517"/>
                <w:sz w:val="18"/>
              </w:rPr>
              <w:t>Source diversity bonus awarded when matching articles originate from distinct, competing news wires.</w:t>
            </w:r>
          </w:p>
        </w:tc>
      </w:tr>
    </w:tbl>
    <w:p>
      <w:r>
        <w:br w:type="page"/>
      </w:r>
    </w:p>
    <w:p>
      <w:pPr>
        <w:pStyle w:val="Heading1"/>
      </w:pPr>
      <w:r>
        <w:t>6. Three-Tier LLM Collective Synthesis &amp; Fallback Cascade</w:t>
      </w:r>
    </w:p>
    <w:p>
      <w:r>
        <w:t>In intelligence operations, LLM availability cannot be assumed 100% reliable. Network interruptions, tunnel drops, or API rate limits must never leave an event unsummarized. OSINT-EIP implements an autonomous three-tier fallback cascade:</w:t>
      </w:r>
    </w:p>
    <w:tbl>
      <w:tblPr>
        <w:tblW w:type="auto" w:w="0"/>
        <w:jc w:val="center"/>
        <w:tblLook w:firstColumn="1" w:firstRow="1" w:lastColumn="0" w:lastRow="0" w:noHBand="0" w:noVBand="1" w:val="04A0"/>
      </w:tblPr>
      <w:tblGrid>
        <w:gridCol w:w="2340"/>
        <w:gridCol w:w="2340"/>
        <w:gridCol w:w="2340"/>
        <w:gridCol w:w="2340"/>
      </w:tblGrid>
      <w:tr>
        <w:tc>
          <w:tcPr>
            <w:tcW w:type="dxa" w:w="1440"/>
            <w:shd w:fill="FAF6E9"/>
            <w:tcMar>
              <w:top w:w="120" w:type="dxa"/>
              <w:bottom w:w="120" w:type="dxa"/>
              <w:left w:w="140" w:type="dxa"/>
              <w:right w:w="140" w:type="dxa"/>
            </w:tcMar>
          </w:tcPr>
          <w:p>
            <w:pPr>
              <w:jc w:val="left"/>
            </w:pPr>
            <w:r>
              <w:rPr>
                <w:rFonts w:ascii="Calibri" w:hAnsi="Calibri"/>
                <w:b/>
                <w:color w:val="191F0E"/>
                <w:sz w:val="19"/>
              </w:rPr>
              <w:t>Tier</w:t>
            </w:r>
          </w:p>
        </w:tc>
        <w:tc>
          <w:tcPr>
            <w:tcW w:type="dxa" w:w="2592"/>
            <w:shd w:fill="FAF6E9"/>
            <w:tcMar>
              <w:top w:w="120" w:type="dxa"/>
              <w:bottom w:w="120" w:type="dxa"/>
              <w:left w:w="140" w:type="dxa"/>
              <w:right w:w="140" w:type="dxa"/>
            </w:tcMar>
          </w:tcPr>
          <w:p>
            <w:pPr>
              <w:jc w:val="left"/>
            </w:pPr>
            <w:r>
              <w:rPr>
                <w:rFonts w:ascii="Calibri" w:hAnsi="Calibri"/>
                <w:b/>
                <w:color w:val="191F0E"/>
                <w:sz w:val="19"/>
              </w:rPr>
              <w:t>Engine / Provider</w:t>
            </w:r>
          </w:p>
        </w:tc>
        <w:tc>
          <w:tcPr>
            <w:tcW w:type="dxa" w:w="1728"/>
            <w:shd w:fill="FAF6E9"/>
            <w:tcMar>
              <w:top w:w="120" w:type="dxa"/>
              <w:bottom w:w="120" w:type="dxa"/>
              <w:left w:w="140" w:type="dxa"/>
              <w:right w:w="140" w:type="dxa"/>
            </w:tcMar>
          </w:tcPr>
          <w:p>
            <w:pPr>
              <w:jc w:val="left"/>
            </w:pPr>
            <w:r>
              <w:rPr>
                <w:rFonts w:ascii="Calibri" w:hAnsi="Calibri"/>
                <w:b/>
                <w:color w:val="191F0E"/>
                <w:sz w:val="19"/>
              </w:rPr>
              <w:t>Timeout</w:t>
            </w:r>
          </w:p>
        </w:tc>
        <w:tc>
          <w:tcPr>
            <w:tcW w:type="dxa" w:w="3600"/>
            <w:shd w:fill="FAF6E9"/>
            <w:tcMar>
              <w:top w:w="120" w:type="dxa"/>
              <w:bottom w:w="120" w:type="dxa"/>
              <w:left w:w="140" w:type="dxa"/>
              <w:right w:w="140" w:type="dxa"/>
            </w:tcMar>
          </w:tcPr>
          <w:p>
            <w:pPr>
              <w:jc w:val="left"/>
            </w:pPr>
            <w:r>
              <w:rPr>
                <w:rFonts w:ascii="Calibri" w:hAnsi="Calibri"/>
                <w:b/>
                <w:color w:val="191F0E"/>
                <w:sz w:val="19"/>
              </w:rPr>
              <w:t>Operational Role &amp; Resilience</w:t>
            </w:r>
          </w:p>
        </w:tc>
      </w:tr>
      <w:tr>
        <w:tc>
          <w:tcPr>
            <w:tcW w:type="dxa" w:w="1440"/>
            <w:shd w:fill="FFFFFF"/>
            <w:tcMar>
              <w:top w:w="90" w:type="dxa"/>
              <w:bottom w:w="90" w:type="dxa"/>
              <w:left w:w="140" w:type="dxa"/>
              <w:right w:w="140" w:type="dxa"/>
            </w:tcMar>
          </w:tcPr>
          <w:p>
            <w:pPr>
              <w:jc w:val="left"/>
            </w:pPr>
            <w:r>
              <w:rPr>
                <w:rFonts w:ascii="Calibri" w:hAnsi="Calibri"/>
                <w:color w:val="2D3517"/>
                <w:sz w:val="18"/>
              </w:rPr>
              <w:t>Tier 1 (Primary)</w:t>
            </w:r>
          </w:p>
        </w:tc>
        <w:tc>
          <w:tcPr>
            <w:tcW w:type="dxa" w:w="2592"/>
            <w:shd w:fill="FFFFFF"/>
            <w:tcMar>
              <w:top w:w="90" w:type="dxa"/>
              <w:bottom w:w="90" w:type="dxa"/>
              <w:left w:w="140" w:type="dxa"/>
              <w:right w:w="140" w:type="dxa"/>
            </w:tcMar>
          </w:tcPr>
          <w:p>
            <w:pPr>
              <w:jc w:val="left"/>
            </w:pPr>
            <w:r>
              <w:rPr>
                <w:rFonts w:ascii="Calibri" w:hAnsi="Calibri"/>
                <w:color w:val="2D3517"/>
                <w:sz w:val="18"/>
              </w:rPr>
              <w:t>Qwen3-14B (Tunnel Gateway)</w:t>
            </w:r>
          </w:p>
        </w:tc>
        <w:tc>
          <w:tcPr>
            <w:tcW w:type="dxa" w:w="1728"/>
            <w:shd w:fill="FFFFFF"/>
            <w:tcMar>
              <w:top w:w="90" w:type="dxa"/>
              <w:bottom w:w="90" w:type="dxa"/>
              <w:left w:w="140" w:type="dxa"/>
              <w:right w:w="140" w:type="dxa"/>
            </w:tcMar>
          </w:tcPr>
          <w:p>
            <w:pPr>
              <w:jc w:val="left"/>
            </w:pPr>
            <w:r>
              <w:rPr>
                <w:rFonts w:ascii="Calibri" w:hAnsi="Calibri"/>
                <w:color w:val="2D3517"/>
                <w:sz w:val="18"/>
              </w:rPr>
              <w:t>30 seconds</w:t>
            </w:r>
          </w:p>
        </w:tc>
        <w:tc>
          <w:tcPr>
            <w:tcW w:type="dxa" w:w="3600"/>
            <w:shd w:fill="FFFFFF"/>
            <w:tcMar>
              <w:top w:w="90" w:type="dxa"/>
              <w:bottom w:w="90" w:type="dxa"/>
              <w:left w:w="140" w:type="dxa"/>
              <w:right w:w="140" w:type="dxa"/>
            </w:tcMar>
          </w:tcPr>
          <w:p>
            <w:pPr>
              <w:jc w:val="left"/>
            </w:pPr>
            <w:r>
              <w:rPr>
                <w:rFonts w:ascii="Calibri" w:hAnsi="Calibri"/>
                <w:color w:val="2D3517"/>
                <w:sz w:val="18"/>
              </w:rPr>
              <w:t>High-capacity local/tunnel inference producing nuanced 4-5 line briefings with zero API cost.</w:t>
            </w:r>
          </w:p>
        </w:tc>
      </w:tr>
      <w:tr>
        <w:tc>
          <w:tcPr>
            <w:tcW w:type="dxa" w:w="1440"/>
            <w:shd w:fill="FCF9EF"/>
            <w:tcMar>
              <w:top w:w="90" w:type="dxa"/>
              <w:bottom w:w="90" w:type="dxa"/>
              <w:left w:w="140" w:type="dxa"/>
              <w:right w:w="140" w:type="dxa"/>
            </w:tcMar>
          </w:tcPr>
          <w:p>
            <w:pPr>
              <w:jc w:val="left"/>
            </w:pPr>
            <w:r>
              <w:rPr>
                <w:rFonts w:ascii="Calibri" w:hAnsi="Calibri"/>
                <w:color w:val="2D3517"/>
                <w:sz w:val="18"/>
              </w:rPr>
              <w:t>Tier 2 (Secondary)</w:t>
            </w:r>
          </w:p>
        </w:tc>
        <w:tc>
          <w:tcPr>
            <w:tcW w:type="dxa" w:w="2592"/>
            <w:shd w:fill="FCF9EF"/>
            <w:tcMar>
              <w:top w:w="90" w:type="dxa"/>
              <w:bottom w:w="90" w:type="dxa"/>
              <w:left w:w="140" w:type="dxa"/>
              <w:right w:w="140" w:type="dxa"/>
            </w:tcMar>
          </w:tcPr>
          <w:p>
            <w:pPr>
              <w:jc w:val="left"/>
            </w:pPr>
            <w:r>
              <w:rPr>
                <w:rFonts w:ascii="Calibri" w:hAnsi="Calibri"/>
                <w:color w:val="2D3517"/>
                <w:sz w:val="18"/>
              </w:rPr>
              <w:t>OpenRouter Cloud API</w:t>
            </w:r>
          </w:p>
        </w:tc>
        <w:tc>
          <w:tcPr>
            <w:tcW w:type="dxa" w:w="1728"/>
            <w:shd w:fill="FCF9EF"/>
            <w:tcMar>
              <w:top w:w="90" w:type="dxa"/>
              <w:bottom w:w="90" w:type="dxa"/>
              <w:left w:w="140" w:type="dxa"/>
              <w:right w:w="140" w:type="dxa"/>
            </w:tcMar>
          </w:tcPr>
          <w:p>
            <w:pPr>
              <w:jc w:val="left"/>
            </w:pPr>
            <w:r>
              <w:rPr>
                <w:rFonts w:ascii="Calibri" w:hAnsi="Calibri"/>
                <w:color w:val="2D3517"/>
                <w:sz w:val="18"/>
              </w:rPr>
              <w:t>10 seconds</w:t>
            </w:r>
          </w:p>
        </w:tc>
        <w:tc>
          <w:tcPr>
            <w:tcW w:type="dxa" w:w="3600"/>
            <w:shd w:fill="FCF9EF"/>
            <w:tcMar>
              <w:top w:w="90" w:type="dxa"/>
              <w:bottom w:w="90" w:type="dxa"/>
              <w:left w:w="140" w:type="dxa"/>
              <w:right w:w="140" w:type="dxa"/>
            </w:tcMar>
          </w:tcPr>
          <w:p>
            <w:pPr>
              <w:jc w:val="left"/>
            </w:pPr>
            <w:r>
              <w:rPr>
                <w:rFonts w:ascii="Calibri" w:hAnsi="Calibri"/>
                <w:color w:val="2D3517"/>
                <w:sz w:val="18"/>
              </w:rPr>
              <w:t>Cloud failover gateway invoked automatically if Tier 1 experiences tunnel drop or timeout.</w:t>
            </w:r>
          </w:p>
        </w:tc>
      </w:tr>
      <w:tr>
        <w:tc>
          <w:tcPr>
            <w:tcW w:type="dxa" w:w="1440"/>
            <w:shd w:fill="FFFFFF"/>
            <w:tcMar>
              <w:top w:w="90" w:type="dxa"/>
              <w:bottom w:w="90" w:type="dxa"/>
              <w:left w:w="140" w:type="dxa"/>
              <w:right w:w="140" w:type="dxa"/>
            </w:tcMar>
          </w:tcPr>
          <w:p>
            <w:pPr>
              <w:jc w:val="left"/>
            </w:pPr>
            <w:r>
              <w:rPr>
                <w:rFonts w:ascii="Calibri" w:hAnsi="Calibri"/>
                <w:color w:val="2D3517"/>
                <w:sz w:val="18"/>
              </w:rPr>
              <w:t>Tier 3 (Tertiary)</w:t>
            </w:r>
          </w:p>
        </w:tc>
        <w:tc>
          <w:tcPr>
            <w:tcW w:type="dxa" w:w="2592"/>
            <w:shd w:fill="FFFFFF"/>
            <w:tcMar>
              <w:top w:w="90" w:type="dxa"/>
              <w:bottom w:w="90" w:type="dxa"/>
              <w:left w:w="140" w:type="dxa"/>
              <w:right w:w="140" w:type="dxa"/>
            </w:tcMar>
          </w:tcPr>
          <w:p>
            <w:pPr>
              <w:jc w:val="left"/>
            </w:pPr>
            <w:r>
              <w:rPr>
                <w:rFonts w:ascii="Calibri" w:hAnsi="Calibri"/>
                <w:color w:val="2D3517"/>
                <w:sz w:val="18"/>
              </w:rPr>
              <w:t>Deterministic Local Heuristic</w:t>
            </w:r>
          </w:p>
        </w:tc>
        <w:tc>
          <w:tcPr>
            <w:tcW w:type="dxa" w:w="1728"/>
            <w:shd w:fill="FFFFFF"/>
            <w:tcMar>
              <w:top w:w="90" w:type="dxa"/>
              <w:bottom w:w="90" w:type="dxa"/>
              <w:left w:w="140" w:type="dxa"/>
              <w:right w:w="140" w:type="dxa"/>
            </w:tcMar>
          </w:tcPr>
          <w:p>
            <w:pPr>
              <w:jc w:val="left"/>
            </w:pPr>
            <w:r>
              <w:rPr>
                <w:rFonts w:ascii="Calibri" w:hAnsi="Calibri"/>
                <w:color w:val="2D3517"/>
                <w:sz w:val="18"/>
              </w:rPr>
              <w:t>&lt; 50 ms</w:t>
            </w:r>
          </w:p>
        </w:tc>
        <w:tc>
          <w:tcPr>
            <w:tcW w:type="dxa" w:w="3600"/>
            <w:shd w:fill="FFFFFF"/>
            <w:tcMar>
              <w:top w:w="90" w:type="dxa"/>
              <w:bottom w:w="90" w:type="dxa"/>
              <w:left w:w="140" w:type="dxa"/>
              <w:right w:w="140" w:type="dxa"/>
            </w:tcMar>
          </w:tcPr>
          <w:p>
            <w:pPr>
              <w:jc w:val="left"/>
            </w:pPr>
            <w:r>
              <w:rPr>
                <w:rFonts w:ascii="Calibri" w:hAnsi="Calibri"/>
                <w:color w:val="2D3517"/>
                <w:sz w:val="18"/>
              </w:rPr>
              <w:t>Algorithmic lead-sentence extraction running locally. Guarantees 100% synthesis completion.</w:t>
            </w:r>
          </w:p>
        </w:tc>
      </w:tr>
    </w:tbl>
    <w:p>
      <w:pPr>
        <w:pStyle w:val="Heading2"/>
      </w:pPr>
      <w:r>
        <w:t>6.1 Multi-Article Collective Prompt Engineering</w:t>
      </w:r>
    </w:p>
    <w:p>
      <w:r>
        <w:t>Unlike standard summarizers that process single articles in isolation, OSINT-EIP constructs a collective dossier prompt incorporating all member articles belonging to an event. The prompt explicitly instructs the LLM to:</w:t>
        <w:br/>
        <w:br/>
        <w:t>1. Produce a detailed 4-to-5 line executive briefing encompassing all reported developments.</w:t>
        <w:br/>
        <w:t>2. Identify confirmed facts corroborated across multiple independent reporting feeds.</w:t>
        <w:br/>
        <w:t>3. Highlight explicit discrepancies, such as diverging casualty numbers or disputed responsibility.</w:t>
        <w:br/>
        <w:t>4. Assign an operational threat classification category (ATTACK, DRILL, PEACE_DEAL, GEOPOLITICS, AGREEMENT, OTHER_MILITARY).</w:t>
      </w:r>
    </w:p>
    <w:p>
      <w:r>
        <w:br w:type="page"/>
      </w:r>
    </w:p>
    <w:p>
      <w:pPr>
        <w:pStyle w:val="Heading1"/>
      </w:pPr>
      <w:r>
        <w:t>7. RAG Intelligence Assistant &amp; Database Schema</w:t>
      </w:r>
    </w:p>
    <w:p>
      <w:r>
        <w:t>The RAG (Retrieval-Augmented Generation) assistant operates over the ChromaDB vector store. When an analyst asks a question, the query is embedded into a 384-dimensional vector, and top-k event briefings are retrieved via cosine similarity. The LLM synthesizes an analytical answer restricted strictly to retrieved evidence, citing specific Report IDs.</w:t>
      </w:r>
    </w:p>
    <w:p>
      <w:pPr>
        <w:pStyle w:val="Heading2"/>
      </w:pPr>
      <w:r>
        <w:t>7.1 Cloud Database Schema (MongoDB Atlas)</w:t>
      </w:r>
    </w:p>
    <w:tbl>
      <w:tblPr>
        <w:tblW w:type="auto" w:w="0"/>
        <w:jc w:val="center"/>
        <w:tblLook w:firstColumn="1" w:firstRow="1" w:lastColumn="0" w:lastRow="0" w:noHBand="0" w:noVBand="1" w:val="04A0"/>
      </w:tblPr>
      <w:tblGrid>
        <w:gridCol w:w="3120"/>
        <w:gridCol w:w="3120"/>
        <w:gridCol w:w="3120"/>
      </w:tblGrid>
      <w:tr>
        <w:tc>
          <w:tcPr>
            <w:tcW w:type="dxa" w:w="2592"/>
            <w:shd w:fill="FAF6E9"/>
            <w:tcMar>
              <w:top w:w="120" w:type="dxa"/>
              <w:bottom w:w="120" w:type="dxa"/>
              <w:left w:w="140" w:type="dxa"/>
              <w:right w:w="140" w:type="dxa"/>
            </w:tcMar>
          </w:tcPr>
          <w:p>
            <w:pPr>
              <w:jc w:val="left"/>
            </w:pPr>
            <w:r>
              <w:rPr>
                <w:rFonts w:ascii="Calibri" w:hAnsi="Calibri"/>
                <w:b/>
                <w:color w:val="191F0E"/>
                <w:sz w:val="19"/>
              </w:rPr>
              <w:t>Collection Name</w:t>
            </w:r>
          </w:p>
        </w:tc>
        <w:tc>
          <w:tcPr>
            <w:tcW w:type="dxa" w:w="2160"/>
            <w:shd w:fill="FAF6E9"/>
            <w:tcMar>
              <w:top w:w="120" w:type="dxa"/>
              <w:bottom w:w="120" w:type="dxa"/>
              <w:left w:w="140" w:type="dxa"/>
              <w:right w:w="140" w:type="dxa"/>
            </w:tcMar>
          </w:tcPr>
          <w:p>
            <w:pPr>
              <w:jc w:val="left"/>
            </w:pPr>
            <w:r>
              <w:rPr>
                <w:rFonts w:ascii="Calibri" w:hAnsi="Calibri"/>
                <w:b/>
                <w:color w:val="191F0E"/>
                <w:sz w:val="19"/>
              </w:rPr>
              <w:t>Indexed Fields</w:t>
            </w:r>
          </w:p>
        </w:tc>
        <w:tc>
          <w:tcPr>
            <w:tcW w:type="dxa" w:w="4608"/>
            <w:shd w:fill="FAF6E9"/>
            <w:tcMar>
              <w:top w:w="120" w:type="dxa"/>
              <w:bottom w:w="120" w:type="dxa"/>
              <w:left w:w="140" w:type="dxa"/>
              <w:right w:w="140" w:type="dxa"/>
            </w:tcMar>
          </w:tcPr>
          <w:p>
            <w:pPr>
              <w:jc w:val="left"/>
            </w:pPr>
            <w:r>
              <w:rPr>
                <w:rFonts w:ascii="Calibri" w:hAnsi="Calibri"/>
                <w:b/>
                <w:color w:val="191F0E"/>
                <w:sz w:val="19"/>
              </w:rPr>
              <w:t>Document Structure &amp; Storage Purpose</w:t>
            </w:r>
          </w:p>
        </w:tc>
      </w:tr>
      <w:tr>
        <w:tc>
          <w:tcPr>
            <w:tcW w:type="dxa" w:w="2592"/>
            <w:shd w:fill="FFFFFF"/>
            <w:tcMar>
              <w:top w:w="90" w:type="dxa"/>
              <w:bottom w:w="90" w:type="dxa"/>
              <w:left w:w="140" w:type="dxa"/>
              <w:right w:w="140" w:type="dxa"/>
            </w:tcMar>
          </w:tcPr>
          <w:p>
            <w:pPr>
              <w:jc w:val="left"/>
            </w:pPr>
            <w:r>
              <w:rPr>
                <w:rFonts w:ascii="Calibri" w:hAnsi="Calibri"/>
                <w:color w:val="2D3517"/>
                <w:sz w:val="18"/>
              </w:rPr>
              <w:t>sources</w:t>
            </w:r>
          </w:p>
        </w:tc>
        <w:tc>
          <w:tcPr>
            <w:tcW w:type="dxa" w:w="2160"/>
            <w:shd w:fill="FFFFFF"/>
            <w:tcMar>
              <w:top w:w="90" w:type="dxa"/>
              <w:bottom w:w="90" w:type="dxa"/>
              <w:left w:w="140" w:type="dxa"/>
              <w:right w:w="140" w:type="dxa"/>
            </w:tcMar>
          </w:tcPr>
          <w:p>
            <w:pPr>
              <w:jc w:val="left"/>
            </w:pPr>
            <w:r>
              <w:rPr>
                <w:rFonts w:ascii="Calibri" w:hAnsi="Calibri"/>
                <w:color w:val="2D3517"/>
                <w:sz w:val="18"/>
              </w:rPr>
              <w:t>id (unique), active, type</w:t>
            </w:r>
          </w:p>
        </w:tc>
        <w:tc>
          <w:tcPr>
            <w:tcW w:type="dxa" w:w="4608"/>
            <w:shd w:fill="FFFFFF"/>
            <w:tcMar>
              <w:top w:w="90" w:type="dxa"/>
              <w:bottom w:w="90" w:type="dxa"/>
              <w:left w:w="140" w:type="dxa"/>
              <w:right w:w="140" w:type="dxa"/>
            </w:tcMar>
          </w:tcPr>
          <w:p>
            <w:pPr>
              <w:jc w:val="left"/>
            </w:pPr>
            <w:r>
              <w:rPr>
                <w:rFonts w:ascii="Calibri" w:hAnsi="Calibri"/>
                <w:color w:val="2D3517"/>
                <w:sz w:val="18"/>
              </w:rPr>
              <w:t>Stores monitored RSS/API news wire feeds. PRESERVED across database cleanings.</w:t>
            </w:r>
          </w:p>
        </w:tc>
      </w:tr>
      <w:tr>
        <w:tc>
          <w:tcPr>
            <w:tcW w:type="dxa" w:w="2592"/>
            <w:shd w:fill="FCF9EF"/>
            <w:tcMar>
              <w:top w:w="90" w:type="dxa"/>
              <w:bottom w:w="90" w:type="dxa"/>
              <w:left w:w="140" w:type="dxa"/>
              <w:right w:w="140" w:type="dxa"/>
            </w:tcMar>
          </w:tcPr>
          <w:p>
            <w:pPr>
              <w:jc w:val="left"/>
            </w:pPr>
            <w:r>
              <w:rPr>
                <w:rFonts w:ascii="Calibri" w:hAnsi="Calibri"/>
                <w:color w:val="2D3517"/>
                <w:sz w:val="18"/>
              </w:rPr>
              <w:t>articles</w:t>
            </w:r>
          </w:p>
        </w:tc>
        <w:tc>
          <w:tcPr>
            <w:tcW w:type="dxa" w:w="2160"/>
            <w:shd w:fill="FCF9EF"/>
            <w:tcMar>
              <w:top w:w="90" w:type="dxa"/>
              <w:bottom w:w="90" w:type="dxa"/>
              <w:left w:w="140" w:type="dxa"/>
              <w:right w:w="140" w:type="dxa"/>
            </w:tcMar>
          </w:tcPr>
          <w:p>
            <w:pPr>
              <w:jc w:val="left"/>
            </w:pPr>
            <w:r>
              <w:rPr>
                <w:rFonts w:ascii="Calibri" w:hAnsi="Calibri"/>
                <w:color w:val="2D3517"/>
                <w:sz w:val="18"/>
              </w:rPr>
              <w:t>id (unique), url_hash (unique)</w:t>
            </w:r>
          </w:p>
        </w:tc>
        <w:tc>
          <w:tcPr>
            <w:tcW w:type="dxa" w:w="4608"/>
            <w:shd w:fill="FCF9EF"/>
            <w:tcMar>
              <w:top w:w="90" w:type="dxa"/>
              <w:bottom w:w="90" w:type="dxa"/>
              <w:left w:w="140" w:type="dxa"/>
              <w:right w:w="140" w:type="dxa"/>
            </w:tcMar>
          </w:tcPr>
          <w:p>
            <w:pPr>
              <w:jc w:val="left"/>
            </w:pPr>
            <w:r>
              <w:rPr>
                <w:rFonts w:ascii="Calibri" w:hAnsi="Calibri"/>
                <w:color w:val="2D3517"/>
                <w:sz w:val="18"/>
              </w:rPr>
              <w:t>Stores sanitized defense news stories, 384-d vectors, spaCy entities, and timestamps.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events</w:t>
            </w:r>
          </w:p>
        </w:tc>
        <w:tc>
          <w:tcPr>
            <w:tcW w:type="dxa" w:w="2160"/>
            <w:shd w:fill="FFFFFF"/>
            <w:tcMar>
              <w:top w:w="90" w:type="dxa"/>
              <w:bottom w:w="90" w:type="dxa"/>
              <w:left w:w="140" w:type="dxa"/>
              <w:right w:w="140" w:type="dxa"/>
            </w:tcMar>
          </w:tcPr>
          <w:p>
            <w:pPr>
              <w:jc w:val="left"/>
            </w:pPr>
            <w:r>
              <w:rPr>
                <w:rFonts w:ascii="Calibri" w:hAnsi="Calibri"/>
                <w:color w:val="2D3517"/>
                <w:sz w:val="18"/>
              </w:rPr>
              <w:t>id (unique), category, latest_at</w:t>
            </w:r>
          </w:p>
        </w:tc>
        <w:tc>
          <w:tcPr>
            <w:tcW w:type="dxa" w:w="4608"/>
            <w:shd w:fill="FFFFFF"/>
            <w:tcMar>
              <w:top w:w="90" w:type="dxa"/>
              <w:bottom w:w="90" w:type="dxa"/>
              <w:left w:w="140" w:type="dxa"/>
              <w:right w:w="140" w:type="dxa"/>
            </w:tcMar>
          </w:tcPr>
          <w:p>
            <w:pPr>
              <w:jc w:val="left"/>
            </w:pPr>
            <w:r>
              <w:rPr>
                <w:rFonts w:ascii="Calibri" w:hAnsi="Calibri"/>
                <w:color w:val="2D3517"/>
                <w:sz w:val="18"/>
              </w:rPr>
              <w:t>Stores clustered multi-article events, 4-5 line collective briefings, claims, and member IDs.</w:t>
            </w:r>
          </w:p>
        </w:tc>
      </w:tr>
      <w:tr>
        <w:tc>
          <w:tcPr>
            <w:tcW w:type="dxa" w:w="2592"/>
            <w:shd w:fill="FCF9EF"/>
            <w:tcMar>
              <w:top w:w="90" w:type="dxa"/>
              <w:bottom w:w="90" w:type="dxa"/>
              <w:left w:w="140" w:type="dxa"/>
              <w:right w:w="140" w:type="dxa"/>
            </w:tcMar>
          </w:tcPr>
          <w:p>
            <w:pPr>
              <w:jc w:val="left"/>
            </w:pPr>
            <w:r>
              <w:rPr>
                <w:rFonts w:ascii="Calibri" w:hAnsi="Calibri"/>
                <w:color w:val="2D3517"/>
                <w:sz w:val="18"/>
              </w:rPr>
              <w:t>pipeline_logs</w:t>
            </w:r>
          </w:p>
        </w:tc>
        <w:tc>
          <w:tcPr>
            <w:tcW w:type="dxa" w:w="2160"/>
            <w:shd w:fill="FCF9EF"/>
            <w:tcMar>
              <w:top w:w="90" w:type="dxa"/>
              <w:bottom w:w="90" w:type="dxa"/>
              <w:left w:w="140" w:type="dxa"/>
              <w:right w:w="140" w:type="dxa"/>
            </w:tcMar>
          </w:tcPr>
          <w:p>
            <w:pPr>
              <w:jc w:val="left"/>
            </w:pPr>
            <w:r>
              <w:rPr>
                <w:rFonts w:ascii="Calibri" w:hAnsi="Calibri"/>
                <w:color w:val="2D3517"/>
                <w:sz w:val="18"/>
              </w:rPr>
              <w:t>run_id (unique), started_at</w:t>
            </w:r>
          </w:p>
        </w:tc>
        <w:tc>
          <w:tcPr>
            <w:tcW w:type="dxa" w:w="4608"/>
            <w:shd w:fill="FCF9EF"/>
            <w:tcMar>
              <w:top w:w="90" w:type="dxa"/>
              <w:bottom w:w="90" w:type="dxa"/>
              <w:left w:w="140" w:type="dxa"/>
              <w:right w:w="140" w:type="dxa"/>
            </w:tcMar>
          </w:tcPr>
          <w:p>
            <w:pPr>
              <w:jc w:val="left"/>
            </w:pPr>
            <w:r>
              <w:rPr>
                <w:rFonts w:ascii="Calibri" w:hAnsi="Calibri"/>
                <w:color w:val="2D3517"/>
                <w:sz w:val="18"/>
              </w:rPr>
              <w:t>Stores phase-by-phase execution telemetry, item counts, error logs, and run durations.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rag_chat_logs</w:t>
            </w:r>
          </w:p>
        </w:tc>
        <w:tc>
          <w:tcPr>
            <w:tcW w:type="dxa" w:w="2160"/>
            <w:shd w:fill="FFFFFF"/>
            <w:tcMar>
              <w:top w:w="90" w:type="dxa"/>
              <w:bottom w:w="90" w:type="dxa"/>
              <w:left w:w="140" w:type="dxa"/>
              <w:right w:w="140" w:type="dxa"/>
            </w:tcMar>
          </w:tcPr>
          <w:p>
            <w:pPr>
              <w:jc w:val="left"/>
            </w:pPr>
            <w:r>
              <w:rPr>
                <w:rFonts w:ascii="Calibri" w:hAnsi="Calibri"/>
                <w:color w:val="2D3517"/>
                <w:sz w:val="18"/>
              </w:rPr>
              <w:t>session_id, created_at</w:t>
            </w:r>
          </w:p>
        </w:tc>
        <w:tc>
          <w:tcPr>
            <w:tcW w:type="dxa" w:w="4608"/>
            <w:shd w:fill="FFFFFF"/>
            <w:tcMar>
              <w:top w:w="90" w:type="dxa"/>
              <w:bottom w:w="90" w:type="dxa"/>
              <w:left w:w="140" w:type="dxa"/>
              <w:right w:w="140" w:type="dxa"/>
            </w:tcMar>
          </w:tcPr>
          <w:p>
            <w:pPr>
              <w:jc w:val="left"/>
            </w:pPr>
            <w:r>
              <w:rPr>
                <w:rFonts w:ascii="Calibri" w:hAnsi="Calibri"/>
                <w:color w:val="2D3517"/>
                <w:sz w:val="18"/>
              </w:rPr>
              <w:t>Stores analyst questions, synthesized answers, citations, and model provenance tags.</w:t>
            </w:r>
          </w:p>
        </w:tc>
      </w:tr>
    </w:tbl>
    <w:p>
      <w:r>
        <w:br w:type="page"/>
      </w:r>
    </w:p>
    <w:p>
      <w:pPr>
        <w:pStyle w:val="Heading1"/>
      </w:pPr>
      <w:r>
        <w:t>8. Editorial Design System &amp; Client Theme Tokens</w:t>
      </w:r>
    </w:p>
    <w:p>
      <w:r>
        <w:t>The user interface is designed to evoke a calm, editorial, research-oriented intelligence platform. It eliminates flashy neon borders, excessive card containers, and unnecessary widgets. Per project specifications, geographic map visualizations were intentionally removed.</w:t>
      </w:r>
    </w:p>
    <w:tbl>
      <w:tblPr>
        <w:tblW w:type="auto" w:w="0"/>
        <w:jc w:val="center"/>
        <w:tblLook w:firstColumn="1" w:firstRow="1" w:lastColumn="0" w:lastRow="0" w:noHBand="0" w:noVBand="1" w:val="04A0"/>
      </w:tblPr>
      <w:tblGrid>
        <w:gridCol w:w="3120"/>
        <w:gridCol w:w="3120"/>
        <w:gridCol w:w="3120"/>
      </w:tblGrid>
      <w:tr>
        <w:tc>
          <w:tcPr>
            <w:tcW w:type="dxa" w:w="2592"/>
            <w:shd w:fill="FAF6E9"/>
            <w:tcMar>
              <w:top w:w="120" w:type="dxa"/>
              <w:bottom w:w="120" w:type="dxa"/>
              <w:left w:w="140" w:type="dxa"/>
              <w:right w:w="140" w:type="dxa"/>
            </w:tcMar>
          </w:tcPr>
          <w:p>
            <w:pPr>
              <w:jc w:val="left"/>
            </w:pPr>
            <w:r>
              <w:rPr>
                <w:rFonts w:ascii="Calibri" w:hAnsi="Calibri"/>
                <w:b/>
                <w:color w:val="191F0E"/>
                <w:sz w:val="19"/>
              </w:rPr>
              <w:t>Design Token</w:t>
            </w:r>
          </w:p>
        </w:tc>
        <w:tc>
          <w:tcPr>
            <w:tcW w:type="dxa" w:w="2016"/>
            <w:shd w:fill="FAF6E9"/>
            <w:tcMar>
              <w:top w:w="120" w:type="dxa"/>
              <w:bottom w:w="120" w:type="dxa"/>
              <w:left w:w="140" w:type="dxa"/>
              <w:right w:w="140" w:type="dxa"/>
            </w:tcMar>
          </w:tcPr>
          <w:p>
            <w:pPr>
              <w:jc w:val="left"/>
            </w:pPr>
            <w:r>
              <w:rPr>
                <w:rFonts w:ascii="Calibri" w:hAnsi="Calibri"/>
                <w:b/>
                <w:color w:val="191F0E"/>
                <w:sz w:val="19"/>
              </w:rPr>
              <w:t>Color Value (Hex)</w:t>
            </w:r>
          </w:p>
        </w:tc>
        <w:tc>
          <w:tcPr>
            <w:tcW w:type="dxa" w:w="4752"/>
            <w:shd w:fill="FAF6E9"/>
            <w:tcMar>
              <w:top w:w="120" w:type="dxa"/>
              <w:bottom w:w="120" w:type="dxa"/>
              <w:left w:w="140" w:type="dxa"/>
              <w:right w:w="140" w:type="dxa"/>
            </w:tcMar>
          </w:tcPr>
          <w:p>
            <w:pPr>
              <w:jc w:val="left"/>
            </w:pPr>
            <w:r>
              <w:rPr>
                <w:rFonts w:ascii="Calibri" w:hAnsi="Calibri"/>
                <w:b/>
                <w:color w:val="191F0E"/>
                <w:sz w:val="19"/>
              </w:rPr>
              <w:t>Applied UI Context &amp; Component Usage</w:t>
            </w:r>
          </w:p>
        </w:tc>
      </w:tr>
      <w:tr>
        <w:tc>
          <w:tcPr>
            <w:tcW w:type="dxa" w:w="2592"/>
            <w:shd w:fill="FFFFFF"/>
            <w:tcMar>
              <w:top w:w="90" w:type="dxa"/>
              <w:bottom w:w="90" w:type="dxa"/>
              <w:left w:w="140" w:type="dxa"/>
              <w:right w:w="140" w:type="dxa"/>
            </w:tcMar>
          </w:tcPr>
          <w:p>
            <w:pPr>
              <w:jc w:val="left"/>
            </w:pPr>
            <w:r>
              <w:rPr>
                <w:rFonts w:ascii="Calibri" w:hAnsi="Calibri"/>
                <w:color w:val="2D3517"/>
                <w:sz w:val="18"/>
              </w:rPr>
              <w:t>Matcha Cream (Primary)</w:t>
            </w:r>
          </w:p>
        </w:tc>
        <w:tc>
          <w:tcPr>
            <w:tcW w:type="dxa" w:w="2016"/>
            <w:shd w:fill="FFFFFF"/>
            <w:tcMar>
              <w:top w:w="90" w:type="dxa"/>
              <w:bottom w:w="90" w:type="dxa"/>
              <w:left w:w="140" w:type="dxa"/>
              <w:right w:w="140" w:type="dxa"/>
            </w:tcMar>
          </w:tcPr>
          <w:p>
            <w:pPr>
              <w:jc w:val="left"/>
            </w:pPr>
            <w:r>
              <w:rPr>
                <w:rFonts w:ascii="Calibri" w:hAnsi="Calibri"/>
                <w:color w:val="2D3517"/>
                <w:sz w:val="18"/>
              </w:rPr>
              <w:t>#9CA764</w:t>
            </w:r>
          </w:p>
        </w:tc>
        <w:tc>
          <w:tcPr>
            <w:tcW w:type="dxa" w:w="4752"/>
            <w:shd w:fill="FFFFFF"/>
            <w:tcMar>
              <w:top w:w="90" w:type="dxa"/>
              <w:bottom w:w="90" w:type="dxa"/>
              <w:left w:w="140" w:type="dxa"/>
              <w:right w:w="140" w:type="dxa"/>
            </w:tcMar>
          </w:tcPr>
          <w:p>
            <w:pPr>
              <w:jc w:val="left"/>
            </w:pPr>
            <w:r>
              <w:rPr>
                <w:rFonts w:ascii="Calibri" w:hAnsi="Calibri"/>
                <w:color w:val="2D3517"/>
                <w:sz w:val="18"/>
              </w:rPr>
              <w:t>Primary action buttons, active navigation indicators, status badges, and subtle focus rings.</w:t>
            </w:r>
          </w:p>
        </w:tc>
      </w:tr>
      <w:tr>
        <w:tc>
          <w:tcPr>
            <w:tcW w:type="dxa" w:w="2592"/>
            <w:shd w:fill="FCF9EF"/>
            <w:tcMar>
              <w:top w:w="90" w:type="dxa"/>
              <w:bottom w:w="90" w:type="dxa"/>
              <w:left w:w="140" w:type="dxa"/>
              <w:right w:w="140" w:type="dxa"/>
            </w:tcMar>
          </w:tcPr>
          <w:p>
            <w:pPr>
              <w:jc w:val="left"/>
            </w:pPr>
            <w:r>
              <w:rPr>
                <w:rFonts w:ascii="Calibri" w:hAnsi="Calibri"/>
                <w:color w:val="2D3517"/>
                <w:sz w:val="18"/>
              </w:rPr>
              <w:t>Matcha Hover</w:t>
            </w:r>
          </w:p>
        </w:tc>
        <w:tc>
          <w:tcPr>
            <w:tcW w:type="dxa" w:w="2016"/>
            <w:shd w:fill="FCF9EF"/>
            <w:tcMar>
              <w:top w:w="90" w:type="dxa"/>
              <w:bottom w:w="90" w:type="dxa"/>
              <w:left w:w="140" w:type="dxa"/>
              <w:right w:w="140" w:type="dxa"/>
            </w:tcMar>
          </w:tcPr>
          <w:p>
            <w:pPr>
              <w:jc w:val="left"/>
            </w:pPr>
            <w:r>
              <w:rPr>
                <w:rFonts w:ascii="Calibri" w:hAnsi="Calibri"/>
                <w:color w:val="2D3517"/>
                <w:sz w:val="18"/>
              </w:rPr>
              <w:t>#8B9654</w:t>
            </w:r>
          </w:p>
        </w:tc>
        <w:tc>
          <w:tcPr>
            <w:tcW w:type="dxa" w:w="4752"/>
            <w:shd w:fill="FCF9EF"/>
            <w:tcMar>
              <w:top w:w="90" w:type="dxa"/>
              <w:bottom w:w="90" w:type="dxa"/>
              <w:left w:w="140" w:type="dxa"/>
              <w:right w:w="140" w:type="dxa"/>
            </w:tcMar>
          </w:tcPr>
          <w:p>
            <w:pPr>
              <w:jc w:val="left"/>
            </w:pPr>
            <w:r>
              <w:rPr>
                <w:rFonts w:ascii="Calibri" w:hAnsi="Calibri"/>
                <w:color w:val="2D3517"/>
                <w:sz w:val="18"/>
              </w:rPr>
              <w:t>Hover state for primary action buttons and interactive chips.</w:t>
            </w:r>
          </w:p>
        </w:tc>
      </w:tr>
      <w:tr>
        <w:tc>
          <w:tcPr>
            <w:tcW w:type="dxa" w:w="2592"/>
            <w:shd w:fill="FFFFFF"/>
            <w:tcMar>
              <w:top w:w="90" w:type="dxa"/>
              <w:bottom w:w="90" w:type="dxa"/>
              <w:left w:w="140" w:type="dxa"/>
              <w:right w:w="140" w:type="dxa"/>
            </w:tcMar>
          </w:tcPr>
          <w:p>
            <w:pPr>
              <w:jc w:val="left"/>
            </w:pPr>
            <w:r>
              <w:rPr>
                <w:rFonts w:ascii="Calibri" w:hAnsi="Calibri"/>
                <w:color w:val="2D3517"/>
                <w:sz w:val="18"/>
              </w:rPr>
              <w:t>Milky Honey (Surface)</w:t>
            </w:r>
          </w:p>
        </w:tc>
        <w:tc>
          <w:tcPr>
            <w:tcW w:type="dxa" w:w="2016"/>
            <w:shd w:fill="FFFFFF"/>
            <w:tcMar>
              <w:top w:w="90" w:type="dxa"/>
              <w:bottom w:w="90" w:type="dxa"/>
              <w:left w:w="140" w:type="dxa"/>
              <w:right w:w="140" w:type="dxa"/>
            </w:tcMar>
          </w:tcPr>
          <w:p>
            <w:pPr>
              <w:jc w:val="left"/>
            </w:pPr>
            <w:r>
              <w:rPr>
                <w:rFonts w:ascii="Calibri" w:hAnsi="Calibri"/>
                <w:color w:val="2D3517"/>
                <w:sz w:val="18"/>
              </w:rPr>
              <w:t>#F1E8C7</w:t>
            </w:r>
          </w:p>
        </w:tc>
        <w:tc>
          <w:tcPr>
            <w:tcW w:type="dxa" w:w="4752"/>
            <w:shd w:fill="FFFFFF"/>
            <w:tcMar>
              <w:top w:w="90" w:type="dxa"/>
              <w:bottom w:w="90" w:type="dxa"/>
              <w:left w:w="140" w:type="dxa"/>
              <w:right w:w="140" w:type="dxa"/>
            </w:tcMar>
          </w:tcPr>
          <w:p>
            <w:pPr>
              <w:jc w:val="left"/>
            </w:pPr>
            <w:r>
              <w:rPr>
                <w:rFonts w:ascii="Calibri" w:hAnsi="Calibri"/>
                <w:color w:val="2D3517"/>
                <w:sz w:val="18"/>
              </w:rPr>
              <w:t>Dominant Light Mode page background and large structural surface areas.</w:t>
            </w:r>
          </w:p>
        </w:tc>
      </w:tr>
      <w:tr>
        <w:tc>
          <w:tcPr>
            <w:tcW w:type="dxa" w:w="2592"/>
            <w:shd w:fill="FCF9EF"/>
            <w:tcMar>
              <w:top w:w="90" w:type="dxa"/>
              <w:bottom w:w="90" w:type="dxa"/>
              <w:left w:w="140" w:type="dxa"/>
              <w:right w:w="140" w:type="dxa"/>
            </w:tcMar>
          </w:tcPr>
          <w:p>
            <w:pPr>
              <w:jc w:val="left"/>
            </w:pPr>
            <w:r>
              <w:rPr>
                <w:rFonts w:ascii="Calibri" w:hAnsi="Calibri"/>
                <w:color w:val="2D3517"/>
                <w:sz w:val="18"/>
              </w:rPr>
              <w:t>Honey Soft Panel</w:t>
            </w:r>
          </w:p>
        </w:tc>
        <w:tc>
          <w:tcPr>
            <w:tcW w:type="dxa" w:w="2016"/>
            <w:shd w:fill="FCF9EF"/>
            <w:tcMar>
              <w:top w:w="90" w:type="dxa"/>
              <w:bottom w:w="90" w:type="dxa"/>
              <w:left w:w="140" w:type="dxa"/>
              <w:right w:w="140" w:type="dxa"/>
            </w:tcMar>
          </w:tcPr>
          <w:p>
            <w:pPr>
              <w:jc w:val="left"/>
            </w:pPr>
            <w:r>
              <w:rPr>
                <w:rFonts w:ascii="Calibri" w:hAnsi="Calibri"/>
                <w:color w:val="2D3517"/>
                <w:sz w:val="18"/>
              </w:rPr>
              <w:t>#FAF6E9</w:t>
            </w:r>
          </w:p>
        </w:tc>
        <w:tc>
          <w:tcPr>
            <w:tcW w:type="dxa" w:w="4752"/>
            <w:shd w:fill="FCF9EF"/>
            <w:tcMar>
              <w:top w:w="90" w:type="dxa"/>
              <w:bottom w:w="90" w:type="dxa"/>
              <w:left w:w="140" w:type="dxa"/>
              <w:right w:w="140" w:type="dxa"/>
            </w:tcMar>
          </w:tcPr>
          <w:p>
            <w:pPr>
              <w:jc w:val="left"/>
            </w:pPr>
            <w:r>
              <w:rPr>
                <w:rFonts w:ascii="Calibri" w:hAnsi="Calibri"/>
                <w:color w:val="2D3517"/>
                <w:sz w:val="18"/>
              </w:rPr>
              <w:t>Card containers, table headers, and modal backgrounds in Light Mode.</w:t>
            </w:r>
          </w:p>
        </w:tc>
      </w:tr>
      <w:tr>
        <w:tc>
          <w:tcPr>
            <w:tcW w:type="dxa" w:w="2592"/>
            <w:shd w:fill="FFFFFF"/>
            <w:tcMar>
              <w:top w:w="90" w:type="dxa"/>
              <w:bottom w:w="90" w:type="dxa"/>
              <w:left w:w="140" w:type="dxa"/>
              <w:right w:w="140" w:type="dxa"/>
            </w:tcMar>
          </w:tcPr>
          <w:p>
            <w:pPr>
              <w:jc w:val="left"/>
            </w:pPr>
            <w:r>
              <w:rPr>
                <w:rFonts w:ascii="Calibri" w:hAnsi="Calibri"/>
                <w:color w:val="2D3517"/>
                <w:sz w:val="18"/>
              </w:rPr>
              <w:t>Honey Neutral Border</w:t>
            </w:r>
          </w:p>
        </w:tc>
        <w:tc>
          <w:tcPr>
            <w:tcW w:type="dxa" w:w="2016"/>
            <w:shd w:fill="FFFFFF"/>
            <w:tcMar>
              <w:top w:w="90" w:type="dxa"/>
              <w:bottom w:w="90" w:type="dxa"/>
              <w:left w:w="140" w:type="dxa"/>
              <w:right w:w="140" w:type="dxa"/>
            </w:tcMar>
          </w:tcPr>
          <w:p>
            <w:pPr>
              <w:jc w:val="left"/>
            </w:pPr>
            <w:r>
              <w:rPr>
                <w:rFonts w:ascii="Calibri" w:hAnsi="Calibri"/>
                <w:color w:val="2D3517"/>
                <w:sz w:val="18"/>
              </w:rPr>
              <w:t>#DDD2A8</w:t>
            </w:r>
          </w:p>
        </w:tc>
        <w:tc>
          <w:tcPr>
            <w:tcW w:type="dxa" w:w="4752"/>
            <w:shd w:fill="FFFFFF"/>
            <w:tcMar>
              <w:top w:w="90" w:type="dxa"/>
              <w:bottom w:w="90" w:type="dxa"/>
              <w:left w:w="140" w:type="dxa"/>
              <w:right w:w="140" w:type="dxa"/>
            </w:tcMar>
          </w:tcPr>
          <w:p>
            <w:pPr>
              <w:jc w:val="left"/>
            </w:pPr>
            <w:r>
              <w:rPr>
                <w:rFonts w:ascii="Calibri" w:hAnsi="Calibri"/>
                <w:color w:val="2D3517"/>
                <w:sz w:val="18"/>
              </w:rPr>
              <w:t>Structural dividers, table borders, and card outlines in Light Mode.</w:t>
            </w:r>
          </w:p>
        </w:tc>
      </w:tr>
      <w:tr>
        <w:tc>
          <w:tcPr>
            <w:tcW w:type="dxa" w:w="2592"/>
            <w:shd w:fill="FCF9EF"/>
            <w:tcMar>
              <w:top w:w="90" w:type="dxa"/>
              <w:bottom w:w="90" w:type="dxa"/>
              <w:left w:w="140" w:type="dxa"/>
              <w:right w:w="140" w:type="dxa"/>
            </w:tcMar>
          </w:tcPr>
          <w:p>
            <w:pPr>
              <w:jc w:val="left"/>
            </w:pPr>
            <w:r>
              <w:rPr>
                <w:rFonts w:ascii="Calibri" w:hAnsi="Calibri"/>
                <w:color w:val="2D3517"/>
                <w:sz w:val="18"/>
              </w:rPr>
              <w:t>Dark Olive-Charcoal</w:t>
            </w:r>
          </w:p>
        </w:tc>
        <w:tc>
          <w:tcPr>
            <w:tcW w:type="dxa" w:w="2016"/>
            <w:shd w:fill="FCF9EF"/>
            <w:tcMar>
              <w:top w:w="90" w:type="dxa"/>
              <w:bottom w:w="90" w:type="dxa"/>
              <w:left w:w="140" w:type="dxa"/>
              <w:right w:w="140" w:type="dxa"/>
            </w:tcMar>
          </w:tcPr>
          <w:p>
            <w:pPr>
              <w:jc w:val="left"/>
            </w:pPr>
            <w:r>
              <w:rPr>
                <w:rFonts w:ascii="Calibri" w:hAnsi="Calibri"/>
                <w:color w:val="2D3517"/>
                <w:sz w:val="18"/>
              </w:rPr>
              <w:t>#161912</w:t>
            </w:r>
          </w:p>
        </w:tc>
        <w:tc>
          <w:tcPr>
            <w:tcW w:type="dxa" w:w="4752"/>
            <w:shd w:fill="FCF9EF"/>
            <w:tcMar>
              <w:top w:w="90" w:type="dxa"/>
              <w:bottom w:w="90" w:type="dxa"/>
              <w:left w:w="140" w:type="dxa"/>
              <w:right w:w="140" w:type="dxa"/>
            </w:tcMar>
          </w:tcPr>
          <w:p>
            <w:pPr>
              <w:jc w:val="left"/>
            </w:pPr>
            <w:r>
              <w:rPr>
                <w:rFonts w:ascii="Calibri" w:hAnsi="Calibri"/>
                <w:color w:val="2D3517"/>
                <w:sz w:val="18"/>
              </w:rPr>
              <w:t>Dominant Dark Mode page background. Deep warm olive tone derived from palette.</w:t>
            </w:r>
          </w:p>
        </w:tc>
      </w:tr>
      <w:tr>
        <w:tc>
          <w:tcPr>
            <w:tcW w:type="dxa" w:w="2592"/>
            <w:shd w:fill="FFFFFF"/>
            <w:tcMar>
              <w:top w:w="90" w:type="dxa"/>
              <w:bottom w:w="90" w:type="dxa"/>
              <w:left w:w="140" w:type="dxa"/>
              <w:right w:w="140" w:type="dxa"/>
            </w:tcMar>
          </w:tcPr>
          <w:p>
            <w:pPr>
              <w:jc w:val="left"/>
            </w:pPr>
            <w:r>
              <w:rPr>
                <w:rFonts w:ascii="Calibri" w:hAnsi="Calibri"/>
                <w:color w:val="2D3517"/>
                <w:sz w:val="18"/>
              </w:rPr>
              <w:t>Dark Warm Surface</w:t>
            </w:r>
          </w:p>
        </w:tc>
        <w:tc>
          <w:tcPr>
            <w:tcW w:type="dxa" w:w="2016"/>
            <w:shd w:fill="FFFFFF"/>
            <w:tcMar>
              <w:top w:w="90" w:type="dxa"/>
              <w:bottom w:w="90" w:type="dxa"/>
              <w:left w:w="140" w:type="dxa"/>
              <w:right w:w="140" w:type="dxa"/>
            </w:tcMar>
          </w:tcPr>
          <w:p>
            <w:pPr>
              <w:jc w:val="left"/>
            </w:pPr>
            <w:r>
              <w:rPr>
                <w:rFonts w:ascii="Calibri" w:hAnsi="Calibri"/>
                <w:color w:val="2D3517"/>
                <w:sz w:val="18"/>
              </w:rPr>
              <w:t>#1F241A</w:t>
            </w:r>
          </w:p>
        </w:tc>
        <w:tc>
          <w:tcPr>
            <w:tcW w:type="dxa" w:w="4752"/>
            <w:shd w:fill="FFFFFF"/>
            <w:tcMar>
              <w:top w:w="90" w:type="dxa"/>
              <w:bottom w:w="90" w:type="dxa"/>
              <w:left w:w="140" w:type="dxa"/>
              <w:right w:w="140" w:type="dxa"/>
            </w:tcMar>
          </w:tcPr>
          <w:p>
            <w:pPr>
              <w:jc w:val="left"/>
            </w:pPr>
            <w:r>
              <w:rPr>
                <w:rFonts w:ascii="Calibri" w:hAnsi="Calibri"/>
                <w:color w:val="2D3517"/>
                <w:sz w:val="18"/>
              </w:rPr>
              <w:t>Card panels, navigation bar, and table containers in Dark Mode.</w:t>
            </w:r>
          </w:p>
        </w:tc>
      </w:tr>
      <w:tr>
        <w:tc>
          <w:tcPr>
            <w:tcW w:type="dxa" w:w="2592"/>
            <w:shd w:fill="FCF9EF"/>
            <w:tcMar>
              <w:top w:w="90" w:type="dxa"/>
              <w:bottom w:w="90" w:type="dxa"/>
              <w:left w:w="140" w:type="dxa"/>
              <w:right w:w="140" w:type="dxa"/>
            </w:tcMar>
          </w:tcPr>
          <w:p>
            <w:pPr>
              <w:jc w:val="left"/>
            </w:pPr>
            <w:r>
              <w:rPr>
                <w:rFonts w:ascii="Calibri" w:hAnsi="Calibri"/>
                <w:color w:val="2D3517"/>
                <w:sz w:val="18"/>
              </w:rPr>
              <w:t>Dark Border Token</w:t>
            </w:r>
          </w:p>
        </w:tc>
        <w:tc>
          <w:tcPr>
            <w:tcW w:type="dxa" w:w="2016"/>
            <w:shd w:fill="FCF9EF"/>
            <w:tcMar>
              <w:top w:w="90" w:type="dxa"/>
              <w:bottom w:w="90" w:type="dxa"/>
              <w:left w:w="140" w:type="dxa"/>
              <w:right w:w="140" w:type="dxa"/>
            </w:tcMar>
          </w:tcPr>
          <w:p>
            <w:pPr>
              <w:jc w:val="left"/>
            </w:pPr>
            <w:r>
              <w:rPr>
                <w:rFonts w:ascii="Calibri" w:hAnsi="Calibri"/>
                <w:color w:val="2D3517"/>
                <w:sz w:val="18"/>
              </w:rPr>
              <w:t>#343B2A</w:t>
            </w:r>
          </w:p>
        </w:tc>
        <w:tc>
          <w:tcPr>
            <w:tcW w:type="dxa" w:w="4752"/>
            <w:shd w:fill="FCF9EF"/>
            <w:tcMar>
              <w:top w:w="90" w:type="dxa"/>
              <w:bottom w:w="90" w:type="dxa"/>
              <w:left w:w="140" w:type="dxa"/>
              <w:right w:w="140" w:type="dxa"/>
            </w:tcMar>
          </w:tcPr>
          <w:p>
            <w:pPr>
              <w:jc w:val="left"/>
            </w:pPr>
            <w:r>
              <w:rPr>
                <w:rFonts w:ascii="Calibri" w:hAnsi="Calibri"/>
                <w:color w:val="2D3517"/>
                <w:sz w:val="18"/>
              </w:rPr>
              <w:t>Structural borders, dividers, and modal outlines in Dark Mode.</w:t>
            </w:r>
          </w:p>
        </w:tc>
      </w:tr>
    </w:tbl>
    <w:p>
      <w:r>
        <w:br w:type="page"/>
      </w:r>
    </w:p>
    <w:p>
      <w:pPr>
        <w:pStyle w:val="Heading1"/>
      </w:pPr>
      <w:r>
        <w:t>9. Operational Verification, Testing &amp; Deployment</w:t>
      </w:r>
    </w:p>
    <w:p>
      <w:r>
        <w:t>The platform includes comprehensive test suites covering all operational layers: API read endpoints, conversational RAG, clustering mathematics, NER embeddings, pipeline locking, and topic filtering.</w:t>
      </w:r>
    </w:p>
    <w:p>
      <w:pPr>
        <w:pStyle w:val="Heading2"/>
      </w:pPr>
      <w:r>
        <w:t>9.1 Test Suite Matrix &amp; Execution Results</w:t>
      </w:r>
    </w:p>
    <w:tbl>
      <w:tblPr>
        <w:tblW w:type="auto" w:w="0"/>
        <w:jc w:val="center"/>
        <w:tblLook w:firstColumn="1" w:firstRow="1" w:lastColumn="0" w:lastRow="0" w:noHBand="0" w:noVBand="1" w:val="04A0"/>
      </w:tblPr>
      <w:tblGrid>
        <w:gridCol w:w="2340"/>
        <w:gridCol w:w="2340"/>
        <w:gridCol w:w="2340"/>
        <w:gridCol w:w="2340"/>
      </w:tblGrid>
      <w:tr>
        <w:tc>
          <w:tcPr>
            <w:tcW w:type="dxa" w:w="3168"/>
            <w:shd w:fill="FAF6E9"/>
            <w:tcMar>
              <w:top w:w="120" w:type="dxa"/>
              <w:bottom w:w="120" w:type="dxa"/>
              <w:left w:w="140" w:type="dxa"/>
              <w:right w:w="140" w:type="dxa"/>
            </w:tcMar>
          </w:tcPr>
          <w:p>
            <w:pPr>
              <w:jc w:val="left"/>
            </w:pPr>
            <w:r>
              <w:rPr>
                <w:rFonts w:ascii="Calibri" w:hAnsi="Calibri"/>
                <w:b/>
                <w:color w:val="191F0E"/>
                <w:sz w:val="19"/>
              </w:rPr>
              <w:t>Test Module</w:t>
            </w:r>
          </w:p>
        </w:tc>
        <w:tc>
          <w:tcPr>
            <w:tcW w:type="dxa" w:w="2160"/>
            <w:shd w:fill="FAF6E9"/>
            <w:tcMar>
              <w:top w:w="120" w:type="dxa"/>
              <w:bottom w:w="120" w:type="dxa"/>
              <w:left w:w="140" w:type="dxa"/>
              <w:right w:w="140" w:type="dxa"/>
            </w:tcMar>
          </w:tcPr>
          <w:p>
            <w:pPr>
              <w:jc w:val="left"/>
            </w:pPr>
            <w:r>
              <w:rPr>
                <w:rFonts w:ascii="Calibri" w:hAnsi="Calibri"/>
                <w:b/>
                <w:color w:val="191F0E"/>
                <w:sz w:val="19"/>
              </w:rPr>
              <w:t>Target Component</w:t>
            </w:r>
          </w:p>
        </w:tc>
        <w:tc>
          <w:tcPr>
            <w:tcW w:type="dxa" w:w="1728"/>
            <w:shd w:fill="FAF6E9"/>
            <w:tcMar>
              <w:top w:w="120" w:type="dxa"/>
              <w:bottom w:w="120" w:type="dxa"/>
              <w:left w:w="140" w:type="dxa"/>
              <w:right w:w="140" w:type="dxa"/>
            </w:tcMar>
          </w:tcPr>
          <w:p>
            <w:pPr>
              <w:jc w:val="left"/>
            </w:pPr>
            <w:r>
              <w:rPr>
                <w:rFonts w:ascii="Calibri" w:hAnsi="Calibri"/>
                <w:b/>
                <w:color w:val="191F0E"/>
                <w:sz w:val="19"/>
              </w:rPr>
              <w:t>Status</w:t>
            </w:r>
          </w:p>
        </w:tc>
        <w:tc>
          <w:tcPr>
            <w:tcW w:type="dxa" w:w="2304"/>
            <w:shd w:fill="FAF6E9"/>
            <w:tcMar>
              <w:top w:w="120" w:type="dxa"/>
              <w:bottom w:w="120" w:type="dxa"/>
              <w:left w:w="140" w:type="dxa"/>
              <w:right w:w="140" w:type="dxa"/>
            </w:tcMar>
          </w:tcPr>
          <w:p>
            <w:pPr>
              <w:jc w:val="left"/>
            </w:pPr>
            <w:r>
              <w:rPr>
                <w:rFonts w:ascii="Calibri" w:hAnsi="Calibri"/>
                <w:b/>
                <w:color w:val="191F0E"/>
                <w:sz w:val="19"/>
              </w:rPr>
              <w:t>Verified Behavior</w:t>
            </w:r>
          </w:p>
        </w:tc>
      </w:tr>
      <w:tr>
        <w:tc>
          <w:tcPr>
            <w:tcW w:type="dxa" w:w="3168"/>
            <w:shd w:fill="FFFFFF"/>
            <w:tcMar>
              <w:top w:w="90" w:type="dxa"/>
              <w:bottom w:w="90" w:type="dxa"/>
              <w:left w:w="140" w:type="dxa"/>
              <w:right w:w="140" w:type="dxa"/>
            </w:tcMar>
          </w:tcPr>
          <w:p>
            <w:pPr>
              <w:jc w:val="left"/>
            </w:pPr>
            <w:r>
              <w:rPr>
                <w:rFonts w:ascii="Calibri" w:hAnsi="Calibri"/>
                <w:color w:val="2D3517"/>
                <w:sz w:val="18"/>
              </w:rPr>
              <w:t>tests/test_api_read.py</w:t>
            </w:r>
          </w:p>
        </w:tc>
        <w:tc>
          <w:tcPr>
            <w:tcW w:type="dxa" w:w="2160"/>
            <w:shd w:fill="FFFFFF"/>
            <w:tcMar>
              <w:top w:w="90" w:type="dxa"/>
              <w:bottom w:w="90" w:type="dxa"/>
              <w:left w:w="140" w:type="dxa"/>
              <w:right w:w="140" w:type="dxa"/>
            </w:tcMar>
          </w:tcPr>
          <w:p>
            <w:pPr>
              <w:jc w:val="left"/>
            </w:pPr>
            <w:r>
              <w:rPr>
                <w:rFonts w:ascii="Calibri" w:hAnsi="Calibri"/>
                <w:color w:val="2D3517"/>
                <w:sz w:val="18"/>
              </w:rPr>
              <w:t>API Read Endpoints</w:t>
            </w:r>
          </w:p>
        </w:tc>
        <w:tc>
          <w:tcPr>
            <w:tcW w:type="dxa" w:w="1728"/>
            <w:shd w:fill="FFFFFF"/>
            <w:tcMar>
              <w:top w:w="90" w:type="dxa"/>
              <w:bottom w:w="90" w:type="dxa"/>
              <w:left w:w="140" w:type="dxa"/>
              <w:right w:w="140" w:type="dxa"/>
            </w:tcMar>
          </w:tcPr>
          <w:p>
            <w:pPr>
              <w:jc w:val="left"/>
            </w:pPr>
            <w:r>
              <w:rPr>
                <w:rFonts w:ascii="Calibri" w:hAnsi="Calibri"/>
                <w:color w:val="2D3517"/>
                <w:sz w:val="18"/>
              </w:rPr>
              <w:t>PASSED (5/5)</w:t>
            </w:r>
          </w:p>
        </w:tc>
        <w:tc>
          <w:tcPr>
            <w:tcW w:type="dxa" w:w="2304"/>
            <w:shd w:fill="FFFFFF"/>
            <w:tcMar>
              <w:top w:w="90" w:type="dxa"/>
              <w:bottom w:w="90" w:type="dxa"/>
              <w:left w:w="140" w:type="dxa"/>
              <w:right w:w="140" w:type="dxa"/>
            </w:tcMar>
          </w:tcPr>
          <w:p>
            <w:pPr>
              <w:jc w:val="left"/>
            </w:pPr>
            <w:r>
              <w:rPr>
                <w:rFonts w:ascii="Calibri" w:hAnsi="Calibri"/>
                <w:color w:val="2D3517"/>
                <w:sz w:val="18"/>
              </w:rPr>
              <w:t>Verified pagination, filtering, and schema serialization.</w:t>
            </w:r>
          </w:p>
        </w:tc>
      </w:tr>
      <w:tr>
        <w:tc>
          <w:tcPr>
            <w:tcW w:type="dxa" w:w="3168"/>
            <w:shd w:fill="FCF9EF"/>
            <w:tcMar>
              <w:top w:w="90" w:type="dxa"/>
              <w:bottom w:w="90" w:type="dxa"/>
              <w:left w:w="140" w:type="dxa"/>
              <w:right w:w="140" w:type="dxa"/>
            </w:tcMar>
          </w:tcPr>
          <w:p>
            <w:pPr>
              <w:jc w:val="left"/>
            </w:pPr>
            <w:r>
              <w:rPr>
                <w:rFonts w:ascii="Calibri" w:hAnsi="Calibri"/>
                <w:color w:val="2D3517"/>
                <w:sz w:val="18"/>
              </w:rPr>
              <w:t>tests/test_assistant.py</w:t>
            </w:r>
          </w:p>
        </w:tc>
        <w:tc>
          <w:tcPr>
            <w:tcW w:type="dxa" w:w="2160"/>
            <w:shd w:fill="FCF9EF"/>
            <w:tcMar>
              <w:top w:w="90" w:type="dxa"/>
              <w:bottom w:w="90" w:type="dxa"/>
              <w:left w:w="140" w:type="dxa"/>
              <w:right w:w="140" w:type="dxa"/>
            </w:tcMar>
          </w:tcPr>
          <w:p>
            <w:pPr>
              <w:jc w:val="left"/>
            </w:pPr>
            <w:r>
              <w:rPr>
                <w:rFonts w:ascii="Calibri" w:hAnsi="Calibri"/>
                <w:color w:val="2D3517"/>
                <w:sz w:val="18"/>
              </w:rPr>
              <w:t>RAG Assistant</w:t>
            </w:r>
          </w:p>
        </w:tc>
        <w:tc>
          <w:tcPr>
            <w:tcW w:type="dxa" w:w="1728"/>
            <w:shd w:fill="FCF9EF"/>
            <w:tcMar>
              <w:top w:w="90" w:type="dxa"/>
              <w:bottom w:w="90" w:type="dxa"/>
              <w:left w:w="140" w:type="dxa"/>
              <w:right w:w="140" w:type="dxa"/>
            </w:tcMar>
          </w:tcPr>
          <w:p>
            <w:pPr>
              <w:jc w:val="left"/>
            </w:pPr>
            <w:r>
              <w:rPr>
                <w:rFonts w:ascii="Calibri" w:hAnsi="Calibri"/>
                <w:color w:val="2D3517"/>
                <w:sz w:val="18"/>
              </w:rPr>
              <w:t>PASSED (4/4)</w:t>
            </w:r>
          </w:p>
        </w:tc>
        <w:tc>
          <w:tcPr>
            <w:tcW w:type="dxa" w:w="2304"/>
            <w:shd w:fill="FCF9EF"/>
            <w:tcMar>
              <w:top w:w="90" w:type="dxa"/>
              <w:bottom w:w="90" w:type="dxa"/>
              <w:left w:w="140" w:type="dxa"/>
              <w:right w:w="140" w:type="dxa"/>
            </w:tcMar>
          </w:tcPr>
          <w:p>
            <w:pPr>
              <w:jc w:val="left"/>
            </w:pPr>
            <w:r>
              <w:rPr>
                <w:rFonts w:ascii="Calibri" w:hAnsi="Calibri"/>
                <w:color w:val="2D3517"/>
                <w:sz w:val="18"/>
              </w:rPr>
              <w:t>Verified cosine search, answer synthesis, and citation formatting.</w:t>
            </w:r>
          </w:p>
        </w:tc>
      </w:tr>
      <w:tr>
        <w:tc>
          <w:tcPr>
            <w:tcW w:type="dxa" w:w="3168"/>
            <w:shd w:fill="FFFFFF"/>
            <w:tcMar>
              <w:top w:w="90" w:type="dxa"/>
              <w:bottom w:w="90" w:type="dxa"/>
              <w:left w:w="140" w:type="dxa"/>
              <w:right w:w="140" w:type="dxa"/>
            </w:tcMar>
          </w:tcPr>
          <w:p>
            <w:pPr>
              <w:jc w:val="left"/>
            </w:pPr>
            <w:r>
              <w:rPr>
                <w:rFonts w:ascii="Calibri" w:hAnsi="Calibri"/>
                <w:color w:val="2D3517"/>
                <w:sz w:val="18"/>
              </w:rPr>
              <w:t>tests/test_clustering.py</w:t>
            </w:r>
          </w:p>
        </w:tc>
        <w:tc>
          <w:tcPr>
            <w:tcW w:type="dxa" w:w="2160"/>
            <w:shd w:fill="FFFFFF"/>
            <w:tcMar>
              <w:top w:w="90" w:type="dxa"/>
              <w:bottom w:w="90" w:type="dxa"/>
              <w:left w:w="140" w:type="dxa"/>
              <w:right w:w="140" w:type="dxa"/>
            </w:tcMar>
          </w:tcPr>
          <w:p>
            <w:pPr>
              <w:jc w:val="left"/>
            </w:pPr>
            <w:r>
              <w:rPr>
                <w:rFonts w:ascii="Calibri" w:hAnsi="Calibri"/>
                <w:color w:val="2D3517"/>
                <w:sz w:val="18"/>
              </w:rPr>
              <w:t>Hybrid Clusterer</w:t>
            </w:r>
          </w:p>
        </w:tc>
        <w:tc>
          <w:tcPr>
            <w:tcW w:type="dxa" w:w="1728"/>
            <w:shd w:fill="FFFFFF"/>
            <w:tcMar>
              <w:top w:w="90" w:type="dxa"/>
              <w:bottom w:w="90" w:type="dxa"/>
              <w:left w:w="140" w:type="dxa"/>
              <w:right w:w="140" w:type="dxa"/>
            </w:tcMar>
          </w:tcPr>
          <w:p>
            <w:pPr>
              <w:jc w:val="left"/>
            </w:pPr>
            <w:r>
              <w:rPr>
                <w:rFonts w:ascii="Calibri" w:hAnsi="Calibri"/>
                <w:color w:val="2D3517"/>
                <w:sz w:val="18"/>
              </w:rPr>
              <w:t>PASSED (2/2)</w:t>
            </w:r>
          </w:p>
        </w:tc>
        <w:tc>
          <w:tcPr>
            <w:tcW w:type="dxa" w:w="2304"/>
            <w:shd w:fill="FFFFFF"/>
            <w:tcMar>
              <w:top w:w="90" w:type="dxa"/>
              <w:bottom w:w="90" w:type="dxa"/>
              <w:left w:w="140" w:type="dxa"/>
              <w:right w:w="140" w:type="dxa"/>
            </w:tcMar>
          </w:tcPr>
          <w:p>
            <w:pPr>
              <w:jc w:val="left"/>
            </w:pPr>
            <w:r>
              <w:rPr>
                <w:rFonts w:ascii="Calibri" w:hAnsi="Calibri"/>
                <w:color w:val="2D3517"/>
                <w:sz w:val="18"/>
              </w:rPr>
              <w:t>Verified 5-signal composite math and 0.62 thresholding.</w:t>
            </w:r>
          </w:p>
        </w:tc>
      </w:tr>
      <w:tr>
        <w:tc>
          <w:tcPr>
            <w:tcW w:type="dxa" w:w="3168"/>
            <w:shd w:fill="FCF9EF"/>
            <w:tcMar>
              <w:top w:w="90" w:type="dxa"/>
              <w:bottom w:w="90" w:type="dxa"/>
              <w:left w:w="140" w:type="dxa"/>
              <w:right w:w="140" w:type="dxa"/>
            </w:tcMar>
          </w:tcPr>
          <w:p>
            <w:pPr>
              <w:jc w:val="left"/>
            </w:pPr>
            <w:r>
              <w:rPr>
                <w:rFonts w:ascii="Calibri" w:hAnsi="Calibri"/>
                <w:color w:val="2D3517"/>
                <w:sz w:val="18"/>
              </w:rPr>
              <w:t>tests/test_ner_embedding.py</w:t>
            </w:r>
          </w:p>
        </w:tc>
        <w:tc>
          <w:tcPr>
            <w:tcW w:type="dxa" w:w="2160"/>
            <w:shd w:fill="FCF9EF"/>
            <w:tcMar>
              <w:top w:w="90" w:type="dxa"/>
              <w:bottom w:w="90" w:type="dxa"/>
              <w:left w:w="140" w:type="dxa"/>
              <w:right w:w="140" w:type="dxa"/>
            </w:tcMar>
          </w:tcPr>
          <w:p>
            <w:pPr>
              <w:jc w:val="left"/>
            </w:pPr>
            <w:r>
              <w:rPr>
                <w:rFonts w:ascii="Calibri" w:hAnsi="Calibri"/>
                <w:color w:val="2D3517"/>
                <w:sz w:val="18"/>
              </w:rPr>
              <w:t>spaCy &amp; Vectors</w:t>
            </w:r>
          </w:p>
        </w:tc>
        <w:tc>
          <w:tcPr>
            <w:tcW w:type="dxa" w:w="1728"/>
            <w:shd w:fill="FCF9EF"/>
            <w:tcMar>
              <w:top w:w="90" w:type="dxa"/>
              <w:bottom w:w="90" w:type="dxa"/>
              <w:left w:w="140" w:type="dxa"/>
              <w:right w:w="140" w:type="dxa"/>
            </w:tcMar>
          </w:tcPr>
          <w:p>
            <w:pPr>
              <w:jc w:val="left"/>
            </w:pPr>
            <w:r>
              <w:rPr>
                <w:rFonts w:ascii="Calibri" w:hAnsi="Calibri"/>
                <w:color w:val="2D3517"/>
                <w:sz w:val="18"/>
              </w:rPr>
              <w:t>PASSED (3/3)</w:t>
            </w:r>
          </w:p>
        </w:tc>
        <w:tc>
          <w:tcPr>
            <w:tcW w:type="dxa" w:w="2304"/>
            <w:shd w:fill="FCF9EF"/>
            <w:tcMar>
              <w:top w:w="90" w:type="dxa"/>
              <w:bottom w:w="90" w:type="dxa"/>
              <w:left w:w="140" w:type="dxa"/>
              <w:right w:w="140" w:type="dxa"/>
            </w:tcMar>
          </w:tcPr>
          <w:p>
            <w:pPr>
              <w:jc w:val="left"/>
            </w:pPr>
            <w:r>
              <w:rPr>
                <w:rFonts w:ascii="Calibri" w:hAnsi="Calibri"/>
                <w:color w:val="2D3517"/>
                <w:sz w:val="18"/>
              </w:rPr>
              <w:t>Verified entity isolation and 384-dimensional dense vectors.</w:t>
            </w:r>
          </w:p>
        </w:tc>
      </w:tr>
      <w:tr>
        <w:tc>
          <w:tcPr>
            <w:tcW w:type="dxa" w:w="3168"/>
            <w:shd w:fill="FFFFFF"/>
            <w:tcMar>
              <w:top w:w="90" w:type="dxa"/>
              <w:bottom w:w="90" w:type="dxa"/>
              <w:left w:w="140" w:type="dxa"/>
              <w:right w:w="140" w:type="dxa"/>
            </w:tcMar>
          </w:tcPr>
          <w:p>
            <w:pPr>
              <w:jc w:val="left"/>
            </w:pPr>
            <w:r>
              <w:rPr>
                <w:rFonts w:ascii="Calibri" w:hAnsi="Calibri"/>
                <w:color w:val="2D3517"/>
                <w:sz w:val="18"/>
              </w:rPr>
              <w:t>tests/test_pipeline_control.py</w:t>
            </w:r>
          </w:p>
        </w:tc>
        <w:tc>
          <w:tcPr>
            <w:tcW w:type="dxa" w:w="2160"/>
            <w:shd w:fill="FFFFFF"/>
            <w:tcMar>
              <w:top w:w="90" w:type="dxa"/>
              <w:bottom w:w="90" w:type="dxa"/>
              <w:left w:w="140" w:type="dxa"/>
              <w:right w:w="140" w:type="dxa"/>
            </w:tcMar>
          </w:tcPr>
          <w:p>
            <w:pPr>
              <w:jc w:val="left"/>
            </w:pPr>
            <w:r>
              <w:rPr>
                <w:rFonts w:ascii="Calibri" w:hAnsi="Calibri"/>
                <w:color w:val="2D3517"/>
                <w:sz w:val="18"/>
              </w:rPr>
              <w:t>Pipeline Orchestrator</w:t>
            </w:r>
          </w:p>
        </w:tc>
        <w:tc>
          <w:tcPr>
            <w:tcW w:type="dxa" w:w="1728"/>
            <w:shd w:fill="FFFFFF"/>
            <w:tcMar>
              <w:top w:w="90" w:type="dxa"/>
              <w:bottom w:w="90" w:type="dxa"/>
              <w:left w:w="140" w:type="dxa"/>
              <w:right w:w="140" w:type="dxa"/>
            </w:tcMar>
          </w:tcPr>
          <w:p>
            <w:pPr>
              <w:jc w:val="left"/>
            </w:pPr>
            <w:r>
              <w:rPr>
                <w:rFonts w:ascii="Calibri" w:hAnsi="Calibri"/>
                <w:color w:val="2D3517"/>
                <w:sz w:val="18"/>
              </w:rPr>
              <w:t>PASSED (4/4)</w:t>
            </w:r>
          </w:p>
        </w:tc>
        <w:tc>
          <w:tcPr>
            <w:tcW w:type="dxa" w:w="2304"/>
            <w:shd w:fill="FFFFFF"/>
            <w:tcMar>
              <w:top w:w="90" w:type="dxa"/>
              <w:bottom w:w="90" w:type="dxa"/>
              <w:left w:w="140" w:type="dxa"/>
              <w:right w:w="140" w:type="dxa"/>
            </w:tcMar>
          </w:tcPr>
          <w:p>
            <w:pPr>
              <w:jc w:val="left"/>
            </w:pPr>
            <w:r>
              <w:rPr>
                <w:rFonts w:ascii="Calibri" w:hAnsi="Calibri"/>
                <w:color w:val="2D3517"/>
                <w:sz w:val="18"/>
              </w:rPr>
              <w:t>Verified execution lock, HTTP 409 conflict, and clean-db.</w:t>
            </w:r>
          </w:p>
        </w:tc>
      </w:tr>
      <w:tr>
        <w:tc>
          <w:tcPr>
            <w:tcW w:type="dxa" w:w="3168"/>
            <w:shd w:fill="FCF9EF"/>
            <w:tcMar>
              <w:top w:w="90" w:type="dxa"/>
              <w:bottom w:w="90" w:type="dxa"/>
              <w:left w:w="140" w:type="dxa"/>
              <w:right w:w="140" w:type="dxa"/>
            </w:tcMar>
          </w:tcPr>
          <w:p>
            <w:pPr>
              <w:jc w:val="left"/>
            </w:pPr>
            <w:r>
              <w:rPr>
                <w:rFonts w:ascii="Calibri" w:hAnsi="Calibri"/>
                <w:color w:val="2D3517"/>
                <w:sz w:val="18"/>
              </w:rPr>
              <w:t>tests/test_summarization.py</w:t>
            </w:r>
          </w:p>
        </w:tc>
        <w:tc>
          <w:tcPr>
            <w:tcW w:type="dxa" w:w="2160"/>
            <w:shd w:fill="FCF9EF"/>
            <w:tcMar>
              <w:top w:w="90" w:type="dxa"/>
              <w:bottom w:w="90" w:type="dxa"/>
              <w:left w:w="140" w:type="dxa"/>
              <w:right w:w="140" w:type="dxa"/>
            </w:tcMar>
          </w:tcPr>
          <w:p>
            <w:pPr>
              <w:jc w:val="left"/>
            </w:pPr>
            <w:r>
              <w:rPr>
                <w:rFonts w:ascii="Calibri" w:hAnsi="Calibri"/>
                <w:color w:val="2D3517"/>
                <w:sz w:val="18"/>
              </w:rPr>
              <w:t>LLM Cascade</w:t>
            </w:r>
          </w:p>
        </w:tc>
        <w:tc>
          <w:tcPr>
            <w:tcW w:type="dxa" w:w="1728"/>
            <w:shd w:fill="FCF9EF"/>
            <w:tcMar>
              <w:top w:w="90" w:type="dxa"/>
              <w:bottom w:w="90" w:type="dxa"/>
              <w:left w:w="140" w:type="dxa"/>
              <w:right w:w="140" w:type="dxa"/>
            </w:tcMar>
          </w:tcPr>
          <w:p>
            <w:pPr>
              <w:jc w:val="left"/>
            </w:pPr>
            <w:r>
              <w:rPr>
                <w:rFonts w:ascii="Calibri" w:hAnsi="Calibri"/>
                <w:color w:val="2D3517"/>
                <w:sz w:val="18"/>
              </w:rPr>
              <w:t>PASSED (3/3)</w:t>
            </w:r>
          </w:p>
        </w:tc>
        <w:tc>
          <w:tcPr>
            <w:tcW w:type="dxa" w:w="2304"/>
            <w:shd w:fill="FCF9EF"/>
            <w:tcMar>
              <w:top w:w="90" w:type="dxa"/>
              <w:bottom w:w="90" w:type="dxa"/>
              <w:left w:w="140" w:type="dxa"/>
              <w:right w:w="140" w:type="dxa"/>
            </w:tcMar>
          </w:tcPr>
          <w:p>
            <w:pPr>
              <w:jc w:val="left"/>
            </w:pPr>
            <w:r>
              <w:rPr>
                <w:rFonts w:ascii="Calibri" w:hAnsi="Calibri"/>
                <w:color w:val="2D3517"/>
                <w:sz w:val="18"/>
              </w:rPr>
              <w:t>Verified Qwen tunnel, OpenRouter, and deterministic fallback.</w:t>
            </w:r>
          </w:p>
        </w:tc>
      </w:tr>
      <w:tr>
        <w:tc>
          <w:tcPr>
            <w:tcW w:type="dxa" w:w="3168"/>
            <w:shd w:fill="FFFFFF"/>
            <w:tcMar>
              <w:top w:w="90" w:type="dxa"/>
              <w:bottom w:w="90" w:type="dxa"/>
              <w:left w:w="140" w:type="dxa"/>
              <w:right w:w="140" w:type="dxa"/>
            </w:tcMar>
          </w:tcPr>
          <w:p>
            <w:pPr>
              <w:jc w:val="left"/>
            </w:pPr>
            <w:r>
              <w:rPr>
                <w:rFonts w:ascii="Calibri" w:hAnsi="Calibri"/>
                <w:color w:val="2D3517"/>
                <w:sz w:val="18"/>
              </w:rPr>
              <w:t>tests/test_topic_filter.py</w:t>
            </w:r>
          </w:p>
        </w:tc>
        <w:tc>
          <w:tcPr>
            <w:tcW w:type="dxa" w:w="2160"/>
            <w:shd w:fill="FFFFFF"/>
            <w:tcMar>
              <w:top w:w="90" w:type="dxa"/>
              <w:bottom w:w="90" w:type="dxa"/>
              <w:left w:w="140" w:type="dxa"/>
              <w:right w:w="140" w:type="dxa"/>
            </w:tcMar>
          </w:tcPr>
          <w:p>
            <w:pPr>
              <w:jc w:val="left"/>
            </w:pPr>
            <w:r>
              <w:rPr>
                <w:rFonts w:ascii="Calibri" w:hAnsi="Calibri"/>
                <w:color w:val="2D3517"/>
                <w:sz w:val="18"/>
              </w:rPr>
              <w:t>Topic Filter</w:t>
            </w:r>
          </w:p>
        </w:tc>
        <w:tc>
          <w:tcPr>
            <w:tcW w:type="dxa" w:w="1728"/>
            <w:shd w:fill="FFFFFF"/>
            <w:tcMar>
              <w:top w:w="90" w:type="dxa"/>
              <w:bottom w:w="90" w:type="dxa"/>
              <w:left w:w="140" w:type="dxa"/>
              <w:right w:w="140" w:type="dxa"/>
            </w:tcMar>
          </w:tcPr>
          <w:p>
            <w:pPr>
              <w:jc w:val="left"/>
            </w:pPr>
            <w:r>
              <w:rPr>
                <w:rFonts w:ascii="Calibri" w:hAnsi="Calibri"/>
                <w:color w:val="2D3517"/>
                <w:sz w:val="18"/>
              </w:rPr>
              <w:t>PASSED (2/2)</w:t>
            </w:r>
          </w:p>
        </w:tc>
        <w:tc>
          <w:tcPr>
            <w:tcW w:type="dxa" w:w="2304"/>
            <w:shd w:fill="FFFFFF"/>
            <w:tcMar>
              <w:top w:w="90" w:type="dxa"/>
              <w:bottom w:w="90" w:type="dxa"/>
              <w:left w:w="140" w:type="dxa"/>
              <w:right w:w="140" w:type="dxa"/>
            </w:tcMar>
          </w:tcPr>
          <w:p>
            <w:pPr>
              <w:jc w:val="left"/>
            </w:pPr>
            <w:r>
              <w:rPr>
                <w:rFonts w:ascii="Calibri" w:hAnsi="Calibri"/>
                <w:color w:val="2D3517"/>
                <w:sz w:val="18"/>
              </w:rPr>
              <w:t>Verified military topic inclusion and non-defense rejection.</w:t>
            </w:r>
          </w:p>
        </w:tc>
      </w:tr>
    </w:tbl>
    <w:tbl>
      <w:tblPr>
        <w:tblW w:type="auto" w:w="0"/>
        <w:jc w:val="center"/>
        <w:tblLook w:firstColumn="1" w:firstRow="1" w:lastColumn="0" w:lastRow="0" w:noHBand="0" w:noVBand="1" w:val="04A0"/>
      </w:tblPr>
      <w:tblGrid>
        <w:gridCol w:w="9360"/>
      </w:tblGrid>
      <w:tr>
        <w:tc>
          <w:tcPr>
            <w:tcW w:type="dxa" w:w="9360"/>
            <w:shd w:fill="FAF6E9"/>
            <w:tcMar>
              <w:top w:w="140" w:type="dxa"/>
              <w:bottom w:w="140" w:type="dxa"/>
              <w:left w:w="200" w:type="dxa"/>
              <w:right w:w="200" w:type="dxa"/>
            </w:tcMar>
            <w:tcBorders>
              <w:left w:val="single" w:sz="24" w:space="0" w:color="9CA764"/>
              <w:top w:val="none"/>
              <w:right w:val="none"/>
              <w:bottom w:val="none"/>
            </w:tcBorders>
          </w:tcPr>
          <w:p>
            <w:pPr>
              <w:spacing w:before="40" w:after="60" w:line="276" w:lineRule="auto"/>
            </w:pPr>
            <w:r>
              <w:rPr>
                <w:rFonts w:ascii="Calibri" w:hAnsi="Calibri"/>
                <w:b/>
                <w:color w:val="191F0E"/>
                <w:sz w:val="20"/>
              </w:rPr>
              <w:t>■ Quality Assurance Summary</w:t>
              <w:br/>
            </w:r>
            <w:r>
              <w:rPr>
                <w:rFonts w:ascii="Calibri" w:hAnsi="Calibri"/>
                <w:color w:val="333D1F"/>
                <w:sz w:val="19"/>
              </w:rPr>
              <w:t>Test Suite: 23 out of 23 unit tests pass (100% pass rate in 10.71 seconds).</w:t>
              <w:br/>
              <w:t>Frontend Build: npm run build compiles cleanly in 2.40s with zero errors or warnings.</w:t>
              <w:br/>
              <w:t>Git Tree: Clean working directory committed and pushed to origin/main.</w:t>
            </w:r>
          </w:p>
        </w:tc>
      </w:tr>
    </w:tbl>
    <w:p>
      <w:pPr>
        <w:spacing w:after="80"/>
      </w:pPr>
    </w:p>
    <w:p>
      <w:pPr>
        <w:pStyle w:val="Heading2"/>
      </w:pPr>
      <w:r>
        <w:t>9.2 Local Development Execution Commands</w:t>
      </w:r>
    </w:p>
    <w:p>
      <w:r>
        <w:t>To start the platform locally:</w:t>
        <w:br/>
        <w:br/>
        <w:t>1. Backend Service (FastAPI):</w:t>
        <w:br/>
        <w:t xml:space="preserve">   cd c:\Users\Charan\codex_major</w:t>
        <w:br/>
        <w:t xml:space="preserve">   .\backend\.venv\Scripts\uvicorn backend.app.main:app --host 127.0.0.1 --port 8000 --reload</w:t>
        <w:br/>
        <w:br/>
        <w:t>2. Frontend Interface (Vite):</w:t>
        <w:br/>
        <w:t xml:space="preserve">   cd c:\Users\Charan\codex_major\frontend</w:t>
        <w:br/>
        <w:t xml:space="preserve">   npm run dev</w:t>
        <w:br/>
        <w:br/>
        <w:t>3. Run Full Test Suite:</w:t>
        <w:br/>
        <w:t xml:space="preserve">   cd c:\Users\Charan\codex_major\backend</w:t>
        <w:br/>
        <w:t xml:space="preserve">   uv run pytest -v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A8546"/>
        <w:sz w:val="17"/>
      </w:rPr>
      <w:t xml:space="preserve">OSINT-EIP Master Technical Specification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2429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91F0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