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EF6" w:rsidRPr="0057307B" w:rsidRDefault="00D84EF6" w:rsidP="0057307B">
      <w:pPr>
        <w:spacing w:line="240" w:lineRule="auto"/>
        <w:jc w:val="both"/>
        <w:rPr>
          <w:rFonts w:ascii="Times New Roman" w:eastAsia="Times New Roman" w:hAnsi="Times New Roman"/>
          <w:b/>
        </w:rPr>
      </w:pPr>
      <w:r w:rsidRPr="0057307B">
        <w:rPr>
          <w:rFonts w:ascii="Times New Roman" w:eastAsia="Times New Roman" w:hAnsi="Times New Roman"/>
          <w:b/>
        </w:rPr>
        <w:t>INTRODUCCION</w:t>
      </w:r>
    </w:p>
    <w:p w:rsidR="006B2D17" w:rsidRPr="0057307B" w:rsidRDefault="00D84EF6" w:rsidP="0057307B">
      <w:pPr>
        <w:spacing w:line="240" w:lineRule="auto"/>
        <w:jc w:val="both"/>
        <w:rPr>
          <w:rFonts w:ascii="Times New Roman" w:eastAsia="Times New Roman" w:hAnsi="Times New Roman"/>
        </w:rPr>
      </w:pPr>
      <w:r w:rsidRPr="0057307B">
        <w:rPr>
          <w:rFonts w:ascii="Times New Roman" w:eastAsia="Times New Roman" w:hAnsi="Times New Roman"/>
        </w:rPr>
        <w:t>El Internet de las cosas (</w:t>
      </w:r>
      <w:proofErr w:type="spellStart"/>
      <w:r w:rsidRPr="0057307B">
        <w:rPr>
          <w:rFonts w:ascii="Times New Roman" w:eastAsia="Times New Roman" w:hAnsi="Times New Roman"/>
        </w:rPr>
        <w:t>IoT</w:t>
      </w:r>
      <w:proofErr w:type="spellEnd"/>
      <w:r w:rsidRPr="0057307B">
        <w:rPr>
          <w:rFonts w:ascii="Times New Roman" w:eastAsia="Times New Roman" w:hAnsi="Times New Roman"/>
        </w:rPr>
        <w:t xml:space="preserve">) percibe un mundo donde los dispositivos que lo conforman pueden ser identificados en el Internet y está creciendo a un ritmo acelerado con nuevos </w:t>
      </w:r>
      <w:proofErr w:type="spellStart"/>
      <w:r w:rsidRPr="0057307B">
        <w:rPr>
          <w:rFonts w:ascii="Times New Roman" w:eastAsia="Times New Roman" w:hAnsi="Times New Roman"/>
        </w:rPr>
        <w:t>dis</w:t>
      </w:r>
      <w:proofErr w:type="spellEnd"/>
      <w:r w:rsidRPr="0057307B">
        <w:rPr>
          <w:rFonts w:ascii="Times New Roman" w:eastAsia="Times New Roman" w:hAnsi="Times New Roman"/>
        </w:rPr>
        <w:t xml:space="preserve">-positivos que se van conectando. En este sentido, las redes de sensores inalámbricos juegan un papel importante para incrementar la ubicuidad de las redes con dispositivos inteligentes de bajo costo y fácil implementación, con estándares como IEEE 802.15.4 en la capa física, 6LoWPAN en la capa de red, y RPL como protocolo de enrutamiento, que se integran en el concepto de </w:t>
      </w:r>
      <w:proofErr w:type="spellStart"/>
      <w:r w:rsidRPr="0057307B">
        <w:rPr>
          <w:rFonts w:ascii="Times New Roman" w:eastAsia="Times New Roman" w:hAnsi="Times New Roman"/>
        </w:rPr>
        <w:t>IoT</w:t>
      </w:r>
      <w:proofErr w:type="spellEnd"/>
      <w:r w:rsidRPr="0057307B">
        <w:rPr>
          <w:rFonts w:ascii="Times New Roman" w:eastAsia="Times New Roman" w:hAnsi="Times New Roman"/>
        </w:rPr>
        <w:t xml:space="preserve"> para traer nuevas experiencias en las actividades de la vida diaria, como por ejemplo en aplicaciones para hogares y oficinas confortables, salud, vigilancia del medio ambiente y ciudades inteligentes. En el presente artículo se relacionará a la red de sensores inalámbricos con el Internet de las cosas a través de estándares y protocolos.</w:t>
      </w:r>
    </w:p>
    <w:p w:rsidR="00D84EF6" w:rsidRPr="0057307B" w:rsidRDefault="00D84EF6" w:rsidP="0057307B">
      <w:pPr>
        <w:spacing w:line="240" w:lineRule="auto"/>
        <w:jc w:val="both"/>
        <w:rPr>
          <w:rFonts w:ascii="Times New Roman" w:hAnsi="Times New Roman" w:cs="Times New Roman"/>
          <w:b/>
        </w:rPr>
      </w:pPr>
      <w:r w:rsidRPr="0057307B">
        <w:rPr>
          <w:rFonts w:ascii="Times New Roman" w:hAnsi="Times New Roman" w:cs="Times New Roman"/>
          <w:b/>
        </w:rPr>
        <w:t>ARQUITECTURA DE RED</w:t>
      </w:r>
    </w:p>
    <w:p w:rsidR="00D84EF6" w:rsidRPr="0057307B" w:rsidRDefault="00D84EF6" w:rsidP="0057307B">
      <w:pPr>
        <w:spacing w:line="240" w:lineRule="auto"/>
        <w:jc w:val="both"/>
        <w:rPr>
          <w:rFonts w:ascii="Times New Roman" w:eastAsia="Times New Roman" w:hAnsi="Times New Roman" w:cs="Times New Roman"/>
        </w:rPr>
      </w:pPr>
      <w:r w:rsidRPr="0057307B">
        <w:rPr>
          <w:rFonts w:ascii="Times New Roman" w:eastAsia="Times New Roman" w:hAnsi="Times New Roman" w:cs="Times New Roman"/>
        </w:rPr>
        <w:t>Fig. 2 muestra la arquitectura de la red basada en clúster superpuesta del marco propuesto. Los dispositivos de red se</w:t>
      </w:r>
      <w:r w:rsidRPr="0057307B">
        <w:rPr>
          <w:rFonts w:ascii="Times New Roman" w:eastAsia="Times New Roman" w:hAnsi="Times New Roman"/>
        </w:rPr>
        <w:t xml:space="preserve"> </w:t>
      </w:r>
      <w:r w:rsidRPr="0057307B">
        <w:rPr>
          <w:rFonts w:ascii="Times New Roman" w:eastAsia="Times New Roman" w:hAnsi="Times New Roman" w:cs="Times New Roman"/>
        </w:rPr>
        <w:t xml:space="preserve">implementan en tres capas diferentes, que se describen como acceso, plano de datos y capa de control. Los dispositivos en el acceso, el plano de datos y las capas de control se denominan nodos finales (EN), conmutadores SDN (SDSW) y controlador SDN, respectivamente. Como se muestra en la Fig. 2, cada grupo comprende de </w:t>
      </w:r>
      <w:proofErr w:type="spellStart"/>
      <w:r w:rsidRPr="0057307B">
        <w:rPr>
          <w:rFonts w:ascii="Times New Roman" w:eastAsia="Times New Roman" w:hAnsi="Times New Roman" w:cs="Times New Roman"/>
        </w:rPr>
        <w:t>ENs</w:t>
      </w:r>
      <w:proofErr w:type="spellEnd"/>
      <w:r w:rsidRPr="0057307B">
        <w:rPr>
          <w:rFonts w:ascii="Times New Roman" w:eastAsia="Times New Roman" w:hAnsi="Times New Roman" w:cs="Times New Roman"/>
        </w:rPr>
        <w:t xml:space="preserve"> y un SDSW, que actúa como un cabezal de clúster y puerta de enlace. Cada SDSW corresponde con el controlador SDN más cercano para recuperar información de control. La información de control se guía a través de un conjunto de reglas llamadas comandos de flujo proporcionados por el controlador SDN.</w:t>
      </w:r>
    </w:p>
    <w:p w:rsidR="00D84EF6" w:rsidRPr="0057307B" w:rsidRDefault="00D84EF6" w:rsidP="0057307B">
      <w:pPr>
        <w:spacing w:line="240" w:lineRule="auto"/>
        <w:jc w:val="both"/>
        <w:rPr>
          <w:rFonts w:ascii="Times New Roman" w:eastAsia="Times New Roman" w:hAnsi="Times New Roman"/>
        </w:rPr>
      </w:pPr>
      <w:r w:rsidRPr="0057307B">
        <w:rPr>
          <w:rFonts w:ascii="Times New Roman" w:eastAsia="Times New Roman" w:hAnsi="Times New Roman"/>
          <w:b/>
          <w:bCs/>
        </w:rPr>
        <w:t xml:space="preserve">Acceso: </w:t>
      </w:r>
      <w:r w:rsidRPr="0057307B">
        <w:rPr>
          <w:rFonts w:ascii="Times New Roman" w:eastAsia="Times New Roman" w:hAnsi="Times New Roman"/>
        </w:rPr>
        <w:t xml:space="preserve">Dentro de esta se encuentran la lista de aplicaciones SDN es decir el tipo de aplicación, la lógica de aplicación, </w:t>
      </w:r>
      <w:proofErr w:type="spellStart"/>
      <w:r w:rsidRPr="0057307B">
        <w:rPr>
          <w:rFonts w:ascii="Times New Roman" w:eastAsia="Times New Roman" w:hAnsi="Times New Roman"/>
        </w:rPr>
        <w:t>etc</w:t>
      </w:r>
      <w:proofErr w:type="spellEnd"/>
      <w:r w:rsidRPr="0057307B">
        <w:rPr>
          <w:rFonts w:ascii="Times New Roman" w:eastAsia="Times New Roman" w:hAnsi="Times New Roman"/>
        </w:rPr>
        <w:t>…</w:t>
      </w:r>
    </w:p>
    <w:p w:rsidR="00D84EF6" w:rsidRPr="0057307B" w:rsidRDefault="00D84EF6" w:rsidP="0057307B">
      <w:pPr>
        <w:spacing w:line="240" w:lineRule="auto"/>
        <w:jc w:val="both"/>
        <w:rPr>
          <w:rFonts w:ascii="Times New Roman" w:eastAsia="Times New Roman" w:hAnsi="Times New Roman"/>
        </w:rPr>
      </w:pPr>
      <w:r w:rsidRPr="0057307B">
        <w:rPr>
          <w:rFonts w:ascii="Times New Roman" w:eastAsia="Times New Roman" w:hAnsi="Times New Roman"/>
          <w:b/>
          <w:bCs/>
        </w:rPr>
        <w:t xml:space="preserve">Plano de Datos: </w:t>
      </w:r>
      <w:r w:rsidRPr="0057307B">
        <w:rPr>
          <w:rFonts w:ascii="Times New Roman" w:eastAsia="Times New Roman" w:hAnsi="Times New Roman"/>
        </w:rPr>
        <w:t xml:space="preserve">Este es un nivel dinámico puesto que es un plano de datos programable, donde se encuentran funciones tales como: generación de datos, reenvió de datos, infraestructura fija, usuario final. </w:t>
      </w:r>
    </w:p>
    <w:p w:rsidR="00D84EF6" w:rsidRPr="0057307B" w:rsidRDefault="00D84EF6" w:rsidP="0057307B">
      <w:pPr>
        <w:spacing w:line="240" w:lineRule="auto"/>
        <w:jc w:val="both"/>
        <w:rPr>
          <w:rFonts w:ascii="Times New Roman" w:eastAsia="Times New Roman" w:hAnsi="Times New Roman"/>
        </w:rPr>
      </w:pPr>
      <w:r w:rsidRPr="0057307B">
        <w:rPr>
          <w:rFonts w:ascii="Times New Roman" w:eastAsia="Times New Roman" w:hAnsi="Times New Roman"/>
          <w:b/>
          <w:bCs/>
        </w:rPr>
        <w:t>Capa de Control SDN:</w:t>
      </w:r>
      <w:r w:rsidRPr="0057307B">
        <w:rPr>
          <w:rFonts w:ascii="Times New Roman" w:eastAsia="Times New Roman" w:hAnsi="Times New Roman"/>
        </w:rPr>
        <w:t xml:space="preserve"> Esta abarca las reglas de personalización de usuario tales como son: reducir ancho de banda y recursos energéticos, datos recargados, toma de decisiones, priorización de procesos, tiempo de expiración, lista de acciones, patrón de tráfico, contadores</w:t>
      </w:r>
    </w:p>
    <w:p w:rsidR="00D84EF6" w:rsidRPr="0057307B" w:rsidRDefault="00D84EF6" w:rsidP="0057307B">
      <w:pPr>
        <w:spacing w:line="240" w:lineRule="auto"/>
        <w:jc w:val="both"/>
        <w:rPr>
          <w:rFonts w:ascii="Times New Roman" w:eastAsia="Times New Roman" w:hAnsi="Times New Roman"/>
          <w:b/>
        </w:rPr>
      </w:pPr>
      <w:r w:rsidRPr="0057307B">
        <w:rPr>
          <w:rFonts w:ascii="Times New Roman" w:eastAsia="Times New Roman" w:hAnsi="Times New Roman"/>
          <w:b/>
        </w:rPr>
        <w:t>CAPA DE APLICACION</w:t>
      </w:r>
    </w:p>
    <w:p w:rsidR="00D84EF6" w:rsidRPr="0057307B" w:rsidRDefault="00D84EF6" w:rsidP="0057307B">
      <w:pPr>
        <w:spacing w:line="240" w:lineRule="auto"/>
        <w:jc w:val="both"/>
        <w:rPr>
          <w:rFonts w:ascii="Times New Roman" w:eastAsia="Times New Roman" w:hAnsi="Times New Roman"/>
        </w:rPr>
      </w:pPr>
      <w:r w:rsidRPr="0057307B">
        <w:rPr>
          <w:rFonts w:ascii="Times New Roman" w:eastAsia="Times New Roman" w:hAnsi="Times New Roman" w:cs="Times New Roman"/>
        </w:rPr>
        <w:t xml:space="preserve">Un SDSW clasifica el tráfico recibido por las aplicaciones predefinidas para etiquetar cada paquete con una ID de aplicación particular. Después de la clasificación, el SDSW realiza una búsqueda en la tabla de flujo. Si se encuentra una entrada coincidente, se lleva a cabo la acción asociada con la entrada de flujo. Si no se detecta ninguna coincidencia en la tabla de flujo, el resultado depende de la configuración de SDSW: el paquete se puede reenviar al controlador utilizando </w:t>
      </w:r>
      <w:proofErr w:type="spellStart"/>
      <w:r w:rsidRPr="0057307B">
        <w:rPr>
          <w:rFonts w:ascii="Times New Roman" w:eastAsia="Times New Roman" w:hAnsi="Times New Roman" w:cs="Times New Roman"/>
        </w:rPr>
        <w:t>OpenFlow</w:t>
      </w:r>
      <w:proofErr w:type="spellEnd"/>
      <w:r w:rsidRPr="0057307B">
        <w:rPr>
          <w:rFonts w:ascii="Times New Roman" w:eastAsia="Times New Roman" w:hAnsi="Times New Roman" w:cs="Times New Roman"/>
        </w:rPr>
        <w:t xml:space="preserve">, se puede descartar o puede continuar hasta la siguiente tabla de flujo. Las </w:t>
      </w:r>
      <w:proofErr w:type="spellStart"/>
      <w:r w:rsidRPr="0057307B">
        <w:rPr>
          <w:rFonts w:ascii="Times New Roman" w:eastAsia="Times New Roman" w:hAnsi="Times New Roman" w:cs="Times New Roman"/>
        </w:rPr>
        <w:t>subsecciones</w:t>
      </w:r>
      <w:proofErr w:type="spellEnd"/>
      <w:r w:rsidRPr="0057307B">
        <w:rPr>
          <w:rFonts w:ascii="Times New Roman" w:eastAsia="Times New Roman" w:hAnsi="Times New Roman" w:cs="Times New Roman"/>
        </w:rPr>
        <w:t xml:space="preserve"> siguientes ilustran la comunicación y las funcionalidades de la capa de aplicación de extremo a extremo según tres capas de la arquitectura presentada en la Sección II-A</w:t>
      </w:r>
    </w:p>
    <w:p w:rsidR="00D84EF6" w:rsidRPr="0057307B" w:rsidRDefault="00D84EF6" w:rsidP="0057307B">
      <w:pPr>
        <w:spacing w:line="240" w:lineRule="auto"/>
        <w:jc w:val="both"/>
        <w:rPr>
          <w:rFonts w:ascii="Times New Roman" w:eastAsia="Times New Roman" w:hAnsi="Times New Roman"/>
        </w:rPr>
      </w:pPr>
      <w:proofErr w:type="spellStart"/>
      <w:r w:rsidRPr="0057307B">
        <w:rPr>
          <w:rFonts w:ascii="Times New Roman" w:eastAsia="Times New Roman" w:hAnsi="Times New Roman"/>
          <w:b/>
        </w:rPr>
        <w:t>OpenFlow</w:t>
      </w:r>
      <w:proofErr w:type="spellEnd"/>
      <w:r w:rsidRPr="0057307B">
        <w:rPr>
          <w:rFonts w:ascii="Times New Roman" w:eastAsia="Times New Roman" w:hAnsi="Times New Roman"/>
          <w:b/>
        </w:rPr>
        <w:t xml:space="preserve">: </w:t>
      </w:r>
      <w:r w:rsidRPr="0057307B">
        <w:rPr>
          <w:rFonts w:ascii="Times New Roman" w:eastAsia="Times New Roman" w:hAnsi="Times New Roman"/>
        </w:rPr>
        <w:t xml:space="preserve">es una tecnología de </w:t>
      </w:r>
      <w:proofErr w:type="spellStart"/>
      <w:r w:rsidRPr="0057307B">
        <w:rPr>
          <w:rFonts w:ascii="Times New Roman" w:eastAsia="Times New Roman" w:hAnsi="Times New Roman"/>
        </w:rPr>
        <w:t>switching</w:t>
      </w:r>
      <w:proofErr w:type="spellEnd"/>
      <w:r w:rsidR="0001654F" w:rsidRPr="0057307B">
        <w:rPr>
          <w:rFonts w:ascii="Times New Roman" w:eastAsia="Times New Roman" w:hAnsi="Times New Roman"/>
        </w:rPr>
        <w:t xml:space="preserve"> Se define como un protocolo emergente y abierto de comunicaciones que permite a un servidor de software determinar el camino de reenvío de paquetes que debería seguir en una red de </w:t>
      </w:r>
      <w:proofErr w:type="spellStart"/>
      <w:r w:rsidR="0001654F" w:rsidRPr="0057307B">
        <w:rPr>
          <w:rFonts w:ascii="Times New Roman" w:eastAsia="Times New Roman" w:hAnsi="Times New Roman"/>
        </w:rPr>
        <w:t>switches</w:t>
      </w:r>
      <w:proofErr w:type="spellEnd"/>
      <w:r w:rsidR="0001654F" w:rsidRPr="0057307B">
        <w:rPr>
          <w:rFonts w:ascii="Times New Roman" w:eastAsia="Times New Roman" w:hAnsi="Times New Roman"/>
        </w:rPr>
        <w:t>.</w:t>
      </w:r>
    </w:p>
    <w:p w:rsidR="00EA5EF3" w:rsidRPr="0057307B" w:rsidRDefault="0001654F" w:rsidP="0057307B">
      <w:pPr>
        <w:spacing w:line="240" w:lineRule="auto"/>
        <w:jc w:val="both"/>
        <w:rPr>
          <w:rFonts w:ascii="Times New Roman" w:eastAsia="Times New Roman" w:hAnsi="Times New Roman" w:cs="Times New Roman"/>
        </w:rPr>
      </w:pPr>
      <w:r w:rsidRPr="0057307B">
        <w:rPr>
          <w:rFonts w:ascii="Times New Roman" w:eastAsia="Times New Roman" w:hAnsi="Times New Roman" w:cs="Times New Roman"/>
          <w:b/>
        </w:rPr>
        <w:t>Capa de acceso y plano de datos</w:t>
      </w:r>
      <w:r w:rsidRPr="0057307B">
        <w:rPr>
          <w:rFonts w:ascii="Times New Roman" w:eastAsia="Times New Roman" w:hAnsi="Times New Roman"/>
          <w:b/>
        </w:rPr>
        <w:t>:</w:t>
      </w:r>
      <w:r w:rsidR="0057307B">
        <w:rPr>
          <w:rFonts w:ascii="Times New Roman" w:eastAsia="Times New Roman" w:hAnsi="Times New Roman"/>
          <w:b/>
        </w:rPr>
        <w:t xml:space="preserve"> </w:t>
      </w:r>
      <w:r w:rsidR="00EA5EF3" w:rsidRPr="0057307B">
        <w:rPr>
          <w:rFonts w:ascii="Times New Roman" w:eastAsia="Times New Roman" w:hAnsi="Times New Roman" w:cs="Times New Roman"/>
        </w:rPr>
        <w:t xml:space="preserve">Las EN ponen los datos agregados recogidos de los sensores en el paquete </w:t>
      </w:r>
      <w:proofErr w:type="spellStart"/>
      <w:r w:rsidR="00EA5EF3" w:rsidRPr="0057307B">
        <w:rPr>
          <w:rFonts w:ascii="Times New Roman" w:eastAsia="Times New Roman" w:hAnsi="Times New Roman" w:cs="Times New Roman"/>
        </w:rPr>
        <w:t>SDWSN_Traffic_General</w:t>
      </w:r>
      <w:proofErr w:type="spellEnd"/>
      <w:r w:rsidR="00EA5EF3" w:rsidRPr="0057307B">
        <w:rPr>
          <w:rFonts w:ascii="Times New Roman" w:eastAsia="Times New Roman" w:hAnsi="Times New Roman" w:cs="Times New Roman"/>
        </w:rPr>
        <w:t xml:space="preserve"> (Figura 4) y unifican el paquete al SDSW asociado en modo de salto único. A la llegada de un paquete </w:t>
      </w:r>
      <w:proofErr w:type="spellStart"/>
      <w:r w:rsidR="00EA5EF3" w:rsidRPr="0057307B">
        <w:rPr>
          <w:rFonts w:ascii="Times New Roman" w:eastAsia="Times New Roman" w:hAnsi="Times New Roman" w:cs="Times New Roman"/>
        </w:rPr>
        <w:t>SDWSN_Traffic_General</w:t>
      </w:r>
      <w:proofErr w:type="spellEnd"/>
      <w:r w:rsidR="00EA5EF3" w:rsidRPr="0057307B">
        <w:rPr>
          <w:rFonts w:ascii="Times New Roman" w:eastAsia="Times New Roman" w:hAnsi="Times New Roman" w:cs="Times New Roman"/>
        </w:rPr>
        <w:t xml:space="preserve">, el SDSW clasifica el paquete en la aplicación correspondiente mediante el uso del 'Módulo de clasificación de aplicaciones' (Algoritmo 1). En esta etapa, la identificación de la aplicación y el NOMBRE de la APLICACIÓN se rellenan con el paquete </w:t>
      </w:r>
      <w:r w:rsidR="00EA5EF3" w:rsidRPr="0057307B">
        <w:rPr>
          <w:rFonts w:ascii="Times New Roman" w:eastAsia="Times New Roman" w:hAnsi="Times New Roman" w:cs="Times New Roman"/>
        </w:rPr>
        <w:lastRenderedPageBreak/>
        <w:t>entrante (Figura 5). Después de clasificar y etiquetar cada paquete con una ID y nombre de aplicación particular, SDSW realiza la búsqueda de tabla en la tabla de flujo. Cuando se encuentra un flujo, la acción asociada con este flujo o aplicación se ejecuta para este paquete. Luego, el paquete se etiqueta como resuelto y se empuja hacia abajo a la capa de red (Fig. 6).</w:t>
      </w:r>
    </w:p>
    <w:p w:rsidR="00EA5EF3" w:rsidRDefault="00EA5EF3" w:rsidP="0057307B">
      <w:pPr>
        <w:spacing w:line="240" w:lineRule="auto"/>
        <w:ind w:left="20" w:right="20"/>
        <w:jc w:val="both"/>
        <w:rPr>
          <w:rFonts w:ascii="Times New Roman" w:eastAsia="Times New Roman" w:hAnsi="Times New Roman"/>
        </w:rPr>
      </w:pPr>
      <w:r w:rsidRPr="0057307B">
        <w:rPr>
          <w:rFonts w:ascii="Times New Roman" w:eastAsia="Times New Roman" w:hAnsi="Times New Roman" w:cs="Times New Roman"/>
        </w:rPr>
        <w:t>En el caso de una falla de flujo, el SDSW almacena el paquete en Buffer no resuelto y crea un paquete de control (</w:t>
      </w:r>
      <w:proofErr w:type="spellStart"/>
      <w:r w:rsidRPr="0057307B">
        <w:rPr>
          <w:rFonts w:ascii="Times New Roman" w:eastAsia="Times New Roman" w:hAnsi="Times New Roman" w:cs="Times New Roman"/>
        </w:rPr>
        <w:t>SDWSN_Cntrl_Pkt</w:t>
      </w:r>
      <w:proofErr w:type="spellEnd"/>
      <w:r w:rsidRPr="0057307B">
        <w:rPr>
          <w:rFonts w:ascii="Times New Roman" w:eastAsia="Times New Roman" w:hAnsi="Times New Roman" w:cs="Times New Roman"/>
        </w:rPr>
        <w:t>, ver la Fig. 7) al replicar solo el preámbulo</w:t>
      </w:r>
      <w:r w:rsidRPr="0057307B">
        <w:rPr>
          <w:rFonts w:ascii="Times New Roman" w:eastAsia="Times New Roman" w:hAnsi="Times New Roman"/>
        </w:rPr>
        <w:t xml:space="preserve"> </w:t>
      </w:r>
      <w:r w:rsidRPr="0057307B">
        <w:rPr>
          <w:rFonts w:ascii="Times New Roman" w:eastAsia="Times New Roman" w:hAnsi="Times New Roman" w:cs="Times New Roman"/>
        </w:rPr>
        <w:t xml:space="preserve">del paquete </w:t>
      </w:r>
      <w:proofErr w:type="spellStart"/>
      <w:r w:rsidRPr="0057307B">
        <w:rPr>
          <w:rFonts w:ascii="Times New Roman" w:eastAsia="Times New Roman" w:hAnsi="Times New Roman" w:cs="Times New Roman"/>
        </w:rPr>
        <w:t>SDWSN_App</w:t>
      </w:r>
      <w:proofErr w:type="spellEnd"/>
      <w:r w:rsidRPr="0057307B">
        <w:rPr>
          <w:rFonts w:ascii="Times New Roman" w:eastAsia="Times New Roman" w:hAnsi="Times New Roman" w:cs="Times New Roman"/>
        </w:rPr>
        <w:t xml:space="preserve">. Luego reenvía el </w:t>
      </w:r>
      <w:proofErr w:type="spellStart"/>
      <w:r w:rsidRPr="0057307B">
        <w:rPr>
          <w:rFonts w:ascii="Times New Roman" w:eastAsia="Times New Roman" w:hAnsi="Times New Roman" w:cs="Times New Roman"/>
        </w:rPr>
        <w:t>SDWSN_Cntrl_Pkt</w:t>
      </w:r>
      <w:proofErr w:type="spellEnd"/>
      <w:r w:rsidRPr="0057307B">
        <w:rPr>
          <w:rFonts w:ascii="Times New Roman" w:eastAsia="Times New Roman" w:hAnsi="Times New Roman" w:cs="Times New Roman"/>
        </w:rPr>
        <w:t xml:space="preserve"> al controlador. El controlador responde con </w:t>
      </w:r>
      <w:proofErr w:type="spellStart"/>
      <w:r w:rsidRPr="0057307B">
        <w:rPr>
          <w:rFonts w:ascii="Times New Roman" w:eastAsia="Times New Roman" w:hAnsi="Times New Roman" w:cs="Times New Roman"/>
        </w:rPr>
        <w:t>SDWSN_Cntrl_Pkt_Actions</w:t>
      </w:r>
      <w:proofErr w:type="spellEnd"/>
      <w:r w:rsidRPr="0057307B">
        <w:rPr>
          <w:rFonts w:ascii="Times New Roman" w:eastAsia="Times New Roman" w:hAnsi="Times New Roman" w:cs="Times New Roman"/>
        </w:rPr>
        <w:t xml:space="preserve"> (Fig. 8) al SDSW solicitante. En </w:t>
      </w:r>
      <w:proofErr w:type="spellStart"/>
      <w:r w:rsidRPr="0057307B">
        <w:rPr>
          <w:rFonts w:ascii="Times New Roman" w:eastAsia="Times New Roman" w:hAnsi="Times New Roman" w:cs="Times New Roman"/>
        </w:rPr>
        <w:t>SDWSN_Cntrl_Pkt_Actions</w:t>
      </w:r>
      <w:proofErr w:type="spellEnd"/>
      <w:r w:rsidRPr="0057307B">
        <w:rPr>
          <w:rFonts w:ascii="Times New Roman" w:eastAsia="Times New Roman" w:hAnsi="Times New Roman" w:cs="Times New Roman"/>
        </w:rPr>
        <w:t xml:space="preserve">, el controlador incluye la acción requerida para el tráfico respectivo. Después de recibir el paquete </w:t>
      </w:r>
      <w:proofErr w:type="spellStart"/>
      <w:r w:rsidRPr="0057307B">
        <w:rPr>
          <w:rFonts w:ascii="Times New Roman" w:eastAsia="Times New Roman" w:hAnsi="Times New Roman" w:cs="Times New Roman"/>
        </w:rPr>
        <w:t>SDWSN_Cntrl_Pkt_Actions</w:t>
      </w:r>
      <w:proofErr w:type="spellEnd"/>
      <w:r w:rsidRPr="0057307B">
        <w:rPr>
          <w:rFonts w:ascii="Times New Roman" w:eastAsia="Times New Roman" w:hAnsi="Times New Roman" w:cs="Times New Roman"/>
        </w:rPr>
        <w:t xml:space="preserve">, el SDSW crea un nuevo flujo en la tabla de flujo y saca el paquete de aplicación correspondiente de </w:t>
      </w:r>
      <w:proofErr w:type="spellStart"/>
      <w:r w:rsidRPr="0057307B">
        <w:rPr>
          <w:rFonts w:ascii="Times New Roman" w:eastAsia="Times New Roman" w:hAnsi="Times New Roman" w:cs="Times New Roman"/>
        </w:rPr>
        <w:t>unresolvedBuffer</w:t>
      </w:r>
      <w:proofErr w:type="spellEnd"/>
      <w:r w:rsidRPr="0057307B">
        <w:rPr>
          <w:rFonts w:ascii="Times New Roman" w:eastAsia="Times New Roman" w:hAnsi="Times New Roman" w:cs="Times New Roman"/>
        </w:rPr>
        <w:t xml:space="preserve"> no resuelto y lo empuja al </w:t>
      </w:r>
      <w:proofErr w:type="spellStart"/>
      <w:r w:rsidRPr="0057307B">
        <w:rPr>
          <w:rFonts w:ascii="Times New Roman" w:eastAsia="Times New Roman" w:hAnsi="Times New Roman" w:cs="Times New Roman"/>
        </w:rPr>
        <w:t>intermediateBuffer</w:t>
      </w:r>
      <w:proofErr w:type="spellEnd"/>
      <w:r w:rsidRPr="0057307B">
        <w:rPr>
          <w:rFonts w:ascii="Times New Roman" w:eastAsia="Times New Roman" w:hAnsi="Times New Roman" w:cs="Times New Roman"/>
        </w:rPr>
        <w:t>.</w:t>
      </w:r>
    </w:p>
    <w:p w:rsidR="0001654F" w:rsidRPr="0057307B" w:rsidRDefault="0057307B" w:rsidP="0057307B">
      <w:pPr>
        <w:spacing w:line="240" w:lineRule="auto"/>
        <w:ind w:left="20" w:right="20"/>
        <w:jc w:val="both"/>
        <w:rPr>
          <w:rFonts w:ascii="Times New Roman" w:eastAsia="Times New Roman" w:hAnsi="Times New Roman"/>
        </w:rPr>
      </w:pPr>
      <w:r w:rsidRPr="0057307B">
        <w:rPr>
          <w:rFonts w:ascii="Times New Roman" w:eastAsia="Times New Roman" w:hAnsi="Times New Roman" w:cs="Times New Roman"/>
          <w:b/>
        </w:rPr>
        <w:t>Plano de control</w:t>
      </w:r>
      <w:r>
        <w:rPr>
          <w:rFonts w:ascii="Times New Roman" w:eastAsia="Times New Roman" w:hAnsi="Times New Roman"/>
          <w:b/>
        </w:rPr>
        <w:t xml:space="preserve"> :</w:t>
      </w:r>
      <w:r w:rsidR="00EA5EF3" w:rsidRPr="0057307B">
        <w:rPr>
          <w:rFonts w:ascii="Times New Roman" w:eastAsia="Times New Roman" w:hAnsi="Times New Roman" w:cs="Times New Roman"/>
        </w:rPr>
        <w:t>Un administrador de red configura, modifica e instala una nueva aplicación de la red en un controlador. El controlador difunde inmediatamente la actualización a otros controladores y SDSW asociados. Los controladores de destinatarios insertan esta actualización en sus SDSW asociados. La segunda función central de un controlador es proporcionar los mensajes de control de flujo a los SDSW. En el caso de un flujo proactivo,</w:t>
      </w:r>
      <w:r w:rsidR="00EA5EF3" w:rsidRPr="0057307B">
        <w:rPr>
          <w:rFonts w:ascii="Times New Roman" w:eastAsia="Times New Roman" w:hAnsi="Times New Roman"/>
        </w:rPr>
        <w:t xml:space="preserve"> </w:t>
      </w:r>
      <w:r w:rsidR="00EA5EF3" w:rsidRPr="0057307B">
        <w:rPr>
          <w:rFonts w:ascii="Times New Roman" w:eastAsia="Times New Roman" w:hAnsi="Times New Roman" w:cs="Times New Roman"/>
        </w:rPr>
        <w:t>el controlador empuja el flujo (</w:t>
      </w:r>
      <w:proofErr w:type="spellStart"/>
      <w:r w:rsidR="00EA5EF3" w:rsidRPr="0057307B">
        <w:rPr>
          <w:rFonts w:ascii="Times New Roman" w:eastAsia="Times New Roman" w:hAnsi="Times New Roman" w:cs="Times New Roman"/>
        </w:rPr>
        <w:t>SDWSN_Proactive_Cntrl_Pkt_Actions</w:t>
      </w:r>
      <w:proofErr w:type="spellEnd"/>
      <w:r w:rsidR="00EA5EF3" w:rsidRPr="0057307B">
        <w:rPr>
          <w:rFonts w:ascii="Times New Roman" w:eastAsia="Times New Roman" w:hAnsi="Times New Roman" w:cs="Times New Roman"/>
        </w:rPr>
        <w:t xml:space="preserve">) (Fig. 9) a los SDSW inmediatamente después de desplegar una nueva aplicación, mientras que en el caso de un flujo reactivo, el controlador responde con </w:t>
      </w:r>
      <w:proofErr w:type="spellStart"/>
      <w:r w:rsidR="00EA5EF3" w:rsidRPr="0057307B">
        <w:rPr>
          <w:rFonts w:ascii="Times New Roman" w:eastAsia="Times New Roman" w:hAnsi="Times New Roman" w:cs="Times New Roman"/>
        </w:rPr>
        <w:t>SDWSN_Cntrl_Pkt_Actions</w:t>
      </w:r>
      <w:proofErr w:type="spellEnd"/>
      <w:r w:rsidR="00EA5EF3" w:rsidRPr="0057307B">
        <w:rPr>
          <w:rFonts w:ascii="Times New Roman" w:eastAsia="Times New Roman" w:hAnsi="Times New Roman" w:cs="Times New Roman"/>
        </w:rPr>
        <w:t xml:space="preserve"> solo después de recibir un </w:t>
      </w:r>
      <w:proofErr w:type="spellStart"/>
      <w:r w:rsidR="00EA5EF3" w:rsidRPr="0057307B">
        <w:rPr>
          <w:rFonts w:ascii="Times New Roman" w:eastAsia="Times New Roman" w:hAnsi="Times New Roman" w:cs="Times New Roman"/>
        </w:rPr>
        <w:t>SDWSN_Cntrl_Pkt</w:t>
      </w:r>
      <w:proofErr w:type="spellEnd"/>
      <w:r w:rsidR="00EA5EF3" w:rsidRPr="0057307B">
        <w:rPr>
          <w:rFonts w:ascii="Times New Roman" w:eastAsia="Times New Roman" w:hAnsi="Times New Roman" w:cs="Times New Roman"/>
        </w:rPr>
        <w:t xml:space="preserve"> .</w:t>
      </w:r>
    </w:p>
    <w:p w:rsidR="00D84EF6" w:rsidRPr="0057307B" w:rsidRDefault="00EA5EF3" w:rsidP="0057307B">
      <w:pPr>
        <w:spacing w:line="240" w:lineRule="auto"/>
        <w:jc w:val="both"/>
        <w:rPr>
          <w:rFonts w:ascii="Times New Roman" w:eastAsia="Times New Roman" w:hAnsi="Times New Roman"/>
          <w:b/>
        </w:rPr>
      </w:pPr>
      <w:r w:rsidRPr="0057307B">
        <w:rPr>
          <w:rFonts w:ascii="Times New Roman" w:eastAsia="Times New Roman" w:hAnsi="Times New Roman"/>
          <w:b/>
        </w:rPr>
        <w:t>TASA DE EXITO</w:t>
      </w:r>
    </w:p>
    <w:p w:rsidR="00EA5EF3" w:rsidRPr="0057307B" w:rsidRDefault="00EA5EF3" w:rsidP="0057307B">
      <w:pPr>
        <w:spacing w:line="240" w:lineRule="auto"/>
        <w:ind w:left="20" w:right="20"/>
        <w:jc w:val="both"/>
        <w:rPr>
          <w:rFonts w:ascii="Times New Roman" w:eastAsia="Times New Roman" w:hAnsi="Times New Roman" w:cs="Times New Roman"/>
        </w:rPr>
      </w:pPr>
      <w:r w:rsidRPr="0057307B">
        <w:rPr>
          <w:rFonts w:ascii="Times New Roman" w:eastAsia="Times New Roman" w:hAnsi="Times New Roman" w:cs="Times New Roman"/>
        </w:rPr>
        <w:t>Aunque el número de aplicaciones aumenta gradualmente al</w:t>
      </w:r>
      <w:r w:rsidRPr="0057307B">
        <w:rPr>
          <w:rFonts w:ascii="Times New Roman" w:eastAsia="Times New Roman" w:hAnsi="Times New Roman"/>
        </w:rPr>
        <w:t xml:space="preserve"> </w:t>
      </w:r>
      <w:r w:rsidRPr="0057307B">
        <w:rPr>
          <w:rFonts w:ascii="Times New Roman" w:eastAsia="Times New Roman" w:hAnsi="Times New Roman" w:cs="Times New Roman"/>
        </w:rPr>
        <w:t>aumentar</w:t>
      </w:r>
      <w:r w:rsidRPr="0057307B">
        <w:rPr>
          <w:rFonts w:ascii="Times New Roman" w:eastAsia="Times New Roman" w:hAnsi="Times New Roman" w:cs="Times New Roman"/>
        </w:rPr>
        <w:tab/>
        <w:t>el</w:t>
      </w:r>
      <w:r w:rsidRPr="0057307B">
        <w:rPr>
          <w:rFonts w:ascii="Times New Roman" w:eastAsia="Times New Roman" w:hAnsi="Times New Roman" w:cs="Times New Roman"/>
        </w:rPr>
        <w:tab/>
        <w:t>tamaño</w:t>
      </w:r>
      <w:r w:rsidRPr="0057307B">
        <w:rPr>
          <w:rFonts w:ascii="Times New Roman" w:eastAsia="Times New Roman" w:hAnsi="Times New Roman" w:cs="Times New Roman"/>
        </w:rPr>
        <w:tab/>
        <w:t>del</w:t>
      </w:r>
      <w:r w:rsidRPr="0057307B">
        <w:rPr>
          <w:rFonts w:ascii="Times New Roman" w:eastAsia="Times New Roman" w:hAnsi="Times New Roman" w:cs="Times New Roman"/>
        </w:rPr>
        <w:tab/>
        <w:t>grupo,</w:t>
      </w:r>
      <w:r w:rsidRPr="0057307B">
        <w:rPr>
          <w:rFonts w:ascii="Times New Roman" w:eastAsia="Times New Roman" w:hAnsi="Times New Roman"/>
        </w:rPr>
        <w:t xml:space="preserve"> </w:t>
      </w:r>
      <w:r w:rsidRPr="0057307B">
        <w:rPr>
          <w:rFonts w:ascii="Times New Roman" w:eastAsia="Times New Roman" w:hAnsi="Times New Roman" w:cs="Times New Roman"/>
        </w:rPr>
        <w:t>mantenemos</w:t>
      </w:r>
      <w:r w:rsidRPr="0057307B">
        <w:rPr>
          <w:rFonts w:ascii="Times New Roman" w:eastAsia="Times New Roman" w:hAnsi="Times New Roman" w:cs="Times New Roman"/>
        </w:rPr>
        <w:tab/>
        <w:t>la</w:t>
      </w:r>
      <w:r w:rsidRPr="0057307B">
        <w:rPr>
          <w:rFonts w:ascii="Times New Roman" w:eastAsia="Times New Roman" w:hAnsi="Times New Roman" w:cs="Times New Roman"/>
        </w:rPr>
        <w:tab/>
        <w:t>tasa</w:t>
      </w:r>
      <w:r w:rsidRPr="0057307B">
        <w:rPr>
          <w:rFonts w:ascii="Times New Roman" w:eastAsia="Times New Roman" w:hAnsi="Times New Roman" w:cs="Times New Roman"/>
        </w:rPr>
        <w:tab/>
        <w:t>de</w:t>
      </w:r>
      <w:r w:rsidRPr="0057307B">
        <w:rPr>
          <w:rFonts w:ascii="Times New Roman" w:eastAsia="Times New Roman" w:hAnsi="Times New Roman"/>
        </w:rPr>
        <w:t xml:space="preserve"> </w:t>
      </w:r>
      <w:r w:rsidRPr="0057307B">
        <w:rPr>
          <w:rFonts w:ascii="Times New Roman" w:eastAsia="Times New Roman" w:hAnsi="Times New Roman" w:cs="Times New Roman"/>
        </w:rPr>
        <w:t>generación de paquetes como constante para cada grupo. Por lo</w:t>
      </w:r>
      <w:r w:rsidRPr="0057307B">
        <w:rPr>
          <w:rFonts w:ascii="Times New Roman" w:eastAsia="Times New Roman" w:hAnsi="Times New Roman"/>
        </w:rPr>
        <w:t xml:space="preserve"> </w:t>
      </w:r>
      <w:r w:rsidRPr="0057307B">
        <w:rPr>
          <w:rFonts w:ascii="Times New Roman" w:eastAsia="Times New Roman" w:hAnsi="Times New Roman" w:cs="Times New Roman"/>
        </w:rPr>
        <w:t>tanto, cuando el número de aplicaciones es alto, la tasa de</w:t>
      </w:r>
      <w:r w:rsidRPr="0057307B">
        <w:rPr>
          <w:rFonts w:ascii="Times New Roman" w:eastAsia="Times New Roman" w:hAnsi="Times New Roman"/>
        </w:rPr>
        <w:t xml:space="preserve"> </w:t>
      </w:r>
      <w:r w:rsidRPr="0057307B">
        <w:rPr>
          <w:rFonts w:ascii="Times New Roman" w:eastAsia="Times New Roman" w:hAnsi="Times New Roman" w:cs="Times New Roman"/>
        </w:rPr>
        <w:t>tráfico para una aplicación particular de las EN a SDSW se</w:t>
      </w:r>
      <w:r w:rsidRPr="0057307B">
        <w:rPr>
          <w:rFonts w:ascii="Times New Roman" w:eastAsia="Times New Roman" w:hAnsi="Times New Roman"/>
        </w:rPr>
        <w:t xml:space="preserve"> </w:t>
      </w:r>
      <w:r w:rsidRPr="0057307B">
        <w:rPr>
          <w:rFonts w:ascii="Times New Roman" w:eastAsia="Times New Roman" w:hAnsi="Times New Roman" w:cs="Times New Roman"/>
        </w:rPr>
        <w:t>reduce mientras que la variación del tráfico aumenta. Con el</w:t>
      </w:r>
      <w:r w:rsidRPr="0057307B">
        <w:rPr>
          <w:rFonts w:ascii="Times New Roman" w:eastAsia="Times New Roman" w:hAnsi="Times New Roman"/>
        </w:rPr>
        <w:t xml:space="preserve"> </w:t>
      </w:r>
      <w:r w:rsidRPr="0057307B">
        <w:rPr>
          <w:rFonts w:ascii="Times New Roman" w:eastAsia="Times New Roman" w:hAnsi="Times New Roman" w:cs="Times New Roman"/>
        </w:rPr>
        <w:t>tiempo, la probabilidad de recibir paquetes de aplicaciones del</w:t>
      </w:r>
      <w:r w:rsidRPr="0057307B">
        <w:rPr>
          <w:rFonts w:ascii="Times New Roman" w:eastAsia="Times New Roman" w:hAnsi="Times New Roman"/>
        </w:rPr>
        <w:t xml:space="preserve"> </w:t>
      </w:r>
      <w:r w:rsidRPr="0057307B">
        <w:rPr>
          <w:rFonts w:ascii="Times New Roman" w:eastAsia="Times New Roman" w:hAnsi="Times New Roman" w:cs="Times New Roman"/>
        </w:rPr>
        <w:t>mismo tipo disminuye, mientras que aumenta la posibilidad de</w:t>
      </w:r>
      <w:r w:rsidRPr="0057307B">
        <w:rPr>
          <w:rFonts w:ascii="Times New Roman" w:eastAsia="Times New Roman" w:hAnsi="Times New Roman"/>
        </w:rPr>
        <w:t xml:space="preserve"> </w:t>
      </w:r>
      <w:r w:rsidRPr="0057307B">
        <w:rPr>
          <w:rFonts w:ascii="Times New Roman" w:eastAsia="Times New Roman" w:hAnsi="Times New Roman" w:cs="Times New Roman"/>
        </w:rPr>
        <w:t>recibir paquetes de aplicaciones de una gama más amplia de</w:t>
      </w:r>
      <w:r w:rsidRPr="0057307B">
        <w:rPr>
          <w:rFonts w:ascii="Times New Roman" w:eastAsia="Times New Roman" w:hAnsi="Times New Roman"/>
        </w:rPr>
        <w:t xml:space="preserve"> </w:t>
      </w:r>
      <w:r w:rsidRPr="0057307B">
        <w:rPr>
          <w:rFonts w:ascii="Times New Roman" w:eastAsia="Times New Roman" w:hAnsi="Times New Roman" w:cs="Times New Roman"/>
        </w:rPr>
        <w:t>tipos</w:t>
      </w:r>
      <w:r w:rsidRPr="0057307B">
        <w:rPr>
          <w:rFonts w:ascii="Times New Roman" w:eastAsia="Times New Roman" w:hAnsi="Times New Roman" w:cs="Times New Roman"/>
        </w:rPr>
        <w:tab/>
        <w:t>de</w:t>
      </w:r>
      <w:r w:rsidRPr="0057307B">
        <w:rPr>
          <w:rFonts w:ascii="Times New Roman" w:eastAsia="Times New Roman" w:hAnsi="Times New Roman" w:cs="Times New Roman"/>
        </w:rPr>
        <w:tab/>
        <w:t>aplicaciones.</w:t>
      </w:r>
      <w:r w:rsidRPr="0057307B">
        <w:rPr>
          <w:rFonts w:ascii="Times New Roman" w:eastAsia="Times New Roman" w:hAnsi="Times New Roman" w:cs="Times New Roman"/>
        </w:rPr>
        <w:tab/>
        <w:t>En</w:t>
      </w:r>
      <w:r w:rsidRPr="0057307B">
        <w:rPr>
          <w:rFonts w:ascii="Times New Roman" w:eastAsia="Times New Roman" w:hAnsi="Times New Roman" w:cs="Times New Roman"/>
        </w:rPr>
        <w:tab/>
        <w:t>última</w:t>
      </w:r>
      <w:r w:rsidRPr="0057307B">
        <w:rPr>
          <w:rFonts w:ascii="Times New Roman" w:eastAsia="Times New Roman" w:hAnsi="Times New Roman"/>
        </w:rPr>
        <w:t xml:space="preserve"> </w:t>
      </w:r>
      <w:r w:rsidRPr="0057307B">
        <w:rPr>
          <w:rFonts w:ascii="Times New Roman" w:eastAsia="Times New Roman" w:hAnsi="Times New Roman" w:cs="Times New Roman"/>
        </w:rPr>
        <w:t>instancia,</w:t>
      </w:r>
      <w:r w:rsidRPr="0057307B">
        <w:rPr>
          <w:rFonts w:ascii="Times New Roman" w:eastAsia="Times New Roman" w:hAnsi="Times New Roman" w:cs="Times New Roman"/>
        </w:rPr>
        <w:tab/>
        <w:t>aumentan</w:t>
      </w:r>
      <w:r w:rsidRPr="0057307B">
        <w:rPr>
          <w:rFonts w:ascii="Times New Roman" w:eastAsia="Times New Roman" w:hAnsi="Times New Roman" w:cs="Times New Roman"/>
        </w:rPr>
        <w:tab/>
        <w:t>las</w:t>
      </w:r>
      <w:r w:rsidRPr="0057307B">
        <w:rPr>
          <w:rFonts w:ascii="Times New Roman" w:eastAsia="Times New Roman" w:hAnsi="Times New Roman"/>
        </w:rPr>
        <w:t xml:space="preserve"> </w:t>
      </w:r>
      <w:r w:rsidRPr="0057307B">
        <w:rPr>
          <w:rFonts w:ascii="Times New Roman" w:eastAsia="Times New Roman" w:hAnsi="Times New Roman" w:cs="Times New Roman"/>
        </w:rPr>
        <w:t>solicitudes</w:t>
      </w:r>
      <w:r w:rsidRPr="0057307B">
        <w:rPr>
          <w:rFonts w:ascii="Times New Roman" w:eastAsia="Times New Roman" w:hAnsi="Times New Roman" w:cs="Times New Roman"/>
        </w:rPr>
        <w:tab/>
        <w:t>de</w:t>
      </w:r>
      <w:r w:rsidRPr="0057307B">
        <w:rPr>
          <w:rFonts w:ascii="Times New Roman" w:eastAsia="Times New Roman" w:hAnsi="Times New Roman" w:cs="Times New Roman"/>
        </w:rPr>
        <w:tab/>
        <w:t>flujo</w:t>
      </w:r>
      <w:r w:rsidRPr="0057307B">
        <w:rPr>
          <w:rFonts w:ascii="Times New Roman" w:eastAsia="Times New Roman" w:hAnsi="Times New Roman" w:cs="Times New Roman"/>
        </w:rPr>
        <w:tab/>
        <w:t>y</w:t>
      </w:r>
      <w:r w:rsidRPr="0057307B">
        <w:rPr>
          <w:rFonts w:ascii="Times New Roman" w:eastAsia="Times New Roman" w:hAnsi="Times New Roman" w:cs="Times New Roman"/>
        </w:rPr>
        <w:tab/>
        <w:t>las</w:t>
      </w:r>
      <w:r w:rsidRPr="0057307B">
        <w:rPr>
          <w:rFonts w:ascii="Times New Roman" w:eastAsia="Times New Roman" w:hAnsi="Times New Roman" w:cs="Times New Roman"/>
        </w:rPr>
        <w:tab/>
        <w:t>respuestas</w:t>
      </w:r>
      <w:r w:rsidRPr="0057307B">
        <w:rPr>
          <w:rFonts w:ascii="Times New Roman" w:eastAsia="Times New Roman" w:hAnsi="Times New Roman" w:cs="Times New Roman"/>
        </w:rPr>
        <w:tab/>
        <w:t>de</w:t>
      </w:r>
      <w:r w:rsidRPr="0057307B">
        <w:rPr>
          <w:rFonts w:ascii="Times New Roman" w:eastAsia="Times New Roman" w:hAnsi="Times New Roman"/>
        </w:rPr>
        <w:t xml:space="preserve"> </w:t>
      </w:r>
      <w:r w:rsidRPr="0057307B">
        <w:rPr>
          <w:rFonts w:ascii="Times New Roman" w:eastAsia="Times New Roman" w:hAnsi="Times New Roman" w:cs="Times New Roman"/>
        </w:rPr>
        <w:t>flujo</w:t>
      </w:r>
      <w:r w:rsidRPr="0057307B">
        <w:rPr>
          <w:rFonts w:ascii="Times New Roman" w:eastAsia="Times New Roman" w:hAnsi="Times New Roman"/>
        </w:rPr>
        <w:t xml:space="preserve"> </w:t>
      </w:r>
      <w:r w:rsidRPr="0057307B">
        <w:rPr>
          <w:rFonts w:ascii="Times New Roman" w:eastAsia="Times New Roman" w:hAnsi="Times New Roman" w:cs="Times New Roman"/>
        </w:rPr>
        <w:t>entre</w:t>
      </w:r>
      <w:r w:rsidRPr="0057307B">
        <w:rPr>
          <w:rFonts w:ascii="Times New Roman" w:eastAsia="Times New Roman" w:hAnsi="Times New Roman" w:cs="Times New Roman"/>
        </w:rPr>
        <w:tab/>
        <w:t>los</w:t>
      </w:r>
      <w:r w:rsidRPr="0057307B">
        <w:rPr>
          <w:rFonts w:ascii="Times New Roman" w:eastAsia="Times New Roman" w:hAnsi="Times New Roman"/>
        </w:rPr>
        <w:t xml:space="preserve"> </w:t>
      </w:r>
      <w:r w:rsidRPr="0057307B">
        <w:rPr>
          <w:rFonts w:ascii="Times New Roman" w:eastAsia="Times New Roman" w:hAnsi="Times New Roman" w:cs="Times New Roman"/>
        </w:rPr>
        <w:t>controladores SDSW y SDN. Esto aumenta la carga de tráfico</w:t>
      </w:r>
      <w:r w:rsidRPr="0057307B">
        <w:rPr>
          <w:rFonts w:ascii="Times New Roman" w:eastAsia="Times New Roman" w:hAnsi="Times New Roman"/>
        </w:rPr>
        <w:t xml:space="preserve"> </w:t>
      </w:r>
      <w:r w:rsidRPr="0057307B">
        <w:rPr>
          <w:rFonts w:ascii="Times New Roman" w:eastAsia="Times New Roman" w:hAnsi="Times New Roman" w:cs="Times New Roman"/>
        </w:rPr>
        <w:t>general en el canal de control y produce un punto de acceso</w:t>
      </w:r>
      <w:r w:rsidRPr="0057307B">
        <w:rPr>
          <w:rFonts w:ascii="Times New Roman" w:eastAsia="Times New Roman" w:hAnsi="Times New Roman"/>
        </w:rPr>
        <w:t xml:space="preserve"> </w:t>
      </w:r>
      <w:r w:rsidRPr="0057307B">
        <w:rPr>
          <w:rFonts w:ascii="Times New Roman" w:eastAsia="Times New Roman" w:hAnsi="Times New Roman" w:cs="Times New Roman"/>
        </w:rPr>
        <w:t>alrededor del controlador, lo que resulta en la caída de más</w:t>
      </w:r>
      <w:r w:rsidRPr="0057307B">
        <w:rPr>
          <w:rFonts w:ascii="Times New Roman" w:eastAsia="Times New Roman" w:hAnsi="Times New Roman"/>
        </w:rPr>
        <w:t xml:space="preserve"> </w:t>
      </w:r>
      <w:r w:rsidRPr="0057307B">
        <w:rPr>
          <w:rFonts w:ascii="Times New Roman" w:eastAsia="Times New Roman" w:hAnsi="Times New Roman" w:cs="Times New Roman"/>
        </w:rPr>
        <w:t>paquetes. Esto se visualiza adicionalmente en la figura 10 (c),</w:t>
      </w:r>
      <w:r w:rsidRPr="0057307B">
        <w:rPr>
          <w:rFonts w:ascii="Times New Roman" w:eastAsia="Times New Roman" w:hAnsi="Times New Roman"/>
        </w:rPr>
        <w:t xml:space="preserve"> </w:t>
      </w:r>
      <w:r w:rsidRPr="0057307B">
        <w:rPr>
          <w:rFonts w:ascii="Times New Roman" w:eastAsia="Times New Roman" w:hAnsi="Times New Roman" w:cs="Times New Roman"/>
        </w:rPr>
        <w:t>donde podemos ver que la tasa de éxito varía entre 95% y 100%</w:t>
      </w:r>
      <w:r w:rsidRPr="0057307B">
        <w:rPr>
          <w:rFonts w:ascii="Times New Roman" w:eastAsia="Times New Roman" w:hAnsi="Times New Roman"/>
        </w:rPr>
        <w:t xml:space="preserve"> </w:t>
      </w:r>
      <w:r w:rsidRPr="0057307B">
        <w:rPr>
          <w:rFonts w:ascii="Times New Roman" w:eastAsia="Times New Roman" w:hAnsi="Times New Roman" w:cs="Times New Roman"/>
        </w:rPr>
        <w:t>para el grupo uno (una aplicación), mientras que para el grupo</w:t>
      </w:r>
      <w:r w:rsidRPr="0057307B">
        <w:rPr>
          <w:rFonts w:ascii="Times New Roman" w:eastAsia="Times New Roman" w:hAnsi="Times New Roman"/>
        </w:rPr>
        <w:t xml:space="preserve"> </w:t>
      </w:r>
      <w:r w:rsidRPr="0057307B">
        <w:rPr>
          <w:rFonts w:ascii="Times New Roman" w:eastAsia="Times New Roman" w:hAnsi="Times New Roman" w:cs="Times New Roman"/>
        </w:rPr>
        <w:t>cinco (20 aplicaciones) varía entre 75% y 85%.</w:t>
      </w:r>
    </w:p>
    <w:p w:rsidR="00D84EF6" w:rsidRDefault="0057307B" w:rsidP="0057307B">
      <w:pPr>
        <w:spacing w:line="240" w:lineRule="auto"/>
        <w:jc w:val="both"/>
        <w:rPr>
          <w:rFonts w:ascii="Times New Roman" w:hAnsi="Times New Roman" w:cs="Times New Roman"/>
          <w:b/>
        </w:rPr>
      </w:pPr>
      <w:r w:rsidRPr="0057307B">
        <w:rPr>
          <w:rFonts w:ascii="Times New Roman" w:hAnsi="Times New Roman" w:cs="Times New Roman"/>
          <w:b/>
        </w:rPr>
        <w:t>LATENCIA</w:t>
      </w:r>
    </w:p>
    <w:p w:rsidR="0057307B" w:rsidRDefault="0057307B" w:rsidP="0057307B">
      <w:pPr>
        <w:spacing w:line="0" w:lineRule="atLeast"/>
        <w:jc w:val="both"/>
        <w:rPr>
          <w:rFonts w:ascii="Times New Roman" w:eastAsia="Times New Roman" w:hAnsi="Times New Roman" w:cs="Times New Roman"/>
        </w:rPr>
      </w:pPr>
      <w:r>
        <w:rPr>
          <w:rFonts w:ascii="Times New Roman" w:eastAsia="Times New Roman" w:hAnsi="Times New Roman" w:cs="Times New Roman"/>
        </w:rPr>
        <w:t>La Fig. 11 (a) representa la</w:t>
      </w:r>
      <w:r>
        <w:rPr>
          <w:rFonts w:ascii="Times New Roman" w:eastAsia="Times New Roman" w:hAnsi="Times New Roman"/>
        </w:rPr>
        <w:t xml:space="preserve"> </w:t>
      </w:r>
      <w:r>
        <w:rPr>
          <w:rFonts w:ascii="Times New Roman" w:eastAsia="Times New Roman" w:hAnsi="Times New Roman" w:cs="Times New Roman"/>
        </w:rPr>
        <w:t>latencia promedio de los grupos de aplicaciones a lo largo del</w:t>
      </w:r>
      <w:r>
        <w:rPr>
          <w:rFonts w:ascii="Times New Roman" w:eastAsia="Times New Roman" w:hAnsi="Times New Roman"/>
        </w:rPr>
        <w:t xml:space="preserve"> </w:t>
      </w:r>
      <w:r>
        <w:rPr>
          <w:rFonts w:ascii="Times New Roman" w:eastAsia="Times New Roman" w:hAnsi="Times New Roman" w:cs="Times New Roman"/>
        </w:rPr>
        <w:t xml:space="preserve">tiempo. </w:t>
      </w:r>
      <w:r>
        <w:rPr>
          <w:rFonts w:ascii="Times New Roman" w:eastAsia="Times New Roman" w:hAnsi="Times New Roman"/>
        </w:rPr>
        <w:t>p</w:t>
      </w:r>
      <w:r>
        <w:rPr>
          <w:rFonts w:ascii="Times New Roman" w:eastAsia="Times New Roman" w:hAnsi="Times New Roman" w:cs="Times New Roman"/>
        </w:rPr>
        <w:t>ara una representación explícita, la latencia promedio</w:t>
      </w:r>
      <w:r>
        <w:rPr>
          <w:rFonts w:ascii="Times New Roman" w:eastAsia="Times New Roman" w:hAnsi="Times New Roman"/>
        </w:rPr>
        <w:t xml:space="preserve"> </w:t>
      </w:r>
      <w:r>
        <w:rPr>
          <w:rFonts w:ascii="Times New Roman" w:eastAsia="Times New Roman" w:hAnsi="Times New Roman" w:cs="Times New Roman"/>
        </w:rPr>
        <w:t>de cada grupo se muestra en la figura 11 (b) con el percentil</w:t>
      </w:r>
      <w:r>
        <w:rPr>
          <w:rFonts w:ascii="Times New Roman" w:eastAsia="Times New Roman" w:hAnsi="Times New Roman"/>
        </w:rPr>
        <w:t xml:space="preserve"> </w:t>
      </w:r>
      <w:r>
        <w:rPr>
          <w:rFonts w:ascii="Times New Roman" w:eastAsia="Times New Roman" w:hAnsi="Times New Roman" w:cs="Times New Roman"/>
        </w:rPr>
        <w:t>95 y 5. De la Fig. 11 (b), se puede ver que la latencia</w:t>
      </w:r>
      <w:r>
        <w:rPr>
          <w:rFonts w:ascii="Times New Roman" w:eastAsia="Times New Roman" w:hAnsi="Times New Roman"/>
        </w:rPr>
        <w:t xml:space="preserve"> </w:t>
      </w:r>
      <w:r>
        <w:rPr>
          <w:rFonts w:ascii="Times New Roman" w:eastAsia="Times New Roman" w:hAnsi="Times New Roman" w:cs="Times New Roman"/>
        </w:rPr>
        <w:t xml:space="preserve">promedio aumenta </w:t>
      </w:r>
      <w:r>
        <w:rPr>
          <w:rFonts w:ascii="Times New Roman" w:eastAsia="Times New Roman" w:hAnsi="Times New Roman"/>
        </w:rPr>
        <w:t>G</w:t>
      </w:r>
      <w:r>
        <w:rPr>
          <w:rFonts w:ascii="Times New Roman" w:eastAsia="Times New Roman" w:hAnsi="Times New Roman" w:cs="Times New Roman"/>
        </w:rPr>
        <w:t>radualmente a medida que aumenta el</w:t>
      </w:r>
      <w:r>
        <w:rPr>
          <w:rFonts w:ascii="Times New Roman" w:eastAsia="Times New Roman" w:hAnsi="Times New Roman"/>
        </w:rPr>
        <w:t xml:space="preserve"> </w:t>
      </w:r>
      <w:r>
        <w:rPr>
          <w:rFonts w:ascii="Times New Roman" w:eastAsia="Times New Roman" w:hAnsi="Times New Roman" w:cs="Times New Roman"/>
        </w:rPr>
        <w:t>número de aplicaciones. Sucede debido a un mayor número de</w:t>
      </w:r>
      <w:r>
        <w:rPr>
          <w:rFonts w:ascii="Times New Roman" w:eastAsia="Times New Roman" w:hAnsi="Times New Roman"/>
        </w:rPr>
        <w:t xml:space="preserve"> </w:t>
      </w:r>
      <w:r>
        <w:rPr>
          <w:rFonts w:ascii="Times New Roman" w:eastAsia="Times New Roman" w:hAnsi="Times New Roman" w:cs="Times New Roman"/>
        </w:rPr>
        <w:t>paquetes de control entre los controladores SDSW y SDN para</w:t>
      </w:r>
      <w:r>
        <w:rPr>
          <w:rFonts w:ascii="Times New Roman" w:eastAsia="Times New Roman" w:hAnsi="Times New Roman"/>
        </w:rPr>
        <w:t xml:space="preserve"> </w:t>
      </w:r>
      <w:r>
        <w:rPr>
          <w:rFonts w:ascii="Times New Roman" w:eastAsia="Times New Roman" w:hAnsi="Times New Roman" w:cs="Times New Roman"/>
        </w:rPr>
        <w:t>la creciente variación de aplicaciones. De la Fig. 11 (c),</w:t>
      </w:r>
      <w:r>
        <w:rPr>
          <w:rFonts w:ascii="Times New Roman" w:eastAsia="Times New Roman" w:hAnsi="Times New Roman"/>
        </w:rPr>
        <w:t xml:space="preserve"> </w:t>
      </w:r>
      <w:r>
        <w:rPr>
          <w:rFonts w:ascii="Times New Roman" w:eastAsia="Times New Roman" w:hAnsi="Times New Roman" w:cs="Times New Roman"/>
        </w:rPr>
        <w:t>podemos ver que el sistema resuelve paquetes al 100% dentro</w:t>
      </w:r>
      <w:r>
        <w:rPr>
          <w:rFonts w:ascii="Times New Roman" w:eastAsia="Times New Roman" w:hAnsi="Times New Roman"/>
        </w:rPr>
        <w:t xml:space="preserve"> </w:t>
      </w:r>
      <w:r>
        <w:rPr>
          <w:rFonts w:ascii="Times New Roman" w:eastAsia="Times New Roman" w:hAnsi="Times New Roman" w:cs="Times New Roman"/>
        </w:rPr>
        <w:t>de los 24 ms cuando una aplicación (grupo uno) se está</w:t>
      </w:r>
      <w:r>
        <w:rPr>
          <w:rFonts w:ascii="Times New Roman" w:eastAsia="Times New Roman" w:hAnsi="Times New Roman"/>
        </w:rPr>
        <w:t xml:space="preserve"> </w:t>
      </w:r>
      <w:r w:rsidRPr="0057307B">
        <w:rPr>
          <w:rFonts w:ascii="Times New Roman" w:eastAsia="Times New Roman" w:hAnsi="Times New Roman" w:cs="Times New Roman"/>
        </w:rPr>
        <w:t>ejecutando en la red.</w:t>
      </w:r>
      <w:r w:rsidRPr="0057307B">
        <w:rPr>
          <w:rFonts w:ascii="Times New Roman" w:eastAsia="Times New Roman" w:hAnsi="Times New Roman"/>
        </w:rPr>
        <w:t xml:space="preserve"> </w:t>
      </w:r>
      <w:r>
        <w:rPr>
          <w:rFonts w:ascii="Times New Roman" w:eastAsia="Times New Roman" w:hAnsi="Times New Roman" w:cs="Times New Roman"/>
        </w:rPr>
        <w:t>Mientras que para el grupo cinco (20 aplicaciones), la latencia</w:t>
      </w:r>
      <w:r>
        <w:rPr>
          <w:rFonts w:ascii="Times New Roman" w:eastAsia="Times New Roman" w:hAnsi="Times New Roman"/>
        </w:rPr>
        <w:t xml:space="preserve"> </w:t>
      </w:r>
      <w:r>
        <w:rPr>
          <w:rFonts w:ascii="Times New Roman" w:eastAsia="Times New Roman" w:hAnsi="Times New Roman" w:cs="Times New Roman"/>
        </w:rPr>
        <w:t>varía de 60 ms a 100 ms para resolver todos los paquetes</w:t>
      </w:r>
    </w:p>
    <w:p w:rsidR="0057307B" w:rsidRPr="0057307B" w:rsidRDefault="0057307B" w:rsidP="0057307B">
      <w:pPr>
        <w:spacing w:line="0" w:lineRule="atLeast"/>
        <w:jc w:val="both"/>
        <w:rPr>
          <w:rFonts w:ascii="Times New Roman" w:eastAsia="Times New Roman" w:hAnsi="Times New Roman" w:cs="Times New Roman"/>
        </w:rPr>
      </w:pPr>
    </w:p>
    <w:p w:rsidR="0057307B" w:rsidRPr="0057307B" w:rsidRDefault="0057307B" w:rsidP="0057307B">
      <w:pPr>
        <w:spacing w:line="240" w:lineRule="auto"/>
        <w:jc w:val="both"/>
        <w:rPr>
          <w:rFonts w:ascii="Times New Roman" w:hAnsi="Times New Roman" w:cs="Times New Roman"/>
          <w:b/>
        </w:rPr>
      </w:pPr>
    </w:p>
    <w:p w:rsidR="00D84EF6" w:rsidRPr="0057307B" w:rsidRDefault="00D84EF6" w:rsidP="0057307B">
      <w:pPr>
        <w:spacing w:line="240" w:lineRule="auto"/>
        <w:jc w:val="both"/>
        <w:rPr>
          <w:rFonts w:ascii="Times New Roman" w:hAnsi="Times New Roman" w:cs="Times New Roman"/>
          <w:b/>
        </w:rPr>
      </w:pPr>
    </w:p>
    <w:p w:rsidR="0057307B" w:rsidRPr="0057307B" w:rsidRDefault="0057307B">
      <w:pPr>
        <w:spacing w:line="240" w:lineRule="auto"/>
        <w:jc w:val="both"/>
        <w:rPr>
          <w:rFonts w:ascii="Times New Roman" w:hAnsi="Times New Roman" w:cs="Times New Roman"/>
          <w:b/>
        </w:rPr>
      </w:pPr>
    </w:p>
    <w:sectPr w:rsidR="0057307B" w:rsidRPr="0057307B" w:rsidSect="00D84EF6">
      <w:pgSz w:w="12240" w:h="15840"/>
      <w:pgMar w:top="1418" w:right="1418" w:bottom="1418"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compat/>
  <w:rsids>
    <w:rsidRoot w:val="00D84EF6"/>
    <w:rsid w:val="0001654F"/>
    <w:rsid w:val="0004182E"/>
    <w:rsid w:val="000B2EE5"/>
    <w:rsid w:val="00141301"/>
    <w:rsid w:val="00191E87"/>
    <w:rsid w:val="00220C4C"/>
    <w:rsid w:val="002E21EE"/>
    <w:rsid w:val="003336E4"/>
    <w:rsid w:val="003B5901"/>
    <w:rsid w:val="004C5B0F"/>
    <w:rsid w:val="004F7089"/>
    <w:rsid w:val="0057307B"/>
    <w:rsid w:val="006A4F29"/>
    <w:rsid w:val="006B2D17"/>
    <w:rsid w:val="006C3B0B"/>
    <w:rsid w:val="006F4180"/>
    <w:rsid w:val="00764333"/>
    <w:rsid w:val="007B3130"/>
    <w:rsid w:val="00805E5E"/>
    <w:rsid w:val="008A227C"/>
    <w:rsid w:val="00966CC4"/>
    <w:rsid w:val="009F2D11"/>
    <w:rsid w:val="00A77AC8"/>
    <w:rsid w:val="00AA7A18"/>
    <w:rsid w:val="00AC04F6"/>
    <w:rsid w:val="00AC07E2"/>
    <w:rsid w:val="00AD3231"/>
    <w:rsid w:val="00B147F0"/>
    <w:rsid w:val="00C15EFA"/>
    <w:rsid w:val="00C37F63"/>
    <w:rsid w:val="00C42075"/>
    <w:rsid w:val="00D84EF6"/>
    <w:rsid w:val="00E9280D"/>
    <w:rsid w:val="00EA5EF3"/>
    <w:rsid w:val="00EC64F5"/>
    <w:rsid w:val="00F108B0"/>
    <w:rsid w:val="00F554ED"/>
    <w:rsid w:val="00FA4A7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D17"/>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859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1136</Words>
  <Characters>6253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Charfuelán</dc:creator>
  <cp:lastModifiedBy>Andrés Charfuelán</cp:lastModifiedBy>
  <cp:revision>1</cp:revision>
  <dcterms:created xsi:type="dcterms:W3CDTF">2018-03-13T16:31:00Z</dcterms:created>
  <dcterms:modified xsi:type="dcterms:W3CDTF">2018-03-13T17:17:00Z</dcterms:modified>
</cp:coreProperties>
</file>