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E34033">
            <w:pPr>
              <w:spacing w:before="240" w:after="240"/>
              <w:ind w:right="181"/>
              <w:jc w:val="right"/>
              <w:rPr>
                <w:b/>
                <w:sz w:val="28"/>
              </w:rPr>
            </w:pPr>
            <w:r>
              <w:rPr>
                <w:b/>
                <w:sz w:val="28"/>
              </w:rPr>
              <w:t>420-5A5-EM</w:t>
            </w:r>
          </w:p>
          <w:p w14:paraId="54D838F8" w14:textId="63D0DB84" w:rsidR="00CE140D" w:rsidRPr="00CE140D" w:rsidRDefault="00F00C12" w:rsidP="00E34033">
            <w:pPr>
              <w:spacing w:before="240" w:after="240"/>
              <w:ind w:right="181"/>
              <w:jc w:val="right"/>
              <w:rPr>
                <w:b/>
                <w:bCs/>
                <w:sz w:val="28"/>
              </w:rPr>
            </w:pPr>
            <w:r>
              <w:rPr>
                <w:b/>
                <w:bCs/>
                <w:sz w:val="28"/>
              </w:rPr>
              <w:t>Automne</w:t>
            </w:r>
            <w:r w:rsidR="00344460" w:rsidRPr="00A734E5">
              <w:rPr>
                <w:b/>
                <w:bCs/>
                <w:sz w:val="28"/>
              </w:rPr>
              <w:t xml:space="preserve"> </w:t>
            </w:r>
            <w:r>
              <w:rPr>
                <w:b/>
                <w:bCs/>
                <w:sz w:val="28"/>
              </w:rPr>
              <w:t>201</w:t>
            </w:r>
            <w:r w:rsidR="00CE140D">
              <w:rPr>
                <w:b/>
                <w:bCs/>
                <w:sz w:val="28"/>
              </w:rPr>
              <w:t>8</w:t>
            </w:r>
          </w:p>
        </w:tc>
      </w:tr>
      <w:tr w:rsidR="00AB7A6B" w:rsidRPr="00A734E5" w14:paraId="1641E652" w14:textId="77777777" w:rsidTr="004B0A12">
        <w:trPr>
          <w:cantSplit/>
        </w:trPr>
        <w:tc>
          <w:tcPr>
            <w:tcW w:w="9610" w:type="dxa"/>
            <w:gridSpan w:val="2"/>
          </w:tcPr>
          <w:p w14:paraId="72CF5021" w14:textId="4F9CCBFF" w:rsidR="00AB7A6B" w:rsidRPr="00A734E5" w:rsidRDefault="00F00C12" w:rsidP="00E34033">
            <w:pPr>
              <w:spacing w:before="120" w:after="120"/>
              <w:ind w:right="181"/>
              <w:jc w:val="right"/>
              <w:rPr>
                <w:b/>
                <w:sz w:val="24"/>
              </w:rPr>
            </w:pPr>
            <w:r>
              <w:rPr>
                <w:b/>
                <w:sz w:val="24"/>
              </w:rPr>
              <w:t>Département d’informatique</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w:t>
            </w:r>
            <w:proofErr w:type="gramStart"/>
            <w:r w:rsidRPr="004B0A12">
              <w:t>poste</w:t>
            </w:r>
            <w:proofErr w:type="gramEnd"/>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w:t>
            </w:r>
            <w:proofErr w:type="gramStart"/>
            <w:r w:rsidRPr="004B0A12">
              <w:t>courriel</w:t>
            </w:r>
            <w:proofErr w:type="gramEnd"/>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86145B">
        <w:trPr>
          <w:cantSplit/>
        </w:trPr>
        <w:tc>
          <w:tcPr>
            <w:tcW w:w="4139"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21"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46"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w:t>
            </w:r>
            <w:proofErr w:type="gramStart"/>
            <w:r w:rsidRPr="004B0A12">
              <w:t>poste</w:t>
            </w:r>
            <w:proofErr w:type="gramEnd"/>
          </w:p>
        </w:tc>
        <w:tc>
          <w:tcPr>
            <w:tcW w:w="3404"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w:t>
            </w:r>
            <w:proofErr w:type="gramStart"/>
            <w:r w:rsidRPr="004B0A12">
              <w:t>courriel</w:t>
            </w:r>
            <w:proofErr w:type="gramEnd"/>
          </w:p>
        </w:tc>
      </w:tr>
      <w:tr w:rsidR="00C80EF7" w:rsidRPr="00C80EF7" w14:paraId="66A4083C" w14:textId="77777777" w:rsidTr="0086145B">
        <w:tc>
          <w:tcPr>
            <w:tcW w:w="4139" w:type="dxa"/>
            <w:tcBorders>
              <w:top w:val="single" w:sz="4" w:space="0" w:color="auto"/>
            </w:tcBorders>
          </w:tcPr>
          <w:p w14:paraId="184C6233" w14:textId="0C0C9395" w:rsidR="0054548F" w:rsidRPr="00C80EF7" w:rsidRDefault="00C80EF7" w:rsidP="00C80EF7">
            <w:pPr>
              <w:pStyle w:val="Lgende"/>
              <w:rPr>
                <w:b w:val="0"/>
                <w:color w:val="000000" w:themeColor="text1"/>
              </w:rPr>
            </w:pPr>
            <w:proofErr w:type="spellStart"/>
            <w:r w:rsidRPr="00C80EF7">
              <w:rPr>
                <w:b w:val="0"/>
                <w:color w:val="000000" w:themeColor="text1"/>
              </w:rPr>
              <w:t>Belhachemi</w:t>
            </w:r>
            <w:proofErr w:type="spellEnd"/>
            <w:r w:rsidRPr="00C80EF7">
              <w:rPr>
                <w:b w:val="0"/>
                <w:color w:val="000000" w:themeColor="text1"/>
              </w:rPr>
              <w:t xml:space="preserve"> </w:t>
            </w:r>
            <w:proofErr w:type="spellStart"/>
            <w:r w:rsidRPr="00C80EF7">
              <w:rPr>
                <w:b w:val="0"/>
                <w:color w:val="000000" w:themeColor="text1"/>
              </w:rPr>
              <w:t>Ouldali</w:t>
            </w:r>
            <w:proofErr w:type="spellEnd"/>
          </w:p>
        </w:tc>
        <w:tc>
          <w:tcPr>
            <w:tcW w:w="1121"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46"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3404"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86145B" w:rsidRPr="00C80EF7" w14:paraId="4A7624A7" w14:textId="77777777" w:rsidTr="0086145B">
        <w:tc>
          <w:tcPr>
            <w:tcW w:w="4139" w:type="dxa"/>
          </w:tcPr>
          <w:p w14:paraId="3DDCE04E" w14:textId="7F4B387A" w:rsidR="0086145B" w:rsidRPr="00C80EF7" w:rsidRDefault="0086145B" w:rsidP="000B5020">
            <w:pPr>
              <w:pStyle w:val="Lgende"/>
              <w:rPr>
                <w:b w:val="0"/>
                <w:color w:val="000000" w:themeColor="text1"/>
              </w:rPr>
            </w:pPr>
            <w:proofErr w:type="spellStart"/>
            <w:r>
              <w:rPr>
                <w:b w:val="0"/>
                <w:color w:val="000000" w:themeColor="text1"/>
              </w:rPr>
              <w:t>Dominic</w:t>
            </w:r>
            <w:proofErr w:type="spellEnd"/>
            <w:r>
              <w:rPr>
                <w:b w:val="0"/>
                <w:color w:val="000000" w:themeColor="text1"/>
              </w:rPr>
              <w:t xml:space="preserve"> Proulx</w:t>
            </w:r>
          </w:p>
        </w:tc>
        <w:tc>
          <w:tcPr>
            <w:tcW w:w="1121" w:type="dxa"/>
          </w:tcPr>
          <w:p w14:paraId="5D95E980" w14:textId="2924854F" w:rsidR="0086145B" w:rsidRPr="00CF3297" w:rsidRDefault="0086145B" w:rsidP="00C77D34">
            <w:pPr>
              <w:pStyle w:val="Lgende"/>
              <w:jc w:val="center"/>
              <w:rPr>
                <w:b w:val="0"/>
                <w:color w:val="000000" w:themeColor="text1"/>
                <w:highlight w:val="yellow"/>
              </w:rPr>
            </w:pPr>
            <w:r w:rsidRPr="00B96EE8">
              <w:rPr>
                <w:b w:val="0"/>
                <w:color w:val="000000" w:themeColor="text1"/>
              </w:rPr>
              <w:t>E-210</w:t>
            </w:r>
          </w:p>
        </w:tc>
        <w:tc>
          <w:tcPr>
            <w:tcW w:w="946" w:type="dxa"/>
            <w:vAlign w:val="center"/>
          </w:tcPr>
          <w:p w14:paraId="5B2BB32F" w14:textId="34CD42E9" w:rsidR="0086145B" w:rsidRPr="0086145B" w:rsidRDefault="0086145B" w:rsidP="00C77D34">
            <w:pPr>
              <w:pStyle w:val="Lgende"/>
              <w:jc w:val="center"/>
              <w:rPr>
                <w:b w:val="0"/>
                <w:color w:val="000000" w:themeColor="text1"/>
              </w:rPr>
            </w:pPr>
            <w:r w:rsidRPr="0086145B">
              <w:rPr>
                <w:b w:val="0"/>
                <w:color w:val="000000" w:themeColor="text1"/>
              </w:rPr>
              <w:t>2061</w:t>
            </w:r>
          </w:p>
        </w:tc>
        <w:tc>
          <w:tcPr>
            <w:tcW w:w="3404" w:type="dxa"/>
            <w:vAlign w:val="center"/>
          </w:tcPr>
          <w:p w14:paraId="3685EA31" w14:textId="4BD9B63B" w:rsidR="0086145B" w:rsidRPr="0086145B" w:rsidRDefault="0086145B" w:rsidP="00C77D34">
            <w:pPr>
              <w:pStyle w:val="Lgende"/>
              <w:jc w:val="right"/>
              <w:rPr>
                <w:b w:val="0"/>
                <w:color w:val="000000" w:themeColor="text1"/>
              </w:rPr>
            </w:pPr>
            <w:r w:rsidRPr="0086145B">
              <w:rPr>
                <w:b w:val="0"/>
                <w:color w:val="000000" w:themeColor="text1"/>
              </w:rPr>
              <w:t>dominic.proulx@cegepmontpetit.ca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07263C">
            <w:pPr>
              <w:spacing w:after="120"/>
              <w:ind w:left="919" w:hanging="919"/>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07263C">
            <w:pPr>
              <w:spacing w:after="120"/>
              <w:ind w:left="919" w:hanging="919"/>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07263C">
            <w:pPr>
              <w:spacing w:after="120"/>
              <w:ind w:left="919" w:hanging="919"/>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agraphe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agraphe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77777777" w:rsidR="00EC11B0" w:rsidRPr="00EC11B0" w:rsidRDefault="00EC11B0" w:rsidP="00EC11B0">
            <w:pPr>
              <w:pStyle w:val="Paragraphedeliste"/>
              <w:numPr>
                <w:ilvl w:val="0"/>
                <w:numId w:val="10"/>
              </w:numPr>
              <w:tabs>
                <w:tab w:val="clear" w:pos="720"/>
              </w:tabs>
              <w:spacing w:before="120" w:after="120"/>
              <w:ind w:left="288" w:hanging="288"/>
              <w:contextualSpacing w:val="0"/>
            </w:pPr>
            <w:r>
              <w:rPr>
                <w:sz w:val="22"/>
              </w:rPr>
              <w:t>Durant la séance en classe,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14:paraId="4A898792" w14:textId="1E8D7C29" w:rsidR="00640392" w:rsidRPr="004B0A12" w:rsidRDefault="00EC11B0" w:rsidP="00EC11B0">
            <w:pPr>
              <w:pStyle w:val="Paragraphedeliste"/>
              <w:numPr>
                <w:ilvl w:val="0"/>
                <w:numId w:val="10"/>
              </w:numPr>
              <w:tabs>
                <w:tab w:val="clear" w:pos="720"/>
              </w:tabs>
              <w:spacing w:before="120" w:after="120"/>
              <w:ind w:left="288" w:hanging="288"/>
              <w:contextualSpacing w:val="0"/>
            </w:pPr>
            <w:r>
              <w:rPr>
                <w:sz w:val="22"/>
              </w:rPr>
              <w:lastRenderedPageBreak/>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agraphe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agraphe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agraphe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agraphe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agraphe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agraphe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agraphe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E360E" w:rsidRDefault="00586C9F" w:rsidP="00BC23A4">
            <w:pPr>
              <w:spacing w:before="120" w:after="120"/>
              <w:jc w:val="center"/>
              <w:rPr>
                <w:color w:val="000000" w:themeColor="text1"/>
              </w:rPr>
            </w:pPr>
            <w:r w:rsidRPr="00EF1C03">
              <w:rPr>
                <w:color w:val="000000" w:themeColor="text1"/>
              </w:rPr>
              <w:t>Semaine 8</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C24E88B" w:rsidR="00586C9F" w:rsidRPr="00AE360E" w:rsidRDefault="00847306" w:rsidP="00AE360E">
            <w:pPr>
              <w:spacing w:before="120" w:after="120"/>
              <w:jc w:val="center"/>
              <w:rPr>
                <w:color w:val="000000" w:themeColor="text1"/>
                <w:sz w:val="24"/>
              </w:rPr>
            </w:pPr>
            <w:r>
              <w:rPr>
                <w:color w:val="000000" w:themeColor="text1"/>
                <w:sz w:val="24"/>
              </w:rPr>
              <w:t>17</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agraphe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agraphe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agraphe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 xml:space="preserve">Java </w:t>
      </w:r>
      <w:proofErr w:type="spellStart"/>
      <w:r w:rsidRPr="00E93141">
        <w:rPr>
          <w:color w:val="000000" w:themeColor="text1"/>
        </w:rPr>
        <w:t>Development</w:t>
      </w:r>
      <w:proofErr w:type="spellEnd"/>
      <w:r w:rsidRPr="00E93141">
        <w:rPr>
          <w:color w:val="000000" w:themeColor="text1"/>
        </w:rPr>
        <w:t xml:space="preserve"> Kit 1.7</w:t>
      </w:r>
    </w:p>
    <w:p w14:paraId="26147FB0" w14:textId="795227F5"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agraphedeliste"/>
        <w:keepNext/>
        <w:numPr>
          <w:ilvl w:val="0"/>
          <w:numId w:val="37"/>
        </w:numPr>
        <w:spacing w:before="120" w:after="120"/>
        <w:rPr>
          <w:color w:val="000000" w:themeColor="text1"/>
        </w:rPr>
      </w:pPr>
      <w:proofErr w:type="spellStart"/>
      <w:r w:rsidRPr="00E93141">
        <w:rPr>
          <w:color w:val="000000" w:themeColor="text1"/>
        </w:rPr>
        <w:t>Intellij</w:t>
      </w:r>
      <w:proofErr w:type="spellEnd"/>
      <w:r w:rsidRPr="00E93141">
        <w:rPr>
          <w:color w:val="000000" w:themeColor="text1"/>
        </w:rPr>
        <w:t xml:space="preserve"> IDEA (</w:t>
      </w:r>
      <w:proofErr w:type="spellStart"/>
      <w:r w:rsidRPr="00E93141">
        <w:rPr>
          <w:color w:val="000000" w:themeColor="text1"/>
        </w:rPr>
        <w:t>community</w:t>
      </w:r>
      <w:proofErr w:type="spellEnd"/>
      <w:r w:rsidRPr="00E93141">
        <w:rPr>
          <w:color w:val="000000" w:themeColor="text1"/>
        </w:rPr>
        <w:t xml:space="preserve"> </w:t>
      </w:r>
      <w:proofErr w:type="spellStart"/>
      <w:r w:rsidRPr="00E93141">
        <w:rPr>
          <w:color w:val="000000" w:themeColor="text1"/>
        </w:rPr>
        <w:t>edition</w:t>
      </w:r>
      <w:proofErr w:type="spellEnd"/>
      <w:r w:rsidRPr="00E93141">
        <w:rPr>
          <w:color w:val="000000" w:themeColor="text1"/>
        </w:rPr>
        <w:t>) pour le développement serveur.</w:t>
      </w:r>
    </w:p>
    <w:p w14:paraId="56DAAAD1" w14:textId="77777777" w:rsidR="00D11CB5" w:rsidRPr="00D638BF" w:rsidRDefault="0041613E" w:rsidP="00D11CB5">
      <w:pPr>
        <w:pStyle w:val="Pieddepage"/>
        <w:spacing w:before="120" w:after="120"/>
      </w:pPr>
      <w:r>
        <w:rPr>
          <w:noProof/>
        </w:rPr>
        <w:pict w14:anchorId="5C6AA69D">
          <v:rect id="_x0000_i1025" alt="" style="width:496.8pt;height:2pt;mso-width-percent:0;mso-height-percent:0;mso-position-vertical:absolute;mso-width-percent:0;mso-height-percent:0"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37C307A9" w14:textId="70C2F39B" w:rsidR="00FE060C" w:rsidRPr="00465157" w:rsidRDefault="00102AFF" w:rsidP="00FE060C">
      <w:pPr>
        <w:pStyle w:val="Titre1"/>
      </w:pPr>
      <w:r w:rsidRPr="004B0A12">
        <w:t>Conditions de réussite au cours</w:t>
      </w:r>
      <w:bookmarkStart w:id="0" w:name="_GoBack"/>
      <w:bookmarkEnd w:id="0"/>
    </w:p>
    <w:p w14:paraId="5009C0ED" w14:textId="77777777" w:rsidR="00FE060C" w:rsidRPr="00DE18CC" w:rsidRDefault="00FE060C" w:rsidP="000E3C80">
      <w:pPr>
        <w:pStyle w:val="Titre2"/>
        <w:numPr>
          <w:ilvl w:val="0"/>
          <w:numId w:val="0"/>
        </w:numPr>
        <w:ind w:left="284"/>
        <w:rPr>
          <w:i/>
          <w:iCs/>
        </w:rPr>
      </w:pPr>
      <w:r w:rsidRPr="00DE18CC">
        <w:t>1.</w:t>
      </w:r>
      <w:r w:rsidRPr="00DE18CC">
        <w:tab/>
        <w:t>Note de passage</w:t>
      </w:r>
    </w:p>
    <w:p w14:paraId="213B1878" w14:textId="77777777" w:rsidR="00FE060C" w:rsidRDefault="00FE060C" w:rsidP="00FE060C">
      <w:pPr>
        <w:ind w:left="567"/>
      </w:pPr>
      <w:r w:rsidRPr="0076678B">
        <w:t xml:space="preserve">La note </w:t>
      </w:r>
      <w:r>
        <w:t>de passage du cours est de 60 % (PIEA, article 5.1m</w:t>
      </w:r>
      <w:r w:rsidRPr="009D701A">
        <w:t>).</w:t>
      </w:r>
    </w:p>
    <w:p w14:paraId="73267B4C" w14:textId="77777777" w:rsidR="00FE060C" w:rsidRPr="00125130" w:rsidRDefault="00FE060C" w:rsidP="00FE060C">
      <w:pPr>
        <w:spacing w:before="60" w:after="60"/>
        <w:ind w:left="567"/>
        <w:rPr>
          <w:rFonts w:ascii="Calibri" w:hAnsi="Calibri"/>
          <w:bCs/>
          <w:i/>
        </w:rPr>
      </w:pPr>
      <w:r w:rsidRPr="00125130">
        <w:rPr>
          <w:rFonts w:ascii="Calibri" w:hAnsi="Calibri"/>
          <w:bCs/>
          <w:i/>
        </w:rPr>
        <w:t>Double sanction</w:t>
      </w:r>
      <w:r w:rsidRPr="00125130">
        <w:rPr>
          <w:rFonts w:ascii="Calibri" w:hAnsi="Calibri"/>
          <w:bCs/>
          <w:i/>
        </w:rPr>
        <w:tab/>
        <w:t xml:space="preserve">Précision autorisée par la Direction des Études </w:t>
      </w:r>
    </w:p>
    <w:p w14:paraId="26550C4B" w14:textId="77777777" w:rsidR="00FE060C" w:rsidRPr="00125130" w:rsidRDefault="00FE060C" w:rsidP="00FE060C">
      <w:pPr>
        <w:spacing w:before="60" w:after="60"/>
        <w:ind w:left="567"/>
        <w:rPr>
          <w:rFonts w:ascii="Calibri" w:hAnsi="Calibri"/>
        </w:rPr>
      </w:pPr>
      <w:r w:rsidRPr="00125130">
        <w:rPr>
          <w:rFonts w:ascii="Calibri" w:hAnsi="Calibri"/>
        </w:rPr>
        <w:t>Pour réussir le cours, l'étudian</w:t>
      </w:r>
      <w:r>
        <w:rPr>
          <w:rFonts w:ascii="Calibri" w:hAnsi="Calibri"/>
        </w:rPr>
        <w:t>t doit conserver un minimum de 6</w:t>
      </w:r>
      <w:r w:rsidRPr="00125130">
        <w:rPr>
          <w:rFonts w:ascii="Calibri" w:hAnsi="Calibri"/>
        </w:rPr>
        <w:t>0% à l’évaluat</w:t>
      </w:r>
      <w:r>
        <w:rPr>
          <w:rFonts w:ascii="Calibri" w:hAnsi="Calibri"/>
        </w:rPr>
        <w:t>ion théorique et un minimum de 6</w:t>
      </w:r>
      <w:r w:rsidRPr="00125130">
        <w:rPr>
          <w:rFonts w:ascii="Calibri" w:hAnsi="Calibri"/>
        </w:rPr>
        <w:t xml:space="preserve">0% à l’évaluation pratique.  </w:t>
      </w:r>
    </w:p>
    <w:p w14:paraId="27C5727D" w14:textId="77777777" w:rsidR="00FE060C" w:rsidRDefault="00FE060C" w:rsidP="00FE060C">
      <w:pPr>
        <w:spacing w:before="60" w:after="60"/>
        <w:ind w:left="567"/>
        <w:rPr>
          <w:rFonts w:ascii="Calibri" w:hAnsi="Calibri"/>
        </w:rPr>
      </w:pPr>
      <w:r w:rsidRPr="00125130">
        <w:rPr>
          <w:rFonts w:ascii="Calibri" w:hAnsi="Calibri"/>
        </w:rPr>
        <w:t>À défaut de répondre à ces exigences, l’étudiant obtient, à son bulletin, la note la plus basse enregistrée : celle de l’évaluation théorique ou celle de l’évaluation pratique du cours.</w:t>
      </w:r>
    </w:p>
    <w:p w14:paraId="5CC5E5B2" w14:textId="77777777" w:rsidR="00FE060C" w:rsidRPr="00800544" w:rsidRDefault="00FE060C" w:rsidP="00FE060C">
      <w:pPr>
        <w:spacing w:before="60" w:after="60"/>
        <w:ind w:left="567"/>
        <w:rPr>
          <w:rFonts w:ascii="Calibri" w:hAnsi="Calibri"/>
        </w:rPr>
      </w:pPr>
      <w:r w:rsidRPr="00800544">
        <w:rPr>
          <w:rFonts w:ascii="Calibri" w:hAnsi="Calibri"/>
        </w:rPr>
        <w:t>En aucun cas, un travail d'équipe n'assure la même note aux coéquipiers ; tout étudiant faisant partie d'une équipe est sujet à une évaluation personnelle sur le travail remis par l’équipe. La note du travail sera accordée en fonction des résultats obtenus lors de cette évaluation personnelle.</w:t>
      </w:r>
    </w:p>
    <w:p w14:paraId="2F09D806" w14:textId="77777777" w:rsidR="00FE060C" w:rsidRPr="00125130" w:rsidRDefault="00FE060C" w:rsidP="00FE060C">
      <w:pPr>
        <w:rPr>
          <w:rFonts w:ascii="Calibri" w:hAnsi="Calibri"/>
        </w:rPr>
      </w:pPr>
    </w:p>
    <w:p w14:paraId="27B12969" w14:textId="77777777" w:rsidR="00FE060C" w:rsidRPr="00DE18CC" w:rsidRDefault="00FE060C" w:rsidP="000E3C80">
      <w:pPr>
        <w:pStyle w:val="Titre2"/>
        <w:numPr>
          <w:ilvl w:val="0"/>
          <w:numId w:val="0"/>
        </w:numPr>
        <w:ind w:left="284"/>
      </w:pPr>
      <w:r w:rsidRPr="00DE18CC">
        <w:t>2.</w:t>
      </w:r>
      <w:r w:rsidRPr="00DE18CC">
        <w:tab/>
        <w:t>Présence aux évaluations sommatives</w:t>
      </w:r>
    </w:p>
    <w:p w14:paraId="528E62B5" w14:textId="77777777" w:rsidR="00FE060C" w:rsidRDefault="00FE060C" w:rsidP="00FE060C">
      <w:pPr>
        <w:pStyle w:val="Pieddepage"/>
        <w:ind w:left="567"/>
      </w:pPr>
      <w:r w:rsidRPr="0076678B">
        <w:t>La présence aux activités d’évaluation sommative est obligatoire</w:t>
      </w:r>
      <w:r>
        <w:t xml:space="preserve"> (PIEA 5.2.5</w:t>
      </w:r>
      <w:r w:rsidRPr="0076678B">
        <w:t>.</w:t>
      </w:r>
      <w:r>
        <w:t>1).</w:t>
      </w:r>
    </w:p>
    <w:p w14:paraId="3B6D911F" w14:textId="77777777" w:rsidR="00FE060C" w:rsidRPr="0076678B" w:rsidRDefault="00FE060C" w:rsidP="00FE060C">
      <w:pPr>
        <w:pStyle w:val="Pieddepage"/>
        <w:ind w:left="567"/>
      </w:pPr>
    </w:p>
    <w:p w14:paraId="75652428" w14:textId="77777777" w:rsidR="00FE060C" w:rsidRPr="00DE18CC" w:rsidRDefault="00FE060C" w:rsidP="000E3C80">
      <w:pPr>
        <w:pStyle w:val="Titre2"/>
        <w:numPr>
          <w:ilvl w:val="0"/>
          <w:numId w:val="0"/>
        </w:numPr>
        <w:ind w:left="284"/>
      </w:pPr>
      <w:r w:rsidRPr="00DE18CC">
        <w:t>3.</w:t>
      </w:r>
      <w:r w:rsidRPr="00DE18CC">
        <w:tab/>
        <w:t>Remise des travaux</w:t>
      </w:r>
    </w:p>
    <w:p w14:paraId="442900D3" w14:textId="77777777" w:rsidR="00FE060C" w:rsidRPr="001E0BA5" w:rsidRDefault="00FE060C" w:rsidP="00FE060C">
      <w:pPr>
        <w:pStyle w:val="Pieddepage"/>
        <w:ind w:left="567"/>
        <w:rPr>
          <w:szCs w:val="20"/>
        </w:rPr>
      </w:pPr>
      <w:r w:rsidRPr="001E0BA5">
        <w:rPr>
          <w:szCs w:val="20"/>
        </w:rPr>
        <w:t xml:space="preserve">Les travaux exigés par un professeur doivent être remis à la date, au lieu et au moment fixés. Les pénalités entraînées par les retards sont établies selon les règles départementales (PIEA, article 5.2.5.2). </w:t>
      </w:r>
    </w:p>
    <w:p w14:paraId="741186E0" w14:textId="77777777" w:rsidR="00FE060C" w:rsidRPr="000E2701" w:rsidRDefault="00FE060C" w:rsidP="00FE060C">
      <w:pPr>
        <w:pStyle w:val="Pieddepage"/>
        <w:numPr>
          <w:ilvl w:val="1"/>
          <w:numId w:val="39"/>
        </w:numPr>
      </w:pPr>
      <w:r w:rsidRPr="001E0BA5">
        <w:rPr>
          <w:szCs w:val="20"/>
        </w:rPr>
        <w:t>Dans un cas exceptionnel, un travail en retard pourra être accepté moyennant une pénalité de 10% par jour de retard.</w:t>
      </w:r>
    </w:p>
    <w:p w14:paraId="5F70329D" w14:textId="77777777" w:rsidR="00FE060C" w:rsidRPr="009D701A" w:rsidRDefault="00FE060C" w:rsidP="00FE060C">
      <w:pPr>
        <w:pStyle w:val="Pieddepage"/>
        <w:ind w:left="1440"/>
      </w:pPr>
    </w:p>
    <w:p w14:paraId="6E5298F5" w14:textId="77777777" w:rsidR="00FE060C" w:rsidRPr="00DE18CC" w:rsidRDefault="00FE060C" w:rsidP="000E3C80">
      <w:pPr>
        <w:pStyle w:val="Titre2"/>
        <w:numPr>
          <w:ilvl w:val="0"/>
          <w:numId w:val="0"/>
        </w:numPr>
        <w:ind w:left="284"/>
      </w:pPr>
      <w:r w:rsidRPr="00DE18CC">
        <w:t>4.</w:t>
      </w:r>
      <w:r w:rsidRPr="00DE18CC">
        <w:tab/>
        <w:t>Présentation matérielle des travaux</w:t>
      </w:r>
    </w:p>
    <w:p w14:paraId="71C2ECBB" w14:textId="77777777" w:rsidR="00FE060C" w:rsidRDefault="00FE060C" w:rsidP="00FE060C">
      <w:pPr>
        <w:ind w:left="567"/>
      </w:pPr>
      <w:r>
        <w:t>L’étudiant doit respecter les « Normes de présentation matérielle des travaux écrits » adoptées par le Cégep. Ces normes sont disponibles sous la rubrique « Méthodologie » des centres de documentation du Cégep. Voici l’adresse :</w:t>
      </w:r>
    </w:p>
    <w:p w14:paraId="5E00BA58" w14:textId="77777777" w:rsidR="00FE060C" w:rsidRDefault="00FE060C" w:rsidP="00FE060C">
      <w:pPr>
        <w:ind w:left="567"/>
      </w:pPr>
      <w:r>
        <w:lastRenderedPageBreak/>
        <w:t xml:space="preserve">CRD du campus de Longueuil ou CRD de l'ÉNA (même lien pour les deux campus) : </w:t>
      </w:r>
      <w:hyperlink r:id="rId12" w:history="1">
        <w:r w:rsidRPr="00B444B8">
          <w:rPr>
            <w:rStyle w:val="Lienhypertexte"/>
          </w:rPr>
          <w:t>www.cegepmontpetit.ca/normes</w:t>
        </w:r>
      </w:hyperlink>
      <w:r>
        <w:t>.</w:t>
      </w:r>
    </w:p>
    <w:p w14:paraId="5CF997E9" w14:textId="77777777" w:rsidR="00FE060C" w:rsidRDefault="00FE060C" w:rsidP="00FE060C">
      <w:pPr>
        <w:ind w:left="567"/>
      </w:pPr>
    </w:p>
    <w:p w14:paraId="6E45AC98" w14:textId="77777777" w:rsidR="00FE060C" w:rsidRDefault="00FE060C" w:rsidP="00FE060C">
      <w:pPr>
        <w:ind w:left="567"/>
      </w:pPr>
      <w:r>
        <w:t>Les pénalités départementales concernant le non-respect des normes de présentation matérielle des travaux (PIEA, article 5.3.2) sont :</w:t>
      </w:r>
    </w:p>
    <w:p w14:paraId="01FB3317" w14:textId="77777777" w:rsidR="00FE060C" w:rsidRDefault="00FE060C" w:rsidP="00FE060C">
      <w:pPr>
        <w:pStyle w:val="Paragraphedeliste"/>
        <w:numPr>
          <w:ilvl w:val="0"/>
          <w:numId w:val="40"/>
        </w:numPr>
        <w:spacing w:before="120" w:after="120"/>
        <w:ind w:right="397"/>
        <w:contextualSpacing w:val="0"/>
      </w:pPr>
      <w:r>
        <w:t>En cas de non-respect des normes de présentation, les travaux ne seront pas acceptés et seront retournés à l’étudiant pour révision.</w:t>
      </w:r>
    </w:p>
    <w:p w14:paraId="1CE3B42D" w14:textId="77777777" w:rsidR="00FE060C" w:rsidRPr="000E2701" w:rsidRDefault="00FE060C" w:rsidP="00FE060C">
      <w:pPr>
        <w:pStyle w:val="Paragraphedeliste"/>
        <w:ind w:left="927"/>
      </w:pPr>
    </w:p>
    <w:p w14:paraId="6683EC61" w14:textId="77777777" w:rsidR="00FE060C" w:rsidRPr="00DD75B3" w:rsidRDefault="00FE060C" w:rsidP="000E3C80">
      <w:pPr>
        <w:pStyle w:val="Titre2"/>
        <w:numPr>
          <w:ilvl w:val="0"/>
          <w:numId w:val="0"/>
        </w:numPr>
        <w:ind w:left="284"/>
      </w:pPr>
      <w:r w:rsidRPr="00DD75B3">
        <w:t>5.</w:t>
      </w:r>
      <w:r w:rsidRPr="00DD75B3">
        <w:tab/>
        <w:t>Qualité de la langue française</w:t>
      </w:r>
    </w:p>
    <w:p w14:paraId="6E102166" w14:textId="77777777" w:rsidR="00FE060C" w:rsidRPr="00DD75B3" w:rsidRDefault="00FE060C" w:rsidP="00FE060C">
      <w:pPr>
        <w:pStyle w:val="Pieddepage"/>
        <w:ind w:left="567"/>
      </w:pPr>
      <w:r w:rsidRPr="00DD75B3">
        <w:t>L’évaluation de la qualité de la langue (PIEA, article 5.3.1) doit respecter les critères et les valeurs établis par le département.</w:t>
      </w:r>
    </w:p>
    <w:p w14:paraId="7BDE2FED" w14:textId="77777777" w:rsidR="00FE060C" w:rsidRPr="00D11CB5" w:rsidRDefault="00FE060C" w:rsidP="00FE060C">
      <w:pPr>
        <w:ind w:left="567"/>
        <w:rPr>
          <w:szCs w:val="22"/>
        </w:rPr>
      </w:pPr>
      <w:r w:rsidRPr="00D11CB5">
        <w:t xml:space="preserve">La </w:t>
      </w:r>
      <w:r w:rsidRPr="00D11CB5">
        <w:rPr>
          <w:b/>
        </w:rPr>
        <w:t xml:space="preserve">procédure départementale </w:t>
      </w:r>
      <w:r w:rsidRPr="00D11CB5">
        <w:t>d’évaluation de la qualité du français est :</w:t>
      </w:r>
    </w:p>
    <w:p w14:paraId="15E18A44" w14:textId="77777777" w:rsidR="00FE060C" w:rsidRDefault="00FE060C" w:rsidP="00FE060C">
      <w:pPr>
        <w:pStyle w:val="Paragraphedeliste"/>
        <w:numPr>
          <w:ilvl w:val="0"/>
          <w:numId w:val="41"/>
        </w:numPr>
        <w:spacing w:before="120" w:after="120"/>
        <w:ind w:left="927" w:right="13"/>
        <w:contextualSpacing w:val="0"/>
      </w:pPr>
      <w:r>
        <w:t>Dans tous les cours, la langue fera l’objet d’une évaluation. Au moins un des éléments suivants sera évalué :</w:t>
      </w:r>
    </w:p>
    <w:p w14:paraId="08820D3A" w14:textId="77777777" w:rsidR="00FE060C" w:rsidRPr="001C3659" w:rsidRDefault="00FE060C" w:rsidP="00FE060C">
      <w:pPr>
        <w:pStyle w:val="Paragraphedeliste"/>
        <w:numPr>
          <w:ilvl w:val="1"/>
          <w:numId w:val="12"/>
        </w:numPr>
        <w:spacing w:before="120" w:after="120"/>
        <w:ind w:left="1647" w:right="13"/>
        <w:contextualSpacing w:val="0"/>
        <w:rPr>
          <w:rFonts w:cs="Times New Roman"/>
          <w:lang w:eastAsia="fr-CA"/>
        </w:rPr>
      </w:pPr>
      <w:r w:rsidRPr="001C3659">
        <w:t xml:space="preserve">Code </w:t>
      </w:r>
      <w:r>
        <w:t>de la langue</w:t>
      </w:r>
      <w:r w:rsidRPr="001C3659">
        <w:t xml:space="preserve"> (syntaxe, grammaires, orthographe…)</w:t>
      </w:r>
    </w:p>
    <w:p w14:paraId="709BFFED" w14:textId="25C2A380" w:rsidR="00FE060C" w:rsidRPr="00FE060C" w:rsidRDefault="00FE060C" w:rsidP="00FE060C">
      <w:pPr>
        <w:pStyle w:val="Paragraphedeliste"/>
        <w:numPr>
          <w:ilvl w:val="1"/>
          <w:numId w:val="12"/>
        </w:numPr>
        <w:spacing w:before="120" w:after="120"/>
        <w:ind w:left="1647" w:right="13"/>
        <w:contextualSpacing w:val="0"/>
        <w:rPr>
          <w:szCs w:val="20"/>
        </w:rPr>
      </w:pPr>
      <w:r w:rsidRPr="001C3659">
        <w:t>Vocabulaire et terminologie approprié</w:t>
      </w:r>
      <w:r>
        <w:t>e</w:t>
      </w:r>
      <w:r w:rsidRPr="001C3659">
        <w:t xml:space="preserve"> au travail</w:t>
      </w:r>
    </w:p>
    <w:p w14:paraId="7660D098" w14:textId="204E22DB" w:rsidR="00F42CE9" w:rsidRPr="00DE18CC" w:rsidRDefault="00F42CE9" w:rsidP="00F42CE9">
      <w:pPr>
        <w:pStyle w:val="Titre1"/>
      </w:pPr>
      <w:r w:rsidRPr="009D701A">
        <w:t>Modalités de participation au cours</w:t>
      </w:r>
    </w:p>
    <w:p w14:paraId="67819FDF" w14:textId="77777777" w:rsidR="000E3C80" w:rsidRDefault="000E3C80" w:rsidP="000E3C80">
      <w:r>
        <w:t>Il est de la responsabilité de l’étudiant d’être présent à tous ses cours et de participer activement aux activités d’apprentissage prévues par l’enseignant, conformément à l’article 6.3.4 de la politique institutionnelle d’évaluation des apprentissages (PIEA).</w:t>
      </w:r>
    </w:p>
    <w:p w14:paraId="72DF2020" w14:textId="77777777" w:rsidR="000E3C80" w:rsidRDefault="000E3C80" w:rsidP="000E3C80"/>
    <w:p w14:paraId="74E05DF6" w14:textId="77777777" w:rsidR="000E3C80" w:rsidRPr="005E56EC" w:rsidRDefault="000E3C80" w:rsidP="000E3C80">
      <w:pPr>
        <w:rPr>
          <w:szCs w:val="20"/>
        </w:rPr>
      </w:pPr>
      <w:r>
        <w:t>Dans le cas d’absence non motivée, il est de la responsabilité de l'étudiant de s’approprier les connaissances vues lors de son absence avant la tenue du prochain cours. L’enseignant n’est pas tenu de répondre aux questions des étudiants absents sans motif valable.</w:t>
      </w:r>
    </w:p>
    <w:p w14:paraId="3BE2E251" w14:textId="77777777" w:rsidR="00BC23A4" w:rsidRPr="00F74BD8" w:rsidRDefault="00BC23A4" w:rsidP="00BC23A4">
      <w:pPr>
        <w:pStyle w:val="Titre1"/>
      </w:pPr>
      <w:r w:rsidRPr="00F74BD8">
        <w:t>RÈGLES DÉPARTementales</w:t>
      </w:r>
    </w:p>
    <w:p w14:paraId="64AD2182" w14:textId="77777777" w:rsidR="000E3C80" w:rsidRDefault="000E3C80" w:rsidP="000E3C80">
      <w:pPr>
        <w:pStyle w:val="Titre3"/>
        <w:numPr>
          <w:ilvl w:val="0"/>
          <w:numId w:val="0"/>
        </w:numPr>
        <w:ind w:left="720" w:hanging="720"/>
      </w:pPr>
      <w:r>
        <w:t>Présence aux cours (article 5.3.4 PIE</w:t>
      </w:r>
      <w:r w:rsidRPr="009D701A">
        <w:t>A)</w:t>
      </w:r>
    </w:p>
    <w:p w14:paraId="60EB5489" w14:textId="77777777" w:rsidR="000E3C80" w:rsidRDefault="000E3C80" w:rsidP="000E3C80">
      <w:pPr>
        <w:pStyle w:val="Paragraphedeliste"/>
      </w:pPr>
      <w:r>
        <w:t>La présence aux cours est une preuve d'engagement de l'étudiant dans ses études et constitue un gage de l'atteinte des objectifs d'un cours et de la réussite du programme. Dans le but de valoriser cet engagement de l'étudiant et l'atteinte des objectifs du cours, l'absence peut être l'objet de sanction.</w:t>
      </w:r>
    </w:p>
    <w:p w14:paraId="3F170395" w14:textId="77777777" w:rsidR="000E3C80" w:rsidRDefault="000E3C80" w:rsidP="000E3C80">
      <w:pPr>
        <w:pStyle w:val="Paragraphedeliste"/>
      </w:pPr>
      <w:r>
        <w:t>Les professeurs consigneront les absences dans le système électronique de gestion des absences ou sur un registre que l’étudiant pourra consulter. Les exclusions seront signalées à la Direction des études qui en conservera le registre.</w:t>
      </w:r>
    </w:p>
    <w:p w14:paraId="70F12F9C" w14:textId="77777777" w:rsidR="000E3C80" w:rsidRDefault="000E3C80" w:rsidP="000E3C80">
      <w:pPr>
        <w:pStyle w:val="Paragraphedeliste"/>
      </w:pPr>
      <w:r>
        <w:t xml:space="preserve">L’étudiant recevra un premier avis écrit par MIO après des absences non motivées équivalentes à une semaine de cours. Il sera </w:t>
      </w:r>
      <w:r w:rsidRPr="001E0BA5">
        <w:rPr>
          <w:u w:val="single"/>
        </w:rPr>
        <w:t>définitivement exclu du cours</w:t>
      </w:r>
      <w:r>
        <w:t xml:space="preserve"> s'il dépasse l'équivalent de deux semaines d’absence non motivées.</w:t>
      </w:r>
    </w:p>
    <w:p w14:paraId="2BD2E8D4" w14:textId="4492E8B7" w:rsidR="000E3C80" w:rsidRPr="000E3C80" w:rsidRDefault="000E3C80" w:rsidP="000E3C80">
      <w:pPr>
        <w:pStyle w:val="Paragraphedeliste"/>
        <w:rPr>
          <w:u w:val="single"/>
        </w:rPr>
      </w:pPr>
      <w:r>
        <w:t>Exemple : pour un cours avec une pondération : T=</w:t>
      </w:r>
      <w:proofErr w:type="gramStart"/>
      <w:r>
        <w:t>2;L</w:t>
      </w:r>
      <w:proofErr w:type="gramEnd"/>
      <w:r>
        <w:t>=3, un premier avis est envoyé au bout de 5 heures d’absences non motivées.</w:t>
      </w:r>
    </w:p>
    <w:p w14:paraId="553AEA9A" w14:textId="77777777" w:rsidR="000E3C80" w:rsidRPr="005B04C0" w:rsidRDefault="000E3C80" w:rsidP="000E3C80">
      <w:pPr>
        <w:pStyle w:val="Titre3"/>
        <w:numPr>
          <w:ilvl w:val="0"/>
          <w:numId w:val="0"/>
        </w:numPr>
      </w:pPr>
      <w:r w:rsidRPr="005B04C0">
        <w:t>Travaux d’équipe</w:t>
      </w:r>
    </w:p>
    <w:p w14:paraId="5046EAC3" w14:textId="77777777" w:rsidR="000E3C80" w:rsidRDefault="000E3C80" w:rsidP="000E3C80">
      <w:pPr>
        <w:pStyle w:val="Paragraphedeliste"/>
      </w:pPr>
      <w:r w:rsidRPr="005B04C0">
        <w:t>Lors de travaux d’équipe en classe, la présence est obligatoire sous peine d’avoir la note zéro (0) pour ce travail.</w:t>
      </w:r>
    </w:p>
    <w:p w14:paraId="4BA92C5B" w14:textId="77777777" w:rsidR="000E3C80" w:rsidRDefault="000E3C80" w:rsidP="000E3C80"/>
    <w:p w14:paraId="34178004" w14:textId="77777777" w:rsidR="000E3C80" w:rsidRPr="00DB24FC" w:rsidRDefault="000E3C80" w:rsidP="000E3C80">
      <w:pPr>
        <w:rPr>
          <w:b/>
        </w:rPr>
      </w:pPr>
      <w:r w:rsidRPr="00DB24FC">
        <w:rPr>
          <w:b/>
        </w:rPr>
        <w:lastRenderedPageBreak/>
        <w:t>Règles d’utilisation des laboratoires</w:t>
      </w:r>
    </w:p>
    <w:p w14:paraId="0496F4F2" w14:textId="77777777" w:rsidR="000E3C80" w:rsidRDefault="000E3C80" w:rsidP="000E3C80">
      <w:pPr>
        <w:pStyle w:val="Paragraphedeliste"/>
      </w:pPr>
      <w:r w:rsidRPr="00DB24FC">
        <w:t>Les règles concernant l’utilisation des laboratoires du département Informatique sont affichées dans les laboratoires du département et doivent être respectées.</w:t>
      </w:r>
    </w:p>
    <w:p w14:paraId="57FA0B5B" w14:textId="1EE3C9E5" w:rsidR="000E3C80" w:rsidRPr="002B4910" w:rsidRDefault="000E3C80" w:rsidP="000E3C80">
      <w:pPr>
        <w:pStyle w:val="Titre3"/>
        <w:numPr>
          <w:ilvl w:val="0"/>
          <w:numId w:val="0"/>
        </w:numPr>
      </w:pPr>
      <w:r w:rsidRPr="00DB24FC">
        <w:t>Plagia</w:t>
      </w:r>
      <w:r w:rsidRPr="002B4910">
        <w:t xml:space="preserve">t (article 5.3.4 PIEA)  </w:t>
      </w:r>
    </w:p>
    <w:p w14:paraId="2E927887" w14:textId="77777777" w:rsidR="000E3C80" w:rsidRDefault="000E3C80" w:rsidP="000E3C80">
      <w:pPr>
        <w:pStyle w:val="Paragraphedeliste"/>
      </w:pPr>
      <w:r>
        <w:t>Pour des fins de clarification, les directives suivantes sont applicables :</w:t>
      </w:r>
    </w:p>
    <w:p w14:paraId="44269E0C" w14:textId="77777777" w:rsidR="000E3C80" w:rsidRDefault="000E3C80" w:rsidP="000E3C80">
      <w:pPr>
        <w:pStyle w:val="Paragraphedeliste"/>
        <w:numPr>
          <w:ilvl w:val="0"/>
          <w:numId w:val="44"/>
        </w:numPr>
        <w:spacing w:before="120" w:after="120"/>
        <w:ind w:right="397"/>
      </w:pPr>
      <w:r>
        <w:t>Un premier plagiat sera sanctionné d'un 0 au travail. Si vous avez déjà eu un plagiat au collège, vous aurez une rencontre avec la direction.</w:t>
      </w:r>
    </w:p>
    <w:p w14:paraId="188A0562" w14:textId="77777777" w:rsidR="000E3C80" w:rsidRDefault="000E3C80" w:rsidP="000E3C80">
      <w:pPr>
        <w:pStyle w:val="Paragraphedeliste"/>
        <w:numPr>
          <w:ilvl w:val="0"/>
          <w:numId w:val="44"/>
        </w:numPr>
        <w:spacing w:before="120" w:after="120"/>
        <w:ind w:right="397"/>
      </w:pPr>
      <w:r>
        <w:t>Un second plagiat entraîne la note de 0 au cours.</w:t>
      </w:r>
    </w:p>
    <w:p w14:paraId="01FD3DF9" w14:textId="77777777" w:rsidR="000E3C80" w:rsidRDefault="000E3C80" w:rsidP="000E3C80">
      <w:pPr>
        <w:pStyle w:val="Paragraphedeliste"/>
        <w:ind w:left="1072"/>
      </w:pPr>
    </w:p>
    <w:p w14:paraId="6B3F23DD" w14:textId="77777777" w:rsidR="000E3C80" w:rsidRDefault="000E3C80" w:rsidP="000E3C80">
      <w:pPr>
        <w:pStyle w:val="Paragraphedeliste"/>
      </w:pPr>
      <w:r>
        <w:t>S'aider ou plagier :</w:t>
      </w:r>
    </w:p>
    <w:p w14:paraId="704FCE25" w14:textId="77777777" w:rsidR="000E3C80" w:rsidRDefault="000E3C80" w:rsidP="000E3C80">
      <w:pPr>
        <w:pStyle w:val="Paragraphedeliste"/>
        <w:numPr>
          <w:ilvl w:val="0"/>
          <w:numId w:val="43"/>
        </w:numPr>
        <w:spacing w:before="120" w:after="120"/>
        <w:ind w:right="397"/>
      </w:pPr>
      <w:r>
        <w:t>Vous avez le droit de travailler ensemble, de vous aider en expliquant des notions et autres. Parlez et expliquez à un autre étudiant est encouragé.</w:t>
      </w:r>
    </w:p>
    <w:p w14:paraId="40A451C2" w14:textId="77777777" w:rsidR="000E3C80" w:rsidRDefault="000E3C80" w:rsidP="000E3C80">
      <w:pPr>
        <w:pStyle w:val="Paragraphedeliste"/>
        <w:numPr>
          <w:ilvl w:val="0"/>
          <w:numId w:val="43"/>
        </w:numPr>
        <w:spacing w:before="120" w:after="120"/>
        <w:ind w:right="397"/>
      </w:pPr>
      <w:r>
        <w:t>Vous ne pouvez PAS échanger des fichiers, des parties de fichiers, vos clés USB ou disque externe etc. entre vous. Cela inclut recopier lettre par lettre le travail d'un autre.</w:t>
      </w:r>
    </w:p>
    <w:p w14:paraId="7AE1641A" w14:textId="77777777" w:rsidR="000E3C80" w:rsidRDefault="000E3C80" w:rsidP="000E3C80">
      <w:pPr>
        <w:pStyle w:val="Paragraphedeliste"/>
        <w:ind w:left="1072"/>
      </w:pPr>
    </w:p>
    <w:p w14:paraId="33CA377A" w14:textId="77777777" w:rsidR="000E3C80" w:rsidRDefault="000E3C80" w:rsidP="000E3C80">
      <w:pPr>
        <w:pStyle w:val="Paragraphedeliste"/>
      </w:pPr>
      <w:r>
        <w:t>Copier ou être copié :</w:t>
      </w:r>
    </w:p>
    <w:p w14:paraId="6FBF0AE0" w14:textId="77777777" w:rsidR="000E3C80" w:rsidRDefault="000E3C80" w:rsidP="000E3C80">
      <w:pPr>
        <w:pStyle w:val="Paragraphedeliste"/>
        <w:numPr>
          <w:ilvl w:val="0"/>
          <w:numId w:val="42"/>
        </w:numPr>
        <w:spacing w:before="120" w:after="120"/>
        <w:ind w:right="397"/>
      </w:pPr>
      <w:r>
        <w:t xml:space="preserve">Dans un cas de plagiat, celui qui a partagé son travail est sanctionné au même titre que celui qui l'a </w:t>
      </w:r>
      <w:proofErr w:type="gramStart"/>
      <w:r>
        <w:t>copié</w:t>
      </w:r>
      <w:proofErr w:type="gramEnd"/>
      <w:r>
        <w:t>.</w:t>
      </w:r>
    </w:p>
    <w:p w14:paraId="0F111F20" w14:textId="77777777" w:rsidR="000E3C80" w:rsidRPr="002B4910" w:rsidRDefault="000E3C80" w:rsidP="000E3C80">
      <w:pPr>
        <w:pStyle w:val="Paragraphedeliste"/>
        <w:numPr>
          <w:ilvl w:val="0"/>
          <w:numId w:val="42"/>
        </w:numPr>
        <w:spacing w:before="120" w:after="120"/>
        <w:ind w:right="397"/>
        <w:rPr>
          <w:szCs w:val="20"/>
        </w:rPr>
      </w:pPr>
      <w:r>
        <w:t>Protégez votre travail. Fermez votre session en quittant. Si vous partagez votre travail, ou le médium sur lequel il est enregistré, vous ne contrôlez pas ce que les autres vont en faire.</w:t>
      </w:r>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Tout étudiant inscrit au cégep Édouard-</w:t>
      </w:r>
      <w:proofErr w:type="spellStart"/>
      <w:r w:rsidRPr="00DD68A9">
        <w:rPr>
          <w:rFonts w:asciiTheme="minorHAnsi" w:hAnsiTheme="minorHAnsi"/>
          <w:sz w:val="20"/>
          <w:szCs w:val="20"/>
        </w:rPr>
        <w:t>Montpetit</w:t>
      </w:r>
      <w:proofErr w:type="spellEnd"/>
      <w:r w:rsidRPr="00DD68A9">
        <w:rPr>
          <w:rFonts w:asciiTheme="minorHAnsi" w:hAnsiTheme="minorHAnsi"/>
          <w:sz w:val="20"/>
          <w:szCs w:val="20"/>
        </w:rPr>
        <w:t xml:space="preserve">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3"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Default="00F74BD8" w:rsidP="00F74BD8">
      <w:pPr>
        <w:pStyle w:val="Titre1"/>
      </w:pPr>
      <w:r w:rsidRPr="00F74BD8">
        <w:t>ANNEXE</w:t>
      </w:r>
    </w:p>
    <w:p w14:paraId="3C448CD1" w14:textId="77777777" w:rsidR="00CB333F" w:rsidRPr="00DD75B3" w:rsidRDefault="00CB333F" w:rsidP="00CB333F">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2CDB12DB" w14:textId="77777777" w:rsidR="00CB333F" w:rsidRDefault="00CB333F" w:rsidP="00CB333F">
      <w:r w:rsidRPr="00D11CB5">
        <w:t xml:space="preserve">La </w:t>
      </w:r>
      <w:r w:rsidRPr="00D11CB5">
        <w:rPr>
          <w:b/>
        </w:rPr>
        <w:t xml:space="preserve">procédure </w:t>
      </w:r>
      <w:r w:rsidRPr="00D11CB5">
        <w:t>d’évaluati</w:t>
      </w:r>
      <w:r>
        <w:t>on de la qualité du français suivra la grille suivante</w:t>
      </w:r>
      <w:r w:rsidRPr="00D11CB5">
        <w:t> :</w:t>
      </w:r>
    </w:p>
    <w:tbl>
      <w:tblPr>
        <w:tblStyle w:val="Grilledutableau"/>
        <w:tblW w:w="8676" w:type="dxa"/>
        <w:jc w:val="center"/>
        <w:tblLook w:val="04A0" w:firstRow="1" w:lastRow="0" w:firstColumn="1" w:lastColumn="0" w:noHBand="0" w:noVBand="1"/>
      </w:tblPr>
      <w:tblGrid>
        <w:gridCol w:w="6266"/>
        <w:gridCol w:w="2410"/>
      </w:tblGrid>
      <w:tr w:rsidR="00FE060C" w:rsidRPr="0099658C" w14:paraId="6DF1115E" w14:textId="77777777" w:rsidTr="00D60745">
        <w:trPr>
          <w:trHeight w:val="202"/>
          <w:jc w:val="center"/>
        </w:trPr>
        <w:tc>
          <w:tcPr>
            <w:tcW w:w="6266" w:type="dxa"/>
          </w:tcPr>
          <w:p w14:paraId="0C22F3DE" w14:textId="77777777" w:rsidR="00FE060C" w:rsidRPr="0099658C" w:rsidRDefault="00FE060C" w:rsidP="00D60745">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b/>
                <w:color w:val="000000"/>
                <w:sz w:val="24"/>
              </w:rPr>
              <w:t>Qualité du français écrit</w:t>
            </w:r>
          </w:p>
        </w:tc>
        <w:tc>
          <w:tcPr>
            <w:tcW w:w="2410" w:type="dxa"/>
          </w:tcPr>
          <w:p w14:paraId="33F2353C" w14:textId="77777777" w:rsidR="00FE060C" w:rsidRPr="0099658C" w:rsidRDefault="00FE060C" w:rsidP="00D60745">
            <w:pPr>
              <w:autoSpaceDE w:val="0"/>
              <w:autoSpaceDN w:val="0"/>
              <w:adjustRightInd w:val="0"/>
              <w:spacing w:line="360" w:lineRule="auto"/>
              <w:jc w:val="center"/>
              <w:rPr>
                <w:rFonts w:ascii="Times New Roman" w:hAnsi="Times New Roman" w:cs="Times New Roman"/>
                <w:b/>
                <w:color w:val="000000"/>
                <w:sz w:val="24"/>
              </w:rPr>
            </w:pPr>
            <w:r>
              <w:rPr>
                <w:rFonts w:ascii="Times New Roman" w:hAnsi="Times New Roman" w:cs="Times New Roman"/>
                <w:b/>
                <w:color w:val="000000"/>
                <w:sz w:val="24"/>
              </w:rPr>
              <w:t>/10</w:t>
            </w:r>
          </w:p>
        </w:tc>
      </w:tr>
      <w:tr w:rsidR="00FE060C" w:rsidRPr="0099658C" w14:paraId="09938AFD" w14:textId="77777777" w:rsidTr="00D60745">
        <w:trPr>
          <w:trHeight w:val="508"/>
          <w:jc w:val="center"/>
        </w:trPr>
        <w:tc>
          <w:tcPr>
            <w:tcW w:w="6266" w:type="dxa"/>
          </w:tcPr>
          <w:p w14:paraId="5434236E" w14:textId="77777777" w:rsidR="00FE060C" w:rsidRPr="0099658C" w:rsidRDefault="00FE060C" w:rsidP="00D60745">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Clarté du propos.</w:t>
            </w:r>
            <w:r w:rsidRPr="0099658C">
              <w:rPr>
                <w:rFonts w:ascii="Times New Roman" w:hAnsi="Times New Roman" w:cs="Times New Roman"/>
                <w:noProof/>
                <w:color w:val="000000"/>
                <w:sz w:val="24"/>
                <w:lang w:eastAsia="fr-CA"/>
              </w:rPr>
              <w:t xml:space="preserve"> </w:t>
            </w:r>
          </w:p>
        </w:tc>
        <w:tc>
          <w:tcPr>
            <w:tcW w:w="2410" w:type="dxa"/>
          </w:tcPr>
          <w:p w14:paraId="6F401C88" w14:textId="77777777" w:rsidR="00FE060C" w:rsidRPr="0099658C" w:rsidRDefault="00FE060C" w:rsidP="00D60745">
            <w:pPr>
              <w:autoSpaceDE w:val="0"/>
              <w:autoSpaceDN w:val="0"/>
              <w:adjustRightInd w:val="0"/>
              <w:spacing w:line="360" w:lineRule="auto"/>
              <w:jc w:val="center"/>
              <w:rPr>
                <w:rFonts w:ascii="Times New Roman" w:hAnsi="Times New Roman" w:cs="Times New Roman"/>
                <w:color w:val="000000"/>
                <w:sz w:val="24"/>
              </w:rPr>
            </w:pPr>
            <w:r>
              <w:rPr>
                <w:rFonts w:ascii="Times New Roman" w:hAnsi="Times New Roman" w:cs="Times New Roman"/>
                <w:color w:val="000000"/>
                <w:sz w:val="24"/>
              </w:rPr>
              <w:t>/3</w:t>
            </w:r>
          </w:p>
        </w:tc>
      </w:tr>
      <w:tr w:rsidR="00FE060C" w:rsidRPr="0099658C" w14:paraId="60D5E8B3" w14:textId="77777777" w:rsidTr="00D60745">
        <w:trPr>
          <w:trHeight w:val="202"/>
          <w:jc w:val="center"/>
        </w:trPr>
        <w:tc>
          <w:tcPr>
            <w:tcW w:w="6266" w:type="dxa"/>
          </w:tcPr>
          <w:p w14:paraId="7C47CFDE" w14:textId="77777777" w:rsidR="00FE060C" w:rsidRPr="0099658C" w:rsidRDefault="00FE060C" w:rsidP="00D60745">
            <w:pPr>
              <w:autoSpaceDE w:val="0"/>
              <w:autoSpaceDN w:val="0"/>
              <w:adjustRightInd w:val="0"/>
              <w:spacing w:line="360" w:lineRule="auto"/>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Emploi</w:t>
            </w:r>
            <w:r>
              <w:rPr>
                <w:rFonts w:ascii="Times New Roman" w:hAnsi="Times New Roman" w:cs="Times New Roman"/>
                <w:color w:val="000000"/>
                <w:sz w:val="24"/>
              </w:rPr>
              <w:t xml:space="preserve"> des termes techniques</w:t>
            </w:r>
            <w:r w:rsidRPr="0099658C">
              <w:rPr>
                <w:rFonts w:ascii="Times New Roman" w:hAnsi="Times New Roman" w:cs="Times New Roman"/>
                <w:color w:val="000000"/>
                <w:sz w:val="24"/>
              </w:rPr>
              <w:t>.</w:t>
            </w:r>
            <w:r w:rsidRPr="0099658C">
              <w:rPr>
                <w:rFonts w:ascii="Times New Roman" w:hAnsi="Times New Roman" w:cs="Times New Roman"/>
                <w:noProof/>
                <w:color w:val="000000"/>
                <w:sz w:val="24"/>
                <w:lang w:eastAsia="fr-CA"/>
              </w:rPr>
              <w:t xml:space="preserve"> </w:t>
            </w:r>
          </w:p>
        </w:tc>
        <w:tc>
          <w:tcPr>
            <w:tcW w:w="2410" w:type="dxa"/>
          </w:tcPr>
          <w:p w14:paraId="69FE6E2F" w14:textId="77777777" w:rsidR="00FE060C" w:rsidRPr="0099658C" w:rsidRDefault="00FE060C" w:rsidP="00D60745">
            <w:pPr>
              <w:autoSpaceDE w:val="0"/>
              <w:autoSpaceDN w:val="0"/>
              <w:adjustRightInd w:val="0"/>
              <w:spacing w:line="360" w:lineRule="auto"/>
              <w:jc w:val="center"/>
              <w:rPr>
                <w:rFonts w:ascii="Times New Roman" w:hAnsi="Times New Roman" w:cs="Times New Roman"/>
                <w:noProof/>
                <w:color w:val="000000"/>
                <w:sz w:val="24"/>
                <w:lang w:eastAsia="fr-CA"/>
              </w:rPr>
            </w:pPr>
            <w:r>
              <w:rPr>
                <w:rFonts w:ascii="Times New Roman" w:hAnsi="Times New Roman" w:cs="Times New Roman"/>
                <w:noProof/>
                <w:color w:val="000000"/>
                <w:sz w:val="24"/>
                <w:lang w:eastAsia="fr-CA"/>
              </w:rPr>
              <w:t>/4</w:t>
            </w:r>
          </w:p>
        </w:tc>
      </w:tr>
      <w:tr w:rsidR="00FE060C" w:rsidRPr="0099658C" w14:paraId="1318F77C" w14:textId="77777777" w:rsidTr="00D60745">
        <w:trPr>
          <w:trHeight w:val="508"/>
          <w:jc w:val="center"/>
        </w:trPr>
        <w:tc>
          <w:tcPr>
            <w:tcW w:w="6266" w:type="dxa"/>
          </w:tcPr>
          <w:p w14:paraId="094CFCE3" w14:textId="77777777" w:rsidR="00FE060C" w:rsidRPr="0099658C" w:rsidRDefault="00FE060C" w:rsidP="00D60745">
            <w:pPr>
              <w:autoSpaceDE w:val="0"/>
              <w:autoSpaceDN w:val="0"/>
              <w:adjustRightInd w:val="0"/>
              <w:spacing w:line="360" w:lineRule="auto"/>
              <w:rPr>
                <w:rFonts w:ascii="Times New Roman" w:hAnsi="Times New Roman" w:cs="Times New Roman"/>
                <w:b/>
                <w:color w:val="000000"/>
                <w:sz w:val="24"/>
              </w:rPr>
            </w:pPr>
            <w:r>
              <w:rPr>
                <w:rFonts w:ascii="Times New Roman" w:hAnsi="Times New Roman" w:cs="Times New Roman"/>
                <w:color w:val="000000"/>
                <w:sz w:val="24"/>
              </w:rPr>
              <w:t>Respect du code orthographique et grammatical (les accords).</w:t>
            </w:r>
            <w:r w:rsidRPr="0099658C">
              <w:rPr>
                <w:rFonts w:ascii="Times New Roman" w:hAnsi="Times New Roman" w:cs="Times New Roman"/>
                <w:color w:val="000000"/>
                <w:sz w:val="24"/>
              </w:rPr>
              <w:t xml:space="preserve"> </w:t>
            </w:r>
          </w:p>
        </w:tc>
        <w:tc>
          <w:tcPr>
            <w:tcW w:w="2410" w:type="dxa"/>
          </w:tcPr>
          <w:p w14:paraId="698E4C7B" w14:textId="77777777" w:rsidR="00FE060C" w:rsidRPr="0099658C" w:rsidRDefault="00FE060C" w:rsidP="00D60745">
            <w:pPr>
              <w:autoSpaceDE w:val="0"/>
              <w:autoSpaceDN w:val="0"/>
              <w:adjustRightInd w:val="0"/>
              <w:spacing w:line="360" w:lineRule="auto"/>
              <w:jc w:val="center"/>
              <w:rPr>
                <w:rFonts w:ascii="Times New Roman" w:hAnsi="Times New Roman" w:cs="Times New Roman"/>
                <w:b/>
                <w:color w:val="000000"/>
                <w:sz w:val="24"/>
              </w:rPr>
            </w:pPr>
            <w:r>
              <w:rPr>
                <w:rFonts w:ascii="Times New Roman" w:hAnsi="Times New Roman" w:cs="Times New Roman"/>
                <w:color w:val="000000"/>
                <w:sz w:val="24"/>
              </w:rPr>
              <w:t>/3</w:t>
            </w:r>
          </w:p>
        </w:tc>
      </w:tr>
    </w:tbl>
    <w:p w14:paraId="0727D83D" w14:textId="771F7045" w:rsidR="00F05B68" w:rsidRPr="001D1356" w:rsidRDefault="00F05B68" w:rsidP="00FE060C">
      <w:pPr>
        <w:rPr>
          <w:szCs w:val="22"/>
        </w:rPr>
      </w:pPr>
    </w:p>
    <w:sectPr w:rsidR="00F05B68" w:rsidRPr="001D1356" w:rsidSect="00797000">
      <w:footerReference w:type="default" r:id="rId14"/>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181F6" w14:textId="77777777" w:rsidR="0041613E" w:rsidRDefault="0041613E" w:rsidP="004C0A97">
      <w:r>
        <w:separator/>
      </w:r>
    </w:p>
  </w:endnote>
  <w:endnote w:type="continuationSeparator" w:id="0">
    <w:p w14:paraId="23B75F80" w14:textId="77777777" w:rsidR="0041613E" w:rsidRDefault="0041613E"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EEF9" w14:textId="3231DC9F"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CE140D" w:rsidRPr="00CE140D">
      <w:rPr>
        <w:noProof/>
        <w:sz w:val="16"/>
        <w:lang w:val="fr-FR"/>
      </w:rPr>
      <w:t>6</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4F8DF" w14:textId="77777777" w:rsidR="0041613E" w:rsidRDefault="0041613E" w:rsidP="004C0A97">
      <w:r>
        <w:separator/>
      </w:r>
    </w:p>
  </w:footnote>
  <w:footnote w:type="continuationSeparator" w:id="0">
    <w:p w14:paraId="438C3AC5" w14:textId="77777777" w:rsidR="0041613E" w:rsidRDefault="0041613E" w:rsidP="004C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15:restartNumberingAfterBreak="0">
    <w:nsid w:val="075455FC"/>
    <w:multiLevelType w:val="hybridMultilevel"/>
    <w:tmpl w:val="CCB020BE"/>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2" w15:restartNumberingAfterBreak="0">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A76D55"/>
    <w:multiLevelType w:val="hybridMultilevel"/>
    <w:tmpl w:val="4446980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0A5226E"/>
    <w:multiLevelType w:val="hybridMultilevel"/>
    <w:tmpl w:val="37F89C68"/>
    <w:lvl w:ilvl="0" w:tplc="0C0C0001">
      <w:start w:val="1"/>
      <w:numFmt w:val="bullet"/>
      <w:lvlText w:val=""/>
      <w:lvlJc w:val="left"/>
      <w:pPr>
        <w:ind w:left="927" w:hanging="360"/>
      </w:pPr>
      <w:rPr>
        <w:rFonts w:ascii="Symbol" w:hAnsi="Symbol" w:hint="default"/>
      </w:rPr>
    </w:lvl>
    <w:lvl w:ilvl="1" w:tplc="0C0C0003">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9" w15:restartNumberingAfterBreak="0">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28476FF"/>
    <w:multiLevelType w:val="hybridMultilevel"/>
    <w:tmpl w:val="AA0AEC8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A4B6C8E"/>
    <w:multiLevelType w:val="hybridMultilevel"/>
    <w:tmpl w:val="9CA83FD6"/>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18" w15:restartNumberingAfterBreak="0">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D91960"/>
    <w:multiLevelType w:val="hybridMultilevel"/>
    <w:tmpl w:val="74321424"/>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18"/>
  </w:num>
  <w:num w:numId="11">
    <w:abstractNumId w:val="13"/>
  </w:num>
  <w:num w:numId="12">
    <w:abstractNumId w:val="3"/>
  </w:num>
  <w:num w:numId="13">
    <w:abstractNumId w:val="10"/>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5"/>
  </w:num>
  <w:num w:numId="24">
    <w:abstractNumId w:val="12"/>
  </w:num>
  <w:num w:numId="25">
    <w:abstractNumId w:val="9"/>
  </w:num>
  <w:num w:numId="26">
    <w:abstractNumId w:val="5"/>
  </w:num>
  <w:num w:numId="27">
    <w:abstractNumId w:val="5"/>
  </w:num>
  <w:num w:numId="28">
    <w:abstractNumId w:val="16"/>
  </w:num>
  <w:num w:numId="29">
    <w:abstractNumId w:val="15"/>
  </w:num>
  <w:num w:numId="30">
    <w:abstractNumId w:val="6"/>
  </w:num>
  <w:num w:numId="31">
    <w:abstractNumId w:val="2"/>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1"/>
  </w:num>
  <w:num w:numId="38">
    <w:abstractNumId w:val="0"/>
  </w:num>
  <w:num w:numId="39">
    <w:abstractNumId w:val="14"/>
  </w:num>
  <w:num w:numId="40">
    <w:abstractNumId w:val="8"/>
  </w:num>
  <w:num w:numId="41">
    <w:abstractNumId w:val="7"/>
  </w:num>
  <w:num w:numId="42">
    <w:abstractNumId w:val="19"/>
  </w:num>
  <w:num w:numId="43">
    <w:abstractNumId w:val="1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removePersonalInformation/>
  <w:removeDateAndTime/>
  <w:proofState w:spelling="clean" w:grammar="clean"/>
  <w:stylePaneSortMethod w:val="000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60"/>
    <w:rsid w:val="00011393"/>
    <w:rsid w:val="00043225"/>
    <w:rsid w:val="00060EDD"/>
    <w:rsid w:val="00061EA0"/>
    <w:rsid w:val="0007263C"/>
    <w:rsid w:val="000750B6"/>
    <w:rsid w:val="000A633A"/>
    <w:rsid w:val="000B3FDD"/>
    <w:rsid w:val="000B5020"/>
    <w:rsid w:val="000C4E29"/>
    <w:rsid w:val="000D6766"/>
    <w:rsid w:val="000E3C80"/>
    <w:rsid w:val="000E6CE4"/>
    <w:rsid w:val="00102AFF"/>
    <w:rsid w:val="0010683D"/>
    <w:rsid w:val="00130DB9"/>
    <w:rsid w:val="00140972"/>
    <w:rsid w:val="001A7790"/>
    <w:rsid w:val="001A7D89"/>
    <w:rsid w:val="001D1356"/>
    <w:rsid w:val="001E401F"/>
    <w:rsid w:val="00213B6B"/>
    <w:rsid w:val="002531B5"/>
    <w:rsid w:val="00267942"/>
    <w:rsid w:val="00284257"/>
    <w:rsid w:val="00294170"/>
    <w:rsid w:val="002A510D"/>
    <w:rsid w:val="002A7F28"/>
    <w:rsid w:val="002E1ED0"/>
    <w:rsid w:val="002F1FE2"/>
    <w:rsid w:val="00300768"/>
    <w:rsid w:val="0031001F"/>
    <w:rsid w:val="00315DC1"/>
    <w:rsid w:val="0031650D"/>
    <w:rsid w:val="003246C6"/>
    <w:rsid w:val="00340FB1"/>
    <w:rsid w:val="00344460"/>
    <w:rsid w:val="003551D4"/>
    <w:rsid w:val="003710A6"/>
    <w:rsid w:val="00397F9E"/>
    <w:rsid w:val="003C713A"/>
    <w:rsid w:val="003C7B58"/>
    <w:rsid w:val="0041613E"/>
    <w:rsid w:val="004166EE"/>
    <w:rsid w:val="0042043E"/>
    <w:rsid w:val="0043417F"/>
    <w:rsid w:val="00444CE2"/>
    <w:rsid w:val="00452CAF"/>
    <w:rsid w:val="004845F8"/>
    <w:rsid w:val="00494DB1"/>
    <w:rsid w:val="00495D46"/>
    <w:rsid w:val="00497C19"/>
    <w:rsid w:val="004B0A12"/>
    <w:rsid w:val="004C0A97"/>
    <w:rsid w:val="004C4A4D"/>
    <w:rsid w:val="004F0F35"/>
    <w:rsid w:val="004F3317"/>
    <w:rsid w:val="004F3929"/>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46F2F"/>
    <w:rsid w:val="006A0D39"/>
    <w:rsid w:val="006A5D7D"/>
    <w:rsid w:val="006B61E9"/>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47306"/>
    <w:rsid w:val="00855405"/>
    <w:rsid w:val="0086082C"/>
    <w:rsid w:val="0086145B"/>
    <w:rsid w:val="008A1C5E"/>
    <w:rsid w:val="008A6B6A"/>
    <w:rsid w:val="008C41A5"/>
    <w:rsid w:val="008C44D7"/>
    <w:rsid w:val="008C6545"/>
    <w:rsid w:val="008E22BE"/>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5451"/>
    <w:rsid w:val="00AB7A6B"/>
    <w:rsid w:val="00AC13D3"/>
    <w:rsid w:val="00AD581C"/>
    <w:rsid w:val="00AE1865"/>
    <w:rsid w:val="00AE360E"/>
    <w:rsid w:val="00AF2E0A"/>
    <w:rsid w:val="00B2168C"/>
    <w:rsid w:val="00B27392"/>
    <w:rsid w:val="00B34216"/>
    <w:rsid w:val="00B51F93"/>
    <w:rsid w:val="00B52A98"/>
    <w:rsid w:val="00B93D0D"/>
    <w:rsid w:val="00B96EE8"/>
    <w:rsid w:val="00BA59A5"/>
    <w:rsid w:val="00BC23A4"/>
    <w:rsid w:val="00BC4C25"/>
    <w:rsid w:val="00BC6B93"/>
    <w:rsid w:val="00BE4FC1"/>
    <w:rsid w:val="00C00494"/>
    <w:rsid w:val="00C33BA8"/>
    <w:rsid w:val="00C35490"/>
    <w:rsid w:val="00C77D34"/>
    <w:rsid w:val="00C80089"/>
    <w:rsid w:val="00C80EF7"/>
    <w:rsid w:val="00C87AD7"/>
    <w:rsid w:val="00C97E8F"/>
    <w:rsid w:val="00CB333F"/>
    <w:rsid w:val="00CC1AB4"/>
    <w:rsid w:val="00CC78F6"/>
    <w:rsid w:val="00CD4C7C"/>
    <w:rsid w:val="00CE140D"/>
    <w:rsid w:val="00CF3297"/>
    <w:rsid w:val="00D005FC"/>
    <w:rsid w:val="00D11CB5"/>
    <w:rsid w:val="00D414A0"/>
    <w:rsid w:val="00D47D48"/>
    <w:rsid w:val="00D55674"/>
    <w:rsid w:val="00D638BF"/>
    <w:rsid w:val="00D6458F"/>
    <w:rsid w:val="00D647B7"/>
    <w:rsid w:val="00D941A8"/>
    <w:rsid w:val="00DA3F37"/>
    <w:rsid w:val="00DC6096"/>
    <w:rsid w:val="00DD11A9"/>
    <w:rsid w:val="00DD33A6"/>
    <w:rsid w:val="00DD68A9"/>
    <w:rsid w:val="00DD6D7B"/>
    <w:rsid w:val="00DD75B3"/>
    <w:rsid w:val="00DE18CC"/>
    <w:rsid w:val="00DE1F14"/>
    <w:rsid w:val="00E0737E"/>
    <w:rsid w:val="00E151AE"/>
    <w:rsid w:val="00E26962"/>
    <w:rsid w:val="00E26B0A"/>
    <w:rsid w:val="00E34033"/>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060C"/>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agraphe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suivi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egepmontpetit.ca/reglements-et-politiqu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egepmontpetit.ca/norm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39BD6E-9434-874C-B9B1-4BBD72EE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1776</Words>
  <Characters>9774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2018-08-21T12:12:00Z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