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E51A9" w14:textId="77777777" w:rsidR="00A72405" w:rsidRPr="00DF43F0" w:rsidRDefault="007C5D19">
      <w:pPr>
        <w:pStyle w:val="Ttulo1"/>
        <w:rPr>
          <w:lang w:val="es-419"/>
        </w:rPr>
      </w:pPr>
      <w:r>
        <w:t>Taller 6: Experimentos</w:t>
      </w:r>
    </w:p>
    <w:p>
      <w:pPr>
        <w:spacing w:after="100"/>
        <w:jc w:val="both"/>
      </w:pPr>
      <w:r>
        <w:t>Para este taller, su grupo funcionará como un equipo consultor de cuatro personas contratado por una ONG interesada en apoyar la construcción de acueductos veredales. La ONG quiere entender cómo las reglas e incentivos pueden afectar la cooperación de las comunidades cuando un proyecto requiere contribuciones individuales para alcanzar un beneficio colectivo. En particular, quiere saber qué enseñan los datos experimentales sobre la introducción de mecanismos de sanción frente al free riding, qué tan sólida es la evidencia causal y cuáles son los límites para trasladar estos resultados a la organización de un proyecto de acueducto veredal. El equipo deberá producir los análisis solicitados y mantener un repositorio Git organizado y reproducible, siguiendo la estructura de carpetas vista en clase.</w:t>
      </w:r>
    </w:p>
    <w:p>
      <w:pPr>
        <w:pStyle w:val="Ttulo2"/>
        <w:spacing w:after="60"/>
      </w:pPr>
      <w:r>
        <w:t>Roles dentro del equipo consultor</w:t>
      </w:r>
    </w:p>
    <w:p>
      <w:pPr>
        <w:spacing w:after="100"/>
        <w:jc w:val="both"/>
      </w:pPr>
      <w:r>
        <w:t>Cada integrante asumirá uno de los siguientes roles. Los roles definen una responsabilidad principal, pero todos los integrantes deben comprender el análisis completo y participar en la construcción del producto final.</w:t>
      </w:r>
    </w:p>
    <w:tbl>
      <w:tblPr>
        <w:tblStyle w:val="Tablaconcuadrcula"/>
        <w:tblW w:type="auto" w:w="0"/>
        <w:jc w:val="center"/>
        <w:tblLook w:firstColumn="1" w:firstRow="1" w:lastColumn="0" w:lastRow="0" w:noHBand="0" w:noVBand="1" w:val="04A0"/>
      </w:tblPr>
      <w:tblGrid>
        <w:gridCol w:w="4320"/>
        <w:gridCol w:w="4320"/>
      </w:tblGrid>
      <w:tr>
        <w:trPr>
          <w:tblHeader w:val="true"/>
        </w:trPr>
        <w:tc>
          <w:tcPr>
            <w:tcW w:type="dxa" w:w="4320"/>
            <w:shd w:fill="D9EAF7"/>
            <w:tcMar>
              <w:top w:w="70" w:type="dxa"/>
              <w:start w:w="90" w:type="dxa"/>
              <w:bottom w:w="70" w:type="dxa"/>
              <w:end w:w="90" w:type="dxa"/>
            </w:tcMar>
          </w:tcPr>
          <w:p>
            <w:r>
              <w:rPr>
                <w:b/>
              </w:rPr>
              <w:t>Rol</w:t>
            </w:r>
          </w:p>
        </w:tc>
        <w:tc>
          <w:tcPr>
            <w:tcW w:type="dxa" w:w="4320"/>
            <w:shd w:fill="D9EAF7"/>
            <w:tcMar>
              <w:top w:w="70" w:type="dxa"/>
              <w:start w:w="90" w:type="dxa"/>
              <w:bottom w:w="70" w:type="dxa"/>
              <w:end w:w="90" w:type="dxa"/>
            </w:tcMar>
          </w:tcPr>
          <w:p>
            <w:r>
              <w:rPr>
                <w:b/>
              </w:rPr>
              <w:t>Responsabilidad principal dentro de la consultoría</w:t>
            </w:r>
          </w:p>
        </w:tc>
      </w:tr>
      <w:tr>
        <w:tc>
          <w:tcPr>
            <w:tcW w:type="dxa" w:w="4320"/>
            <w:tcMar>
              <w:top w:w="70" w:type="dxa"/>
              <w:start w:w="90" w:type="dxa"/>
              <w:bottom w:w="70" w:type="dxa"/>
              <w:end w:w="90" w:type="dxa"/>
            </w:tcMar>
            <w:vAlign w:val="center"/>
          </w:tcPr>
          <w:p>
            <w:r>
              <w:t>1. Líder del proyecto y enlace con la ONG</w:t>
            </w:r>
          </w:p>
        </w:tc>
        <w:tc>
          <w:tcPr>
            <w:tcW w:type="dxa" w:w="4320"/>
            <w:tcMar>
              <w:top w:w="70" w:type="dxa"/>
              <w:start w:w="90" w:type="dxa"/>
              <w:bottom w:w="70" w:type="dxa"/>
              <w:end w:w="90" w:type="dxa"/>
            </w:tcMar>
            <w:vAlign w:val="center"/>
          </w:tcPr>
          <w:p>
            <w:r>
              <w:t>Coordina el trabajo del equipo, verifica que se responda la pregunta que interesa a la ONG y lidera la traducción de los resultados experimentales en mensajes y recomendaciones útiles para el diseño de proyectos de acueductos veredales.</w:t>
            </w:r>
          </w:p>
        </w:tc>
      </w:tr>
      <w:tr>
        <w:tc>
          <w:tcPr>
            <w:tcW w:type="dxa" w:w="4320"/>
            <w:tcMar>
              <w:top w:w="70" w:type="dxa"/>
              <w:start w:w="90" w:type="dxa"/>
              <w:bottom w:w="70" w:type="dxa"/>
              <w:end w:w="90" w:type="dxa"/>
            </w:tcMar>
            <w:vAlign w:val="center"/>
          </w:tcPr>
          <w:p>
            <w:pPr>
              <w:spacing w:after="0"/>
            </w:pPr>
            <w:r>
              <w:rPr>
                <w:b/>
              </w:rPr>
              <w:t>2. Especialista en datos y reproducibilidad</w:t>
            </w:r>
          </w:p>
        </w:tc>
        <w:tc>
          <w:tcPr>
            <w:tcW w:type="dxa" w:w="4320"/>
            <w:tcMar>
              <w:top w:w="70" w:type="dxa"/>
              <w:start w:w="90" w:type="dxa"/>
              <w:bottom w:w="70" w:type="dxa"/>
              <w:end w:w="90" w:type="dxa"/>
            </w:tcMar>
            <w:vAlign w:val="center"/>
          </w:tcPr>
          <w:p>
            <w:pPr>
              <w:spacing w:after="0"/>
            </w:pPr>
            <w:r>
              <w:t>Es responsable de organizar y documentar los datos experimentales; mantener la estructura de RawData y las demás carpetas; estructurar los do-files de Stata; y verificar que el análisis pueda ejecutarse de principio a fin desde el repositorio.</w:t>
            </w:r>
          </w:p>
        </w:tc>
      </w:tr>
      <w:tr>
        <w:tc>
          <w:tcPr>
            <w:tcW w:type="dxa" w:w="4320"/>
            <w:tcMar>
              <w:top w:w="70" w:type="dxa"/>
              <w:start w:w="90" w:type="dxa"/>
              <w:bottom w:w="70" w:type="dxa"/>
              <w:end w:w="90" w:type="dxa"/>
            </w:tcMar>
            <w:vAlign w:val="center"/>
          </w:tcPr>
          <w:p>
            <w:pPr>
              <w:spacing w:after="0"/>
            </w:pPr>
            <w:r>
              <w:rPr>
                <w:b/>
              </w:rPr>
              <w:t>3. Analista cuantitativo</w:t>
            </w:r>
          </w:p>
        </w:tc>
        <w:tc>
          <w:tcPr>
            <w:tcW w:type="dxa" w:w="4320"/>
            <w:tcMar>
              <w:top w:w="70" w:type="dxa"/>
              <w:start w:w="90" w:type="dxa"/>
              <w:bottom w:w="70" w:type="dxa"/>
              <w:end w:w="90" w:type="dxa"/>
            </w:tcMar>
            <w:vAlign w:val="center"/>
          </w:tcPr>
          <w:p>
            <w:pPr>
              <w:spacing w:after="0"/>
            </w:pPr>
            <w:r>
              <w:t>Lidera los cálculos descriptivos e inferenciales, incluidas medias, varianzas, desviaciones estándar, mínimos, máximos, pruebas t y valores p. También verifica que las interpretaciones sobre inferencia y causalidad sean consistentes con los resultados y el diseño experimental.</w:t>
            </w:r>
          </w:p>
        </w:tc>
      </w:tr>
      <w:tr>
        <w:tc>
          <w:tcPr>
            <w:tcW w:type="dxa" w:w="4320"/>
            <w:tcMar>
              <w:top w:w="70" w:type="dxa"/>
              <w:start w:w="90" w:type="dxa"/>
              <w:bottom w:w="70" w:type="dxa"/>
              <w:end w:w="90" w:type="dxa"/>
            </w:tcMar>
            <w:vAlign w:val="center"/>
          </w:tcPr>
          <w:p>
            <w:pPr>
              <w:spacing w:after="0"/>
            </w:pPr>
            <w:r>
              <w:rPr>
                <w:b/>
              </w:rPr>
              <w:t>4. Especialista en visualización y comunicación</w:t>
            </w:r>
          </w:p>
        </w:tc>
        <w:tc>
          <w:tcPr>
            <w:tcW w:type="dxa" w:w="4320"/>
            <w:tcMar>
              <w:top w:w="70" w:type="dxa"/>
              <w:start w:w="90" w:type="dxa"/>
              <w:bottom w:w="70" w:type="dxa"/>
              <w:end w:w="90" w:type="dxa"/>
            </w:tcMar>
            <w:vAlign w:val="center"/>
          </w:tcPr>
          <w:p>
            <w:r>
              <w:t>Lidera la construcción y revisión de los gráficos y tablas; vela por títulos, ejes, leyendas y claridad visual; y ayuda a convertir los resultados técnicos en mensajes comprensibles para el equipo de la ONG.</w:t>
            </w:r>
          </w:p>
        </w:tc>
      </w:tr>
    </w:tbl>
    <w:p>
      <w:pPr>
        <w:spacing w:after="100"/>
        <w:jc w:val="both"/>
      </w:pPr>
      <w:r>
        <w:rPr>
          <w:b/>
        </w:rPr>
        <w:t xml:space="preserve">Responsabilidad compartida. </w:t>
      </w:r>
      <w:r>
        <w:t>Los roles indican una responsabilidad principal, no dividen el taller en cuatro partes. Todos los productos son responsabilidad conjunta y todos los integrantes deben comprender los datos, el análisis, las visualizaciones y las conclusiones. Cualquier integrante puede ser seleccionado para presentar y defender el trabajo ante el cliente.</w:t>
      </w:r>
    </w:p>
    <w:p>
      <w:pPr>
        <w:spacing w:after="100"/>
        <w:jc w:val="both"/>
      </w:pPr>
      <w:r>
        <w:rPr>
          <w:b/>
        </w:rPr>
        <w:t xml:space="preserve">Organización del equipo. </w:t>
      </w:r>
      <w:r>
        <w:t>Al inicio del README.md, indiquen los nombres de los cuatro integrantes y el rol asumido por cada uno. La evaluación total del taller será: 50 puntos de presentación al cliente (nota grupal), 35 puntos de entrega escrita/repositorio (nota grupal) y 15 puntos individuales asociados al rol. En el README, cada integrante debe registrar entre 2 y 4 contribuciones concretas vinculadas con su rol e indicar los do-files, tablas, figuras o secciones donde pueden verificarse. El historial de Git puede servir como evidencia, pero no se calificará simplemente el número de commits. Todos deben comprender y poder defender el análisis completo.</w:t>
      </w:r>
    </w:p>
    <w:p>
      <w:pPr>
        <w:pStyle w:val="Ttulo2"/>
        <w:spacing w:after="60"/>
      </w:pPr>
      <w:r>
        <w:t>Dinámica del taller</w:t>
      </w:r>
    </w:p>
    <w:p>
      <w:pPr>
        <w:spacing w:after="100"/>
        <w:jc w:val="both"/>
      </w:pPr>
      <w:r>
        <w:rPr>
          <w:b/>
        </w:rPr>
        <w:t xml:space="preserve">Sesión 1: socialización del encargo e inicio del trabajo. </w:t>
      </w:r>
      <w:r>
        <w:t>Se socializa el encargo, se conforman los equipos, se asignan los roles, se revisan las preguntas y la lectura de Herrmann et al. (2008), se realiza la actividad de recolección de datos experimentales y se inicia el análisis.</w:t>
      </w:r>
    </w:p>
    <w:p>
      <w:pPr>
        <w:spacing w:after="100"/>
        <w:jc w:val="both"/>
      </w:pPr>
      <w:r>
        <w:rPr>
          <w:b/>
        </w:rPr>
        <w:t xml:space="preserve">Sesión 2: trabajo del equipo consultor. </w:t>
      </w:r>
      <w:r>
        <w:t>La sesión se dedica al procesamiento de los datos, el código en Stata, las estadísticas descriptivas e inferenciales, las visualizaciones, la interpretación de resultados y la preparación del repositorio reproducible. Los cuatro integrantes deben participar y conocer el trabajo completo.</w:t>
      </w:r>
    </w:p>
    <w:p>
      <w:pPr>
        <w:spacing w:after="100"/>
        <w:jc w:val="both"/>
      </w:pPr>
      <w:r>
        <w:rPr>
          <w:b/>
        </w:rPr>
        <w:t xml:space="preserve">Sesión 3: presentación al cliente. </w:t>
      </w:r>
      <w:r>
        <w:t>Las preguntas se organizarán en seis bloques. Para cada bloque, el profesor seleccionará aleatoriamente un equipo, sin reemplazo, que presentará un briefing de máximo 5 minutos. Justo antes de presentar, se seleccionará aleatoriamente a uno de los cuatro integrantes como portavoz. Como representa el trabajo del equipo, todos deben estar preparados para explicar cualquier parte del análisis, independientemente de su rol.</w:t>
      </w:r>
    </w:p>
    <w:p>
      <w:pPr>
        <w:spacing w:after="100"/>
        <w:jc w:val="both"/>
      </w:pPr>
      <w:r>
        <w:rPr>
          <w:b/>
        </w:rPr>
        <w:t xml:space="preserve">Estructura sugerida del briefing. </w:t>
      </w:r>
      <w:r>
        <w:t>En 5 minutos debe quedar claro: (i) qué pidió analizar el cliente; (ii) qué hizo el equipo y qué evidencia obtuvo; (iii) cómo se interpreta esa evidencia y cuáles son sus limitaciones; y (iv) cuál es el mensaje principal o recomendación para la ONG.</w:t>
      </w:r>
    </w:p>
    <w:p>
      <w:pPr>
        <w:spacing w:after="100"/>
        <w:jc w:val="both"/>
      </w:pPr>
      <w:r>
        <w:rPr>
          <w:b/>
        </w:rPr>
        <w:t xml:space="preserve">Stata y reproducibilidad. </w:t>
      </w:r>
      <w:r>
        <w:t>El taller DEBE realizarse en Stata mediante do-files. Todos los pasos necesarios para obtener los resultados deben quedar documentados en el código; no se aceptan resultados que dependan de edición manual de las bases o de comandos ejecutados sin quedar registrados en un do-file reproducible. Deben seguirse las reglas del repositorio Git y la estructura de carpetas vista en clase.</w:t>
      </w:r>
    </w:p>
    <w:p w14:paraId="6401D082" w14:textId="4E6378A6" w:rsidR="00DF43F0" w:rsidRDefault="00DF43F0" w:rsidP="00DF43F0">
      <w:pPr>
        <w:jc w:val="both"/>
        <w:rPr>
          <w:lang w:val="es-419"/>
        </w:rPr>
      </w:pPr>
      <w:r w:rsidRPr="00DF43F0">
        <w:rPr>
          <w:lang w:val="es-419"/>
        </w:rPr>
        <w:t>Los experimentos son una herramienta poderosa para la economía, ya que permiten analizar el comportamiento humano en entornos controlados. A través de juegos diseñados cuidadosamente, como el juego de bienes públicos, los investigadores pueden observar cómo las personas toman decisiones sobre cooperación, altruismo o castigo. Estos ejercicios no solo ayudan a contrastar teorías económicas con la evidencia, sino que también muestran cómo las instituciones y las reglas pueden afectar los incentivos y, en consecuencia, los resultados colectivos. Sin embargo, es importante reconocer que los experimentos tienen limitaciones: los participantes suelen ser estudiantes y las condiciones simplificadas no siempre reflejan la complejidad del mundo real. Aun así, constituyen un punto de partida valioso para comprender fenómenos sociales y económicos.</w:t>
      </w:r>
    </w:p>
    <w:p w14:paraId="1B8DD73D" w14:textId="4529C469" w:rsidR="00FC1155" w:rsidRPr="00FC1155" w:rsidRDefault="00FC1155" w:rsidP="00FC1155">
      <w:pPr>
        <w:jc w:val="both"/>
        <w:rPr>
          <w:b/>
          <w:bCs/>
          <w:lang w:val="es-419"/>
        </w:rPr>
      </w:pPr>
      <w:r w:rsidRPr="00FC1155">
        <w:rPr>
          <w:b/>
          <w:bCs/>
          <w:lang w:val="es-419"/>
        </w:rPr>
        <w:t xml:space="preserve">Homo </w:t>
      </w:r>
      <w:proofErr w:type="spellStart"/>
      <w:r w:rsidRPr="00FC1155">
        <w:rPr>
          <w:b/>
          <w:bCs/>
          <w:lang w:val="es-419"/>
        </w:rPr>
        <w:t>economicus</w:t>
      </w:r>
      <w:proofErr w:type="spellEnd"/>
      <w:r w:rsidRPr="00FC1155">
        <w:rPr>
          <w:b/>
          <w:bCs/>
          <w:lang w:val="es-419"/>
        </w:rPr>
        <w:t xml:space="preserve"> vs homo sapiens</w:t>
      </w:r>
    </w:p>
    <w:p w14:paraId="7431B659" w14:textId="73A4FD14" w:rsidR="00FC1155" w:rsidRPr="00FC1155" w:rsidRDefault="00FC1155" w:rsidP="00FC1155">
      <w:pPr>
        <w:jc w:val="both"/>
        <w:rPr>
          <w:lang w:val="es-419"/>
        </w:rPr>
      </w:pPr>
      <w:r w:rsidRPr="00FC1155">
        <w:rPr>
          <w:lang w:val="es-419"/>
        </w:rPr>
        <w:t xml:space="preserve">Los economistas utilizan los experimentos para estudiar interacciones sociales en las que la decisión de una persona afecta tanto sus propios resultados como los de los demás. Algunos bienes y servicios se denominan bienes públicos porque, cuando una persona asume el costo de proveerlos, todos los demás pueden disfrutarlos. Ejemplos de ello son los proyectos de irrigación o la producción de nuevo conocimiento. El problema es que los individuos completamente egoístas preferirán beneficiarse de estos bienes sin pagar nada: a esto se le conoce como “free </w:t>
      </w:r>
      <w:proofErr w:type="spellStart"/>
      <w:r w:rsidRPr="00FC1155">
        <w:rPr>
          <w:lang w:val="es-419"/>
        </w:rPr>
        <w:t>riding</w:t>
      </w:r>
      <w:proofErr w:type="spellEnd"/>
      <w:r w:rsidRPr="00FC1155">
        <w:rPr>
          <w:lang w:val="es-419"/>
        </w:rPr>
        <w:t>” o comportamiento de polizón.</w:t>
      </w:r>
    </w:p>
    <w:p w14:paraId="44457C13" w14:textId="14B15F62" w:rsidR="00FC1155" w:rsidRDefault="00FC1155" w:rsidP="00FC1155">
      <w:pPr>
        <w:jc w:val="both"/>
        <w:rPr>
          <w:lang w:val="es-419"/>
        </w:rPr>
      </w:pPr>
      <w:r w:rsidRPr="00FC1155">
        <w:rPr>
          <w:lang w:val="es-419"/>
        </w:rPr>
        <w:t xml:space="preserve">Sin embargo, en el mundo real existen ejemplos exitosos de provisión de bienes públicos, como proyectos de riego comunitarios en India y Nepal. ¿Qué puede explicar estas contribuciones sostenidas? Una explicación es que las personas contribuyen porque se preocupan por el bienestar de otros, o porque respetan normas sociales que condenan el free </w:t>
      </w:r>
      <w:proofErr w:type="spellStart"/>
      <w:r w:rsidRPr="00FC1155">
        <w:rPr>
          <w:lang w:val="es-419"/>
        </w:rPr>
        <w:t>riding</w:t>
      </w:r>
      <w:proofErr w:type="spellEnd"/>
      <w:r w:rsidRPr="00FC1155">
        <w:rPr>
          <w:lang w:val="es-419"/>
        </w:rPr>
        <w:t xml:space="preserve">. También pueden hacerlo por la vergüenza (o consecuencias sociales) de ser castigados públicamente. Si la comunidad sabe que alguien no ha contribuido y puede sancionarlo —ya sea con chismes, negando ayuda en el futuro o incluso con ostracismo—, entonces los individuos pueden contribuir, ya sea por interés propio o porque desean mantener una autoimagen positiva. Para explorar hasta qué punto el castigo puede sostener las contribuciones a un bien público, Herrmann, </w:t>
      </w:r>
      <w:proofErr w:type="spellStart"/>
      <w:r w:rsidRPr="00FC1155">
        <w:rPr>
          <w:lang w:val="es-419"/>
        </w:rPr>
        <w:t>Thöni</w:t>
      </w:r>
      <w:proofErr w:type="spellEnd"/>
      <w:r w:rsidRPr="00FC1155">
        <w:rPr>
          <w:lang w:val="es-419"/>
        </w:rPr>
        <w:t xml:space="preserve"> y </w:t>
      </w:r>
      <w:proofErr w:type="spellStart"/>
      <w:r w:rsidRPr="00FC1155">
        <w:rPr>
          <w:lang w:val="es-419"/>
        </w:rPr>
        <w:t>Gächter</w:t>
      </w:r>
      <w:proofErr w:type="spellEnd"/>
      <w:r w:rsidRPr="00FC1155">
        <w:rPr>
          <w:lang w:val="es-419"/>
        </w:rPr>
        <w:t xml:space="preserve"> (2008) realizaron un estudio en varios países donde distintos grupos de personas participaron en dos versiones de un mismo juego de bienes públicos: una con castigo y otra sin él.</w:t>
      </w:r>
    </w:p>
    <w:p w14:paraId="2477DBCE" w14:textId="77777777" w:rsidR="008D2060" w:rsidRDefault="00E81489" w:rsidP="00FC1155">
      <w:pPr>
        <w:jc w:val="both"/>
        <w:rPr>
          <w:lang w:val="es-419"/>
        </w:rPr>
      </w:pPr>
      <w:r>
        <w:rPr>
          <w:lang w:val="es-419"/>
        </w:rPr>
        <w:t xml:space="preserve">Clave: Leer </w:t>
      </w:r>
      <w:hyperlink r:id="rId6" w:history="1">
        <w:r w:rsidRPr="007413F9">
          <w:rPr>
            <w:rStyle w:val="Hipervnculo"/>
            <w:lang w:val="es-419"/>
          </w:rPr>
          <w:t>https://www.umass.edu/preferen/You%20Must%20Read%20This/herrmann-thoni-gachter.pdf</w:t>
        </w:r>
      </w:hyperlink>
    </w:p>
    <w:p w14:paraId="3B6E1B82" w14:textId="77777777" w:rsidR="008D2060" w:rsidRDefault="008D2060" w:rsidP="008D2060">
      <w:pPr>
        <w:pStyle w:val="NormalWeb"/>
        <w:jc w:val="both"/>
      </w:pPr>
      <w:r>
        <w:t xml:space="preserve">En este taller, primero aprenderemos cómo recolectar datos experimentales jugando un </w:t>
      </w:r>
      <w:r>
        <w:rPr>
          <w:rStyle w:val="Textoennegrita"/>
        </w:rPr>
        <w:t>juego de bienes públicos</w:t>
      </w:r>
      <w:r>
        <w:t xml:space="preserve"> y generando nuestra propia información. Luego, exploraremos distintas formas de describir y analizar los datos experimentales de los dos juegos presentados anteriormente, con el fin de responder a dos preguntas de investigación clave:</w:t>
      </w:r>
    </w:p>
    <w:p w14:paraId="0A2230F5" w14:textId="77777777" w:rsidR="008D2060" w:rsidRDefault="008D2060" w:rsidP="008D2060">
      <w:pPr>
        <w:pStyle w:val="NormalWeb"/>
        <w:numPr>
          <w:ilvl w:val="0"/>
          <w:numId w:val="10"/>
        </w:numPr>
      </w:pPr>
      <w:r>
        <w:lastRenderedPageBreak/>
        <w:t>¿Hubo diferencias en el comportamiento (contribuciones promedio) entre los experimentos?</w:t>
      </w:r>
    </w:p>
    <w:p w14:paraId="5CBCDB9A" w14:textId="77777777" w:rsidR="008D2060" w:rsidRDefault="008D2060" w:rsidP="008D2060">
      <w:pPr>
        <w:pStyle w:val="NormalWeb"/>
        <w:numPr>
          <w:ilvl w:val="0"/>
          <w:numId w:val="10"/>
        </w:numPr>
      </w:pPr>
      <w:r>
        <w:t>¿Podemos atribuir las diferencias observadas en el comportamiento al cambio en las condiciones del juego, y no simplemente al azar o la coincidencia?</w:t>
      </w:r>
    </w:p>
    <w:p w14:paraId="4DE9A029" w14:textId="0BDFD194" w:rsidR="00E81489" w:rsidRPr="00DF43F0" w:rsidRDefault="00E81489" w:rsidP="00FC1155">
      <w:pPr>
        <w:jc w:val="both"/>
        <w:rPr>
          <w:lang w:val="es-419"/>
        </w:rPr>
      </w:pPr>
      <w:r>
        <w:rPr>
          <w:lang w:val="es-419"/>
        </w:rPr>
        <w:t xml:space="preserve"> </w:t>
      </w:r>
    </w:p>
    <w:p w14:paraId="410F827B" w14:textId="4A7ACC70" w:rsidR="00A72405" w:rsidRPr="00DF43F0" w:rsidRDefault="007C5D19">
      <w:pPr>
        <w:pStyle w:val="Ttulo2"/>
        <w:rPr>
          <w:lang w:val="es-419"/>
        </w:rPr>
      </w:pPr>
      <w:r w:rsidRPr="00DF43F0">
        <w:rPr>
          <w:lang w:val="es-419"/>
        </w:rPr>
        <w:t>Parte 2.1 Recolect</w:t>
      </w:r>
      <w:r w:rsidRPr="00DF43F0">
        <w:rPr>
          <w:lang w:val="es-419"/>
        </w:rPr>
        <w:t>ando datos jugando</w:t>
      </w:r>
    </w:p>
    <w:p w14:paraId="0B0D8A78" w14:textId="77777777" w:rsidR="00A72405" w:rsidRPr="00DF43F0" w:rsidRDefault="007C5D19">
      <w:pPr>
        <w:jc w:val="left"/>
        <w:rPr>
          <w:lang w:val="es-419"/>
        </w:rPr>
      </w:pPr>
      <w:r w:rsidRPr="00DF43F0">
        <w:rPr>
          <w:lang w:val="es-419"/>
        </w:rPr>
        <w:t>P2.1.1 Haz un gráfico de líneas con la contribución promedio en el eje vertical y el período (del 1 al 10) en el eje horizontal. Describe cómo han cambiado las contribuciones promedio a lo largo del juego.</w:t>
      </w:r>
    </w:p>
    <w:p w14:paraId="2185D2A5" w14:textId="77777777" w:rsidR="00A72405" w:rsidRPr="00FC1155" w:rsidRDefault="007C5D19">
      <w:pPr>
        <w:jc w:val="left"/>
        <w:rPr>
          <w:lang w:val="es-419"/>
        </w:rPr>
      </w:pPr>
      <w:r w:rsidRPr="00FC1155">
        <w:rPr>
          <w:lang w:val="es-419"/>
        </w:rPr>
        <w:t>P2.1.2 Compara tu gráfico de lí</w:t>
      </w:r>
      <w:r w:rsidRPr="00FC1155">
        <w:rPr>
          <w:lang w:val="es-419"/>
        </w:rPr>
        <w:t>neas con la Figura 3 de Herrmann et al. (2008). Comenta cualquier similitud o diferencia entre los resultados (por ejemplo, la cantidad aportada al inicio y al final, o el cambio en las contribuciones promedio a lo largo del juego).</w:t>
      </w:r>
    </w:p>
    <w:p w14:paraId="25EECE7F" w14:textId="77777777" w:rsidR="00A72405" w:rsidRPr="00FC1155" w:rsidRDefault="007C5D19">
      <w:pPr>
        <w:jc w:val="left"/>
        <w:rPr>
          <w:lang w:val="es-419"/>
        </w:rPr>
      </w:pPr>
      <w:r w:rsidRPr="00FC1155">
        <w:rPr>
          <w:lang w:val="es-419"/>
        </w:rPr>
        <w:t>P2.1.3 Compara tu gráfi</w:t>
      </w:r>
      <w:r w:rsidRPr="00FC1155">
        <w:rPr>
          <w:lang w:val="es-419"/>
        </w:rPr>
        <w:t>co de líneas con la Figura 3 de Herrmann et al. (2008). Comenta cualquier similitud o diferencia entre los resultados (por ejemplo, la cantidad aportada al inicio y al final, o el cambio en las contribuciones promedio a lo largo del juego).</w:t>
      </w:r>
    </w:p>
    <w:p w14:paraId="5574ADB6" w14:textId="77777777" w:rsidR="00A72405" w:rsidRPr="00FC1155" w:rsidRDefault="007C5D19">
      <w:pPr>
        <w:jc w:val="left"/>
        <w:rPr>
          <w:lang w:val="es-419"/>
        </w:rPr>
      </w:pPr>
      <w:r w:rsidRPr="00FC1155">
        <w:rPr>
          <w:lang w:val="es-419"/>
        </w:rPr>
        <w:t>P2.1.4 ¿Se te o</w:t>
      </w:r>
      <w:r w:rsidRPr="00FC1155">
        <w:rPr>
          <w:lang w:val="es-419"/>
        </w:rPr>
        <w:t>curre alguna razón por la cual tus resultados son similares (o diferentes) a los de la Figura 3? Puede resultarte útil leer la sección “</w:t>
      </w:r>
      <w:proofErr w:type="spellStart"/>
      <w:r w:rsidRPr="00FC1155">
        <w:rPr>
          <w:lang w:val="es-419"/>
        </w:rPr>
        <w:t>Experiments</w:t>
      </w:r>
      <w:proofErr w:type="spellEnd"/>
      <w:r w:rsidRPr="00FC1155">
        <w:rPr>
          <w:lang w:val="es-419"/>
        </w:rPr>
        <w:t>” del estudio de Herrmann et al. (2008) para una descripción más detallada de cómo se realizaron los experime</w:t>
      </w:r>
      <w:r w:rsidRPr="00FC1155">
        <w:rPr>
          <w:lang w:val="es-419"/>
        </w:rPr>
        <w:t>ntos.</w:t>
      </w:r>
    </w:p>
    <w:p w14:paraId="7838F535" w14:textId="77777777" w:rsidR="00A72405" w:rsidRPr="00FC1155" w:rsidRDefault="007C5D19">
      <w:pPr>
        <w:pStyle w:val="Ttulo2"/>
        <w:rPr>
          <w:lang w:val="es-419"/>
        </w:rPr>
      </w:pPr>
      <w:r w:rsidRPr="00FC1155">
        <w:rPr>
          <w:lang w:val="es-419"/>
        </w:rPr>
        <w:t>Parte 2.2 Describiendo datos</w:t>
      </w:r>
    </w:p>
    <w:p w14:paraId="3C23E725" w14:textId="77777777" w:rsidR="00A72405" w:rsidRPr="00FC1155" w:rsidRDefault="007C5D19">
      <w:pPr>
        <w:jc w:val="left"/>
        <w:rPr>
          <w:lang w:val="es-419"/>
        </w:rPr>
      </w:pPr>
      <w:r w:rsidRPr="00FC1155">
        <w:rPr>
          <w:lang w:val="es-419"/>
        </w:rPr>
        <w:t>P2.2.1 Usando los datos de las Figuras 2A y 3 de Herrmann et al. (2008):</w:t>
      </w:r>
      <w:r w:rsidRPr="00FC1155">
        <w:rPr>
          <w:lang w:val="es-419"/>
        </w:rPr>
        <w:br/>
        <w:t>- Calcula la contribución promedio en cada período (fila) por separado para ambos experimentos.</w:t>
      </w:r>
      <w:r w:rsidRPr="00FC1155">
        <w:rPr>
          <w:lang w:val="es-419"/>
        </w:rPr>
        <w:br/>
        <w:t>- Grafica un gráfico de líneas con la contribución p</w:t>
      </w:r>
      <w:r w:rsidRPr="00FC1155">
        <w:rPr>
          <w:lang w:val="es-419"/>
        </w:rPr>
        <w:t>romedio en el eje vertical y el período de tiempo (del 1 al 10) en el eje horizontal (con una línea separada para cada experimento).</w:t>
      </w:r>
      <w:r w:rsidRPr="00FC1155">
        <w:rPr>
          <w:lang w:val="es-419"/>
        </w:rPr>
        <w:br/>
        <w:t>- Asegúrate de que las líneas en la leyenda estén claramente etiquetadas según el experimento (con o sin castigo).</w:t>
      </w:r>
      <w:r w:rsidRPr="00FC1155">
        <w:rPr>
          <w:lang w:val="es-419"/>
        </w:rPr>
        <w:br/>
        <w:t>- Descri</w:t>
      </w:r>
      <w:r w:rsidRPr="00FC1155">
        <w:rPr>
          <w:lang w:val="es-419"/>
        </w:rPr>
        <w:t>be cualquier diferencia y similitud que observes en la contribución promedio a lo largo del tiempo en ambos experimentos.</w:t>
      </w:r>
    </w:p>
    <w:p w14:paraId="486737B4" w14:textId="77777777" w:rsidR="00A72405" w:rsidRPr="00FC1155" w:rsidRDefault="007C5D19">
      <w:pPr>
        <w:jc w:val="left"/>
        <w:rPr>
          <w:lang w:val="es-419"/>
        </w:rPr>
      </w:pPr>
      <w:r w:rsidRPr="00FC1155">
        <w:rPr>
          <w:lang w:val="es-419"/>
        </w:rPr>
        <w:t>P2.2.2 Haz un gráfico de columnas mostrando la contribución promedio en el primer y último período para ambos experimentos.</w:t>
      </w:r>
    </w:p>
    <w:p w14:paraId="3AD0D63F" w14:textId="77777777" w:rsidR="00A72405" w:rsidRPr="00FC1155" w:rsidRDefault="007C5D19">
      <w:pPr>
        <w:jc w:val="left"/>
        <w:rPr>
          <w:lang w:val="es-419"/>
        </w:rPr>
      </w:pPr>
      <w:r w:rsidRPr="00FC1155">
        <w:rPr>
          <w:lang w:val="es-419"/>
        </w:rPr>
        <w:t>P2.2.3 Usa</w:t>
      </w:r>
      <w:r w:rsidRPr="00FC1155">
        <w:rPr>
          <w:lang w:val="es-419"/>
        </w:rPr>
        <w:t>ndo los datos de las Figuras 2A y 3 de Herrmann et al. (2008):</w:t>
      </w:r>
      <w:r w:rsidRPr="00FC1155">
        <w:rPr>
          <w:lang w:val="es-419"/>
        </w:rPr>
        <w:br/>
        <w:t>- Calcula la desviación estándar para los Períodos 1 y 10 por separado, para ambos experimentos.</w:t>
      </w:r>
      <w:r w:rsidRPr="00FC1155">
        <w:rPr>
          <w:lang w:val="es-419"/>
        </w:rPr>
        <w:br/>
        <w:t>- ¿Se cumple la regla práctica? (En otras palabras, ¿la mayoría de los valores están dentro de d</w:t>
      </w:r>
      <w:r w:rsidRPr="00FC1155">
        <w:rPr>
          <w:lang w:val="es-419"/>
        </w:rPr>
        <w:t>os desviaciones estándar de la media?)</w:t>
      </w:r>
      <w:r w:rsidRPr="00FC1155">
        <w:rPr>
          <w:lang w:val="es-419"/>
        </w:rPr>
        <w:br/>
      </w:r>
      <w:r w:rsidRPr="00FC1155">
        <w:rPr>
          <w:lang w:val="es-419"/>
        </w:rPr>
        <w:br/>
        <w:t xml:space="preserve">Como se muestra en la Figura 2.3, la contribución promedio para ambos experimentos fue </w:t>
      </w:r>
      <w:r w:rsidRPr="00FC1155">
        <w:rPr>
          <w:lang w:val="es-419"/>
        </w:rPr>
        <w:lastRenderedPageBreak/>
        <w:t>10.6 en el Período 1. Con referencia a tus cálculos de desviación estándar, explica si esto significa que los dos conjuntos de da</w:t>
      </w:r>
      <w:r w:rsidRPr="00FC1155">
        <w:rPr>
          <w:lang w:val="es-419"/>
        </w:rPr>
        <w:t>tos son iguales.</w:t>
      </w:r>
    </w:p>
    <w:p w14:paraId="78B81144" w14:textId="77777777" w:rsidR="00A72405" w:rsidRPr="00FC1155" w:rsidRDefault="007C5D19">
      <w:pPr>
        <w:jc w:val="left"/>
        <w:rPr>
          <w:lang w:val="es-419"/>
        </w:rPr>
      </w:pPr>
      <w:r w:rsidRPr="00FC1155">
        <w:rPr>
          <w:lang w:val="es-419"/>
        </w:rPr>
        <w:t>P2.2.4 Calcula el valor máximo y mínimo para los Períodos 1 y 10 por separado, para ambos experimentos.</w:t>
      </w:r>
    </w:p>
    <w:p w14:paraId="487B4A80" w14:textId="77777777" w:rsidR="00A72405" w:rsidRPr="00FC1155" w:rsidRDefault="007C5D19">
      <w:pPr>
        <w:jc w:val="left"/>
        <w:rPr>
          <w:lang w:val="es-419"/>
        </w:rPr>
      </w:pPr>
      <w:r w:rsidRPr="00FC1155">
        <w:rPr>
          <w:lang w:val="es-419"/>
        </w:rPr>
        <w:t xml:space="preserve">P2.2.5 Una manera concisa de describir los datos es en una tabla resumen. Con solo cuatro números (media, desviación estándar, </w:t>
      </w:r>
      <w:r w:rsidRPr="00FC1155">
        <w:rPr>
          <w:lang w:val="es-419"/>
        </w:rPr>
        <w:t>valor mínimo, valor máximo), podemos tener una idea general de cómo son los datos.</w:t>
      </w:r>
      <w:r w:rsidRPr="00FC1155">
        <w:rPr>
          <w:lang w:val="es-419"/>
        </w:rPr>
        <w:br/>
      </w:r>
      <w:r w:rsidRPr="00FC1155">
        <w:rPr>
          <w:lang w:val="es-419"/>
        </w:rPr>
        <w:br/>
        <w:t>Crea una tabla de estadísticas descriptivas que muestre media, varianza, desviación estándar, mínimo, máximo y rango para los Períodos 1 y 10, y para ambos experimentos.</w:t>
      </w:r>
      <w:r w:rsidRPr="00FC1155">
        <w:rPr>
          <w:lang w:val="es-419"/>
        </w:rPr>
        <w:br/>
      </w:r>
      <w:r w:rsidRPr="00FC1155">
        <w:rPr>
          <w:lang w:val="es-419"/>
        </w:rPr>
        <w:br/>
        <w:t>C</w:t>
      </w:r>
      <w:r w:rsidRPr="00FC1155">
        <w:rPr>
          <w:lang w:val="es-419"/>
        </w:rPr>
        <w:t>omenta cualquier similitud y diferencia en las distribuciones, tanto a lo largo del tiempo como entre experimentos.</w:t>
      </w:r>
    </w:p>
    <w:p w14:paraId="3CE5E073" w14:textId="77777777" w:rsidR="00A72405" w:rsidRPr="00FC1155" w:rsidRDefault="007C5D19">
      <w:pPr>
        <w:pStyle w:val="Ttulo2"/>
        <w:rPr>
          <w:lang w:val="es-419"/>
        </w:rPr>
      </w:pPr>
      <w:r w:rsidRPr="00FC1155">
        <w:rPr>
          <w:lang w:val="es-419"/>
        </w:rPr>
        <w:t>Parte 2.3 ¿Cómo afectó el cambio de reglas del juego al comportamiento?</w:t>
      </w:r>
    </w:p>
    <w:p w14:paraId="59E06E59" w14:textId="77777777" w:rsidR="00A72405" w:rsidRPr="00FC1155" w:rsidRDefault="007C5D19">
      <w:pPr>
        <w:jc w:val="left"/>
        <w:rPr>
          <w:lang w:val="es-419"/>
        </w:rPr>
      </w:pPr>
      <w:r w:rsidRPr="00FC1155">
        <w:rPr>
          <w:lang w:val="es-419"/>
        </w:rPr>
        <w:t>P2.3.1 Puedes realizar otro experimento para entender por qué podría</w:t>
      </w:r>
      <w:r w:rsidRPr="00FC1155">
        <w:rPr>
          <w:lang w:val="es-419"/>
        </w:rPr>
        <w:t>mos observar diferencias en el comportamiento que se deben al azar.</w:t>
      </w:r>
      <w:r w:rsidRPr="00FC1155">
        <w:rPr>
          <w:lang w:val="es-419"/>
        </w:rPr>
        <w:br/>
      </w:r>
      <w:r w:rsidRPr="00FC1155">
        <w:rPr>
          <w:lang w:val="es-419"/>
        </w:rPr>
        <w:br/>
        <w:t>Primero, lanza una moneda seis veces usando solo una mano y registra los resultados (por ejemplo: cara, cara, sello, etc.). Luego, usando la misma mano, lanza la moneda seis veces más y r</w:t>
      </w:r>
      <w:r w:rsidRPr="00FC1155">
        <w:rPr>
          <w:lang w:val="es-419"/>
        </w:rPr>
        <w:t>egistra nuevamente los resultados.</w:t>
      </w:r>
      <w:r w:rsidRPr="00FC1155">
        <w:rPr>
          <w:lang w:val="es-419"/>
        </w:rPr>
        <w:br/>
      </w:r>
      <w:r w:rsidRPr="00FC1155">
        <w:rPr>
          <w:lang w:val="es-419"/>
        </w:rPr>
        <w:br/>
        <w:t>Compara los resultados de la Pregunta 1(a). ¿Obtuviste el mismo número de caras en ambos casos? Incluso si lo hiciste, ¿la secuencia de resultados (por ejemplo, cara, sello, sello…) fue la misma en ambos casos?</w:t>
      </w:r>
    </w:p>
    <w:p w14:paraId="11F62C9E" w14:textId="77777777" w:rsidR="00A72405" w:rsidRPr="00FC1155" w:rsidRDefault="007C5D19">
      <w:pPr>
        <w:jc w:val="left"/>
        <w:rPr>
          <w:lang w:val="es-419"/>
        </w:rPr>
      </w:pPr>
      <w:r w:rsidRPr="00FC1155">
        <w:rPr>
          <w:lang w:val="es-419"/>
        </w:rPr>
        <w:t>P2.3.2 Us</w:t>
      </w:r>
      <w:r w:rsidRPr="00FC1155">
        <w:rPr>
          <w:lang w:val="es-419"/>
        </w:rPr>
        <w:t>ando los datos de las Figuras 2A y 3:</w:t>
      </w:r>
      <w:r w:rsidRPr="00FC1155">
        <w:rPr>
          <w:lang w:val="es-419"/>
        </w:rPr>
        <w:br/>
        <w:t xml:space="preserve">- Usa la función </w:t>
      </w:r>
      <w:proofErr w:type="spellStart"/>
      <w:r w:rsidRPr="00FC1155">
        <w:rPr>
          <w:lang w:val="es-419"/>
        </w:rPr>
        <w:t>ttest</w:t>
      </w:r>
      <w:proofErr w:type="spellEnd"/>
      <w:r w:rsidRPr="00FC1155">
        <w:rPr>
          <w:lang w:val="es-419"/>
        </w:rPr>
        <w:t xml:space="preserve"> para calcular el valor p de la diferencia de medias en el Período 1 (con y sin castigo).</w:t>
      </w:r>
      <w:r w:rsidRPr="00FC1155">
        <w:rPr>
          <w:lang w:val="es-419"/>
        </w:rPr>
        <w:br/>
        <w:t>- ¿Qué nos dice este valor p sobre la diferencia de medias en el Período 1?</w:t>
      </w:r>
    </w:p>
    <w:p w14:paraId="2C1A6C89" w14:textId="77777777" w:rsidR="00A72405" w:rsidRPr="00FC1155" w:rsidRDefault="007C5D19">
      <w:pPr>
        <w:jc w:val="left"/>
        <w:rPr>
          <w:lang w:val="es-419"/>
        </w:rPr>
      </w:pPr>
      <w:r w:rsidRPr="00FC1155">
        <w:rPr>
          <w:lang w:val="es-419"/>
        </w:rPr>
        <w:t>P2.3.3 Usando los datos del Pe</w:t>
      </w:r>
      <w:r w:rsidRPr="00FC1155">
        <w:rPr>
          <w:lang w:val="es-419"/>
        </w:rPr>
        <w:t>ríodo 10:</w:t>
      </w:r>
      <w:r w:rsidRPr="00FC1155">
        <w:rPr>
          <w:lang w:val="es-419"/>
        </w:rPr>
        <w:br/>
        <w:t xml:space="preserve">- Usa la función </w:t>
      </w:r>
      <w:proofErr w:type="spellStart"/>
      <w:r w:rsidRPr="00FC1155">
        <w:rPr>
          <w:lang w:val="es-419"/>
        </w:rPr>
        <w:t>ttest</w:t>
      </w:r>
      <w:proofErr w:type="spellEnd"/>
      <w:r w:rsidRPr="00FC1155">
        <w:rPr>
          <w:lang w:val="es-419"/>
        </w:rPr>
        <w:t xml:space="preserve"> para calcular el valor p de la diferencia de medias en el Período 10 (con y sin castigo).</w:t>
      </w:r>
      <w:r w:rsidRPr="00FC1155">
        <w:rPr>
          <w:lang w:val="es-419"/>
        </w:rPr>
        <w:br/>
        <w:t>- ¿Qué nos dice este valor p sobre la relación entre el castigo y el comportamiento en el juego de bienes públicos?</w:t>
      </w:r>
      <w:r w:rsidRPr="00FC1155">
        <w:rPr>
          <w:lang w:val="es-419"/>
        </w:rPr>
        <w:br/>
      </w:r>
      <w:r w:rsidRPr="00FC1155">
        <w:rPr>
          <w:lang w:val="es-419"/>
        </w:rPr>
        <w:br/>
        <w:t>Con referencia a</w:t>
      </w:r>
      <w:r w:rsidRPr="00FC1155">
        <w:rPr>
          <w:lang w:val="es-419"/>
        </w:rPr>
        <w:t xml:space="preserve"> las Figuras 2.7 y 2.8, explica por qué no podemos usar el tamaño de la diferencia para concluir directamente si la diferencia podría deberse al azar.</w:t>
      </w:r>
    </w:p>
    <w:p w14:paraId="0CC29405" w14:textId="77777777" w:rsidR="00A72405" w:rsidRPr="00FC1155" w:rsidRDefault="007C5D19">
      <w:pPr>
        <w:jc w:val="left"/>
        <w:rPr>
          <w:lang w:val="es-419"/>
        </w:rPr>
      </w:pPr>
      <w:r w:rsidRPr="00FC1155">
        <w:rPr>
          <w:lang w:val="es-419"/>
        </w:rPr>
        <w:t>P2.3.4 Refiérete a los resultados de los juegos de bienes públicos.</w:t>
      </w:r>
      <w:r w:rsidRPr="00FC1155">
        <w:rPr>
          <w:lang w:val="es-419"/>
        </w:rPr>
        <w:br/>
        <w:t xml:space="preserve">- ¿Qué características del </w:t>
      </w:r>
      <w:r w:rsidRPr="00FC1155">
        <w:rPr>
          <w:lang w:val="es-419"/>
        </w:rPr>
        <w:t>entorno experimental hacen probable que la opción con castigo haya sido la causa del cambio en el comportamiento?</w:t>
      </w:r>
      <w:r w:rsidRPr="00FC1155">
        <w:rPr>
          <w:lang w:val="es-419"/>
        </w:rPr>
        <w:br/>
      </w:r>
      <w:r w:rsidRPr="00FC1155">
        <w:rPr>
          <w:lang w:val="es-419"/>
        </w:rPr>
        <w:lastRenderedPageBreak/>
        <w:t>- Usando la Figura 2.6, explica por qué necesitamos comparar los dos grupos en el Período 1 para poder concluir que existe un vínculo causal e</w:t>
      </w:r>
      <w:r w:rsidRPr="00FC1155">
        <w:rPr>
          <w:lang w:val="es-419"/>
        </w:rPr>
        <w:t>ntre la opción con castigo y el comportamiento en el juego.</w:t>
      </w:r>
    </w:p>
    <w:p w14:paraId="1FB54BE6" w14:textId="442ABFC6" w:rsidR="00A72405" w:rsidRDefault="007C5D19">
      <w:pPr>
        <w:jc w:val="left"/>
        <w:rPr>
          <w:lang w:val="es-419"/>
        </w:rPr>
      </w:pPr>
      <w:r w:rsidRPr="00FC1155">
        <w:rPr>
          <w:lang w:val="es-419"/>
        </w:rPr>
        <w:t>P2.3.5 Discute algunas limitaciones de los experimentos y sugiere algunas maneras de abordarlas (o al menos parcialmente). (</w:t>
      </w:r>
      <w:proofErr w:type="gramStart"/>
      <w:r w:rsidRPr="00FC1155">
        <w:rPr>
          <w:lang w:val="es-419"/>
        </w:rPr>
        <w:t>Puede resultarte útil consultar las páginas 158–171 del artículo “</w:t>
      </w:r>
      <w:proofErr w:type="spellStart"/>
      <w:r w:rsidRPr="00FC1155">
        <w:rPr>
          <w:lang w:val="es-419"/>
        </w:rPr>
        <w:t>What</w:t>
      </w:r>
      <w:proofErr w:type="spellEnd"/>
      <w:r w:rsidRPr="00FC1155">
        <w:rPr>
          <w:lang w:val="es-419"/>
        </w:rPr>
        <w:t xml:space="preserve"> d</w:t>
      </w:r>
      <w:r w:rsidRPr="00FC1155">
        <w:rPr>
          <w:lang w:val="es-419"/>
        </w:rPr>
        <w:t xml:space="preserve">o </w:t>
      </w:r>
      <w:proofErr w:type="spellStart"/>
      <w:r w:rsidRPr="00FC1155">
        <w:rPr>
          <w:lang w:val="es-419"/>
        </w:rPr>
        <w:t>laboratory</w:t>
      </w:r>
      <w:proofErr w:type="spellEnd"/>
      <w:r w:rsidRPr="00FC1155">
        <w:rPr>
          <w:lang w:val="es-419"/>
        </w:rPr>
        <w:t xml:space="preserve"> </w:t>
      </w:r>
      <w:proofErr w:type="spellStart"/>
      <w:r w:rsidRPr="00FC1155">
        <w:rPr>
          <w:lang w:val="es-419"/>
        </w:rPr>
        <w:t>experiments</w:t>
      </w:r>
      <w:proofErr w:type="spellEnd"/>
      <w:r w:rsidRPr="00FC1155">
        <w:rPr>
          <w:lang w:val="es-419"/>
        </w:rPr>
        <w:t xml:space="preserve"> </w:t>
      </w:r>
      <w:proofErr w:type="spellStart"/>
      <w:r w:rsidRPr="00FC1155">
        <w:rPr>
          <w:lang w:val="es-419"/>
        </w:rPr>
        <w:t>measuring</w:t>
      </w:r>
      <w:proofErr w:type="spellEnd"/>
      <w:r w:rsidRPr="00FC1155">
        <w:rPr>
          <w:lang w:val="es-419"/>
        </w:rPr>
        <w:t xml:space="preserve"> social </w:t>
      </w:r>
      <w:proofErr w:type="spellStart"/>
      <w:r w:rsidRPr="00FC1155">
        <w:rPr>
          <w:lang w:val="es-419"/>
        </w:rPr>
        <w:t>preferences</w:t>
      </w:r>
      <w:proofErr w:type="spellEnd"/>
      <w:r w:rsidRPr="00FC1155">
        <w:rPr>
          <w:lang w:val="es-419"/>
        </w:rPr>
        <w:t xml:space="preserve"> </w:t>
      </w:r>
      <w:proofErr w:type="spellStart"/>
      <w:r w:rsidRPr="00FC1155">
        <w:rPr>
          <w:lang w:val="es-419"/>
        </w:rPr>
        <w:t>reveal</w:t>
      </w:r>
      <w:proofErr w:type="spellEnd"/>
      <w:r w:rsidRPr="00FC1155">
        <w:rPr>
          <w:lang w:val="es-419"/>
        </w:rPr>
        <w:t xml:space="preserve"> </w:t>
      </w:r>
      <w:proofErr w:type="spellStart"/>
      <w:r w:rsidRPr="00FC1155">
        <w:rPr>
          <w:lang w:val="es-419"/>
        </w:rPr>
        <w:t>about</w:t>
      </w:r>
      <w:proofErr w:type="spellEnd"/>
      <w:r w:rsidRPr="00FC1155">
        <w:rPr>
          <w:lang w:val="es-419"/>
        </w:rPr>
        <w:t xml:space="preserve"> </w:t>
      </w:r>
      <w:proofErr w:type="spellStart"/>
      <w:r w:rsidRPr="00FC1155">
        <w:rPr>
          <w:lang w:val="es-419"/>
        </w:rPr>
        <w:t>the</w:t>
      </w:r>
      <w:proofErr w:type="spellEnd"/>
      <w:r w:rsidRPr="00FC1155">
        <w:rPr>
          <w:lang w:val="es-419"/>
        </w:rPr>
        <w:t xml:space="preserve"> real </w:t>
      </w:r>
      <w:proofErr w:type="spellStart"/>
      <w:r w:rsidRPr="00FC1155">
        <w:rPr>
          <w:lang w:val="es-419"/>
        </w:rPr>
        <w:t>world</w:t>
      </w:r>
      <w:proofErr w:type="spellEnd"/>
      <w:r w:rsidRPr="00FC1155">
        <w:rPr>
          <w:lang w:val="es-419"/>
        </w:rPr>
        <w:t>?</w:t>
      </w:r>
      <w:proofErr w:type="gramEnd"/>
      <w:r w:rsidRPr="00FC1155">
        <w:rPr>
          <w:lang w:val="es-419"/>
        </w:rPr>
        <w:t xml:space="preserve">”, así como la discusión sobre el free </w:t>
      </w:r>
      <w:proofErr w:type="spellStart"/>
      <w:r w:rsidRPr="00FC1155">
        <w:rPr>
          <w:lang w:val="es-419"/>
        </w:rPr>
        <w:t>riding</w:t>
      </w:r>
      <w:proofErr w:type="spellEnd"/>
      <w:r w:rsidRPr="00FC1155">
        <w:rPr>
          <w:lang w:val="es-419"/>
        </w:rPr>
        <w:t xml:space="preserve"> y el altruismo en la Sección 2.6 de </w:t>
      </w:r>
      <w:proofErr w:type="spellStart"/>
      <w:r w:rsidRPr="00FC1155">
        <w:rPr>
          <w:lang w:val="es-419"/>
        </w:rPr>
        <w:t>Economy</w:t>
      </w:r>
      <w:proofErr w:type="spellEnd"/>
      <w:r w:rsidRPr="00FC1155">
        <w:rPr>
          <w:lang w:val="es-419"/>
        </w:rPr>
        <w:t xml:space="preserve">, </w:t>
      </w:r>
      <w:proofErr w:type="spellStart"/>
      <w:r w:rsidRPr="00FC1155">
        <w:rPr>
          <w:lang w:val="es-419"/>
        </w:rPr>
        <w:t>Society</w:t>
      </w:r>
      <w:proofErr w:type="spellEnd"/>
      <w:r w:rsidRPr="00FC1155">
        <w:rPr>
          <w:lang w:val="es-419"/>
        </w:rPr>
        <w:t xml:space="preserve">, and </w:t>
      </w:r>
      <w:proofErr w:type="spellStart"/>
      <w:r w:rsidRPr="00FC1155">
        <w:rPr>
          <w:lang w:val="es-419"/>
        </w:rPr>
        <w:t>Public</w:t>
      </w:r>
      <w:proofErr w:type="spellEnd"/>
      <w:r w:rsidRPr="00FC1155">
        <w:rPr>
          <w:lang w:val="es-419"/>
        </w:rPr>
        <w:t xml:space="preserve"> </w:t>
      </w:r>
      <w:proofErr w:type="spellStart"/>
      <w:r w:rsidRPr="00FC1155">
        <w:rPr>
          <w:lang w:val="es-419"/>
        </w:rPr>
        <w:t>Policy</w:t>
      </w:r>
      <w:proofErr w:type="spellEnd"/>
      <w:r w:rsidRPr="00FC1155">
        <w:rPr>
          <w:lang w:val="es-419"/>
        </w:rPr>
        <w:t>).</w:t>
      </w:r>
      <w:r>
        <w:br/>
        <w:t>- Como equipo consultor, indiquen qué evidencia adicional debería solicitar la ONG antes de trasladar estos resultados experimentales al diseño de reglas, incentivos o mecanismos de cooperación para un proyecto de acueducto veredal.</w:t>
      </w:r>
    </w:p>
    <w:p w14:paraId="370BE0AD" w14:textId="5DB72D34" w:rsidR="00913FFD" w:rsidRDefault="00913FFD">
      <w:pPr>
        <w:rPr>
          <w:lang w:val="es-419"/>
        </w:rPr>
      </w:pPr>
    </w:p>
    <w:p w14:paraId="574E145B" w14:textId="04AEE6FD" w:rsidR="00913FFD" w:rsidRDefault="00913FFD">
      <w:pPr>
        <w:rPr>
          <w:lang w:val="es-419"/>
        </w:rPr>
      </w:pPr>
      <w:r>
        <w:rPr>
          <w:lang w:val="es-419"/>
        </w:rPr>
        <w:br w:type="page"/>
      </w:r>
    </w:p>
    <w:sectPr w:rsidR="00913FFD" w:rsidRPr="00FC11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262427"/>
    <w:multiLevelType w:val="multilevel"/>
    <w:tmpl w:val="28D8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46E76"/>
    <w:multiLevelType w:val="multilevel"/>
    <w:tmpl w:val="D748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32C5C"/>
    <w:multiLevelType w:val="multilevel"/>
    <w:tmpl w:val="E982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7791E"/>
    <w:multiLevelType w:val="multilevel"/>
    <w:tmpl w:val="6DAA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B4977"/>
    <w:multiLevelType w:val="multilevel"/>
    <w:tmpl w:val="3BC2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1314B"/>
    <w:multiLevelType w:val="multilevel"/>
    <w:tmpl w:val="68A0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160AC"/>
    <w:multiLevelType w:val="multilevel"/>
    <w:tmpl w:val="D070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C1A81"/>
    <w:multiLevelType w:val="multilevel"/>
    <w:tmpl w:val="D6FC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2F1540"/>
    <w:multiLevelType w:val="multilevel"/>
    <w:tmpl w:val="E592D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637AC"/>
    <w:multiLevelType w:val="multilevel"/>
    <w:tmpl w:val="0EB0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F43A06"/>
    <w:multiLevelType w:val="multilevel"/>
    <w:tmpl w:val="5C56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B0189"/>
    <w:multiLevelType w:val="multilevel"/>
    <w:tmpl w:val="3BDE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229BF"/>
    <w:multiLevelType w:val="multilevel"/>
    <w:tmpl w:val="A382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B4698"/>
    <w:multiLevelType w:val="multilevel"/>
    <w:tmpl w:val="DF70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45889"/>
    <w:multiLevelType w:val="multilevel"/>
    <w:tmpl w:val="7326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14"/>
  </w:num>
  <w:num w:numId="12">
    <w:abstractNumId w:val="11"/>
  </w:num>
  <w:num w:numId="13">
    <w:abstractNumId w:val="15"/>
  </w:num>
  <w:num w:numId="14">
    <w:abstractNumId w:val="9"/>
  </w:num>
  <w:num w:numId="15">
    <w:abstractNumId w:val="20"/>
  </w:num>
  <w:num w:numId="16">
    <w:abstractNumId w:val="21"/>
  </w:num>
  <w:num w:numId="17">
    <w:abstractNumId w:val="12"/>
  </w:num>
  <w:num w:numId="18">
    <w:abstractNumId w:val="18"/>
  </w:num>
  <w:num w:numId="19">
    <w:abstractNumId w:val="22"/>
  </w:num>
  <w:num w:numId="20">
    <w:abstractNumId w:val="16"/>
  </w:num>
  <w:num w:numId="21">
    <w:abstractNumId w:val="13"/>
  </w:num>
  <w:num w:numId="22">
    <w:abstractNumId w:val="23"/>
  </w:num>
  <w:num w:numId="23">
    <w:abstractNumId w:val="19"/>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K2MDA3NzQ0NzcxNLRQ0lEKTi0uzszPAykwrAUAzkncwiwAAAA="/>
  </w:docVars>
  <w:rsids>
    <w:rsidRoot w:val="00B47730"/>
    <w:rsid w:val="00034616"/>
    <w:rsid w:val="0006063C"/>
    <w:rsid w:val="0015074B"/>
    <w:rsid w:val="0029639D"/>
    <w:rsid w:val="00326F90"/>
    <w:rsid w:val="007C5D19"/>
    <w:rsid w:val="008D2060"/>
    <w:rsid w:val="00913FFD"/>
    <w:rsid w:val="00A72405"/>
    <w:rsid w:val="00AA1D8D"/>
    <w:rsid w:val="00B47730"/>
    <w:rsid w:val="00CB0664"/>
    <w:rsid w:val="00DF43F0"/>
    <w:rsid w:val="00E81489"/>
    <w:rsid w:val="00F579F4"/>
    <w:rsid w:val="00FC11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2CFA67"/>
  <w14:defaultImageDpi w14:val="300"/>
  <w15:docId w15:val="{D7C888EF-DC6C-4137-8C9F-AFBCF17E3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E81489"/>
    <w:rPr>
      <w:color w:val="0000FF" w:themeColor="hyperlink"/>
      <w:u w:val="single"/>
    </w:rPr>
  </w:style>
  <w:style w:type="character" w:styleId="Mencinsinresolver">
    <w:name w:val="Unresolved Mention"/>
    <w:basedOn w:val="Fuentedeprrafopredeter"/>
    <w:uiPriority w:val="99"/>
    <w:semiHidden/>
    <w:unhideWhenUsed/>
    <w:rsid w:val="00E81489"/>
    <w:rPr>
      <w:color w:val="605E5C"/>
      <w:shd w:val="clear" w:color="auto" w:fill="E1DFDD"/>
    </w:rPr>
  </w:style>
  <w:style w:type="paragraph" w:styleId="NormalWeb">
    <w:name w:val="Normal (Web)"/>
    <w:basedOn w:val="Normal"/>
    <w:uiPriority w:val="99"/>
    <w:semiHidden/>
    <w:unhideWhenUsed/>
    <w:rsid w:val="008D2060"/>
    <w:pPr>
      <w:spacing w:before="100" w:beforeAutospacing="1" w:after="100" w:afterAutospacing="1" w:line="240" w:lineRule="auto"/>
    </w:pPr>
    <w:rPr>
      <w:rFonts w:ascii="Times New Roman" w:eastAsia="Times New Roman" w:hAnsi="Times New Roman" w:cs="Times New Roman"/>
      <w:sz w:val="24"/>
      <w:szCs w:val="24"/>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4124039">
      <w:bodyDiv w:val="1"/>
      <w:marLeft w:val="0"/>
      <w:marRight w:val="0"/>
      <w:marTop w:val="0"/>
      <w:marBottom w:val="0"/>
      <w:divBdr>
        <w:top w:val="none" w:sz="0" w:space="0" w:color="auto"/>
        <w:left w:val="none" w:sz="0" w:space="0" w:color="auto"/>
        <w:bottom w:val="none" w:sz="0" w:space="0" w:color="auto"/>
        <w:right w:val="none" w:sz="0" w:space="0" w:color="auto"/>
      </w:divBdr>
      <w:divsChild>
        <w:div w:id="1952517718">
          <w:marLeft w:val="0"/>
          <w:marRight w:val="0"/>
          <w:marTop w:val="0"/>
          <w:marBottom w:val="0"/>
          <w:divBdr>
            <w:top w:val="none" w:sz="0" w:space="0" w:color="auto"/>
            <w:left w:val="none" w:sz="0" w:space="0" w:color="auto"/>
            <w:bottom w:val="none" w:sz="0" w:space="0" w:color="auto"/>
            <w:right w:val="none" w:sz="0" w:space="0" w:color="auto"/>
          </w:divBdr>
          <w:divsChild>
            <w:div w:id="180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024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umass.edu/preferen/You%20Must%20Read%20This/herrmann-thoni-gachter.pdf"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1718</Words>
  <Characters>9453</Characters>
  <Application>Microsoft Office Word</Application>
  <DocSecurity>0</DocSecurity>
  <Lines>78</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6: Experimentos</dc:title>
  <dc:subject/>
  <dc:creator>python-docx</dc:creator>
  <cp:keywords/>
  <dc:description>generated by python-docx</dc:description>
  <cp:lastModifiedBy>Paul Andres Rodriguez Lesmes</cp:lastModifiedBy>
  <cp:revision>6</cp:revision>
  <dcterms:created xsi:type="dcterms:W3CDTF">2013-12-23T23:15:00Z</dcterms:created>
  <dcterms:modified xsi:type="dcterms:W3CDTF">2026-04-20T16:35:00Z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225efb69-7bab-4c81-b7a5-19112bf37b72</vt:lpwstr>
  </property>
</Properties>
</file>