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National ICT Data Protection Policy</w:t>
      </w:r>
    </w:p>
    <w:p>
      <w:r>
        <w:t>This policy establishes rules for data localization and protection of citizen data within the Ministry of ICT and National Guidance systems.</w:t>
      </w:r>
    </w:p>
    <w:p>
      <w:pPr>
        <w:pStyle w:val="Heading2"/>
      </w:pPr>
      <w:r>
        <w:t>Data Localization Requirements</w:t>
      </w:r>
    </w:p>
    <w:p>
      <w:r>
        <w:t>All critical infrastructure data, including national security and public health data, must be stored and processed exclusively within national borders. Private entities handling high-sensitivity personal data must maintain a certified local backup. Cross-border transfer is only permitted to jurisdictions with equivalent protection frameworks.</w:t>
      </w:r>
    </w:p>
    <w:p>
      <w:pPr>
        <w:pStyle w:val="Heading2"/>
      </w:pPr>
      <w:r>
        <w:t>Compliance</w:t>
      </w:r>
    </w:p>
    <w:p>
      <w:r>
        <w:t>Non-compliance with this policy may result in administrative fines of up to 5 percent of annual turnover or suspension of digital operating licenses.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