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Column Selection for the Airline On Time Performance Database</w:t>
      </w:r>
    </w:p>
    <w:p>
      <w:pPr>
        <w:spacing w:after="240"/>
      </w:pPr>
      <w:r>
        <w:rPr>
          <w:i/>
          <w:color w:val="595959"/>
        </w:rPr>
        <w:t>Team decision document | U.S. DOT BTS data | January to June 2026</w:t>
      </w:r>
    </w:p>
    <w:p>
      <w:pPr>
        <w:pStyle w:val="Heading1"/>
      </w:pPr>
      <w:r>
        <w:t>Purpose and decision</w:t>
      </w:r>
    </w:p>
    <w:p>
      <w:r>
        <w:t>We selected the U.S. Department of Transportation Bureau of Transportation Statistics Reporting Carrier On Time Performance data for January through June 2026. The six monthly files contain 3,488,373 flight records and 48 attributes. The raw files will be preserved as the staging dataset. The final MySQL database will use the fields needed to analyze airline reliability, delays, cancellations, diversions, airports, routes, and monthly trends.</w:t>
      </w:r>
    </w:p>
    <w:p>
      <w:r>
        <w:t>Important: we are not deleting information from the downloaded source files. We will keep all 48 source columns in the raw staging table, then map the required fields into normalized tables. This preserves reproducibility while avoiding unnecessary attributes in the final relational design.</w:t>
      </w:r>
    </w:p>
    <w:p>
      <w:pPr>
        <w:pStyle w:val="Heading1"/>
      </w:pPr>
      <w:r>
        <w:t>Why these columns were selected</w:t>
      </w:r>
    </w:p>
    <w:p>
      <w:r>
        <w:t>The selected fields were chosen because each supports a project question, a database relationship, or a required performance measure. Together they provide time, categorical, and numeric data and support joins, filtering, aggregation, subqueries, CTEs, and window functions.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c>
          <w:tcPr>
            <w:tcW w:type="dxa" w:w="1800"/>
            <w:vAlign w:val="center"/>
            <w:shd w:fill="1F4E78"/>
          </w:tcPr>
          <w:p>
            <w:pPr>
              <w:spacing w:after="0"/>
            </w:pPr>
            <w:r/>
            <w:r>
              <w:rPr>
                <w:rFonts w:ascii="Aptos" w:hAnsi="Aptos"/>
                <w:b/>
                <w:color w:val="FFFFFF"/>
                <w:sz w:val="17"/>
              </w:rPr>
              <w:t>Field group</w:t>
            </w:r>
          </w:p>
        </w:tc>
        <w:tc>
          <w:tcPr>
            <w:tcW w:type="dxa" w:w="4536"/>
            <w:vAlign w:val="center"/>
            <w:shd w:fill="1F4E78"/>
          </w:tcPr>
          <w:p>
            <w:pPr>
              <w:spacing w:after="0"/>
            </w:pPr>
            <w:r/>
            <w:r>
              <w:rPr>
                <w:rFonts w:ascii="Aptos" w:hAnsi="Aptos"/>
                <w:b/>
                <w:color w:val="FFFFFF"/>
                <w:sz w:val="17"/>
              </w:rPr>
              <w:t>Raw columns retained</w:t>
            </w:r>
          </w:p>
        </w:tc>
        <w:tc>
          <w:tcPr>
            <w:tcW w:type="dxa" w:w="3528"/>
            <w:vAlign w:val="center"/>
            <w:shd w:fill="1F4E78"/>
          </w:tcPr>
          <w:p>
            <w:pPr>
              <w:spacing w:after="0"/>
            </w:pPr>
            <w:r/>
            <w:r>
              <w:rPr>
                <w:rFonts w:ascii="Aptos" w:hAnsi="Aptos"/>
                <w:b/>
                <w:color w:val="FFFFFF"/>
                <w:sz w:val="17"/>
              </w:rPr>
              <w:t>Reason for retention</w:t>
            </w:r>
          </w:p>
        </w:tc>
      </w:tr>
      <w:tr>
        <w:tc>
          <w:tcPr>
            <w:tcW w:type="dxa" w:w="1800"/>
            <w:vAlign w:val="center"/>
          </w:tcPr>
          <w:p>
            <w:pPr>
              <w:spacing w:after="0"/>
            </w:pPr>
            <w:r/>
            <w:r>
              <w:rPr>
                <w:rFonts w:ascii="Aptos" w:hAnsi="Aptos"/>
                <w:b w:val="0"/>
                <w:color w:val="000000"/>
                <w:sz w:val="17"/>
              </w:rPr>
              <w:t>Date and time period</w:t>
            </w:r>
          </w:p>
        </w:tc>
        <w:tc>
          <w:tcPr>
            <w:tcW w:type="dxa" w:w="4536"/>
            <w:vAlign w:val="center"/>
          </w:tcPr>
          <w:p>
            <w:pPr>
              <w:spacing w:after="0"/>
            </w:pPr>
            <w:r/>
            <w:r>
              <w:rPr>
                <w:rFonts w:ascii="Aptos" w:hAnsi="Aptos"/>
                <w:b w:val="0"/>
                <w:color w:val="000000"/>
                <w:sz w:val="17"/>
              </w:rPr>
              <w:t>YEAR, QUARTER, MONTH, DAY_OF_MONTH, DAY_OF_WEEK, FL_DATE</w:t>
            </w:r>
          </w:p>
        </w:tc>
        <w:tc>
          <w:tcPr>
            <w:tcW w:type="dxa" w:w="3528"/>
            <w:vAlign w:val="center"/>
          </w:tcPr>
          <w:p>
            <w:pPr>
              <w:spacing w:after="0"/>
            </w:pPr>
            <w:r/>
            <w:r>
              <w:rPr>
                <w:rFonts w:ascii="Aptos" w:hAnsi="Aptos"/>
                <w:b w:val="0"/>
                <w:color w:val="000000"/>
                <w:sz w:val="17"/>
              </w:rPr>
              <w:t>Supports monthly trends, date analysis, and the date dimension.</w:t>
            </w:r>
          </w:p>
        </w:tc>
      </w:tr>
      <w:tr>
        <w:tc>
          <w:tcPr>
            <w:tcW w:type="dxa" w:w="1800"/>
            <w:vAlign w:val="center"/>
            <w:shd w:fill="F3F6F9"/>
          </w:tcPr>
          <w:p>
            <w:pPr>
              <w:spacing w:after="0"/>
            </w:pPr>
            <w:r/>
            <w:r>
              <w:rPr>
                <w:rFonts w:ascii="Aptos" w:hAnsi="Aptos"/>
                <w:b w:val="0"/>
                <w:color w:val="000000"/>
                <w:sz w:val="17"/>
              </w:rPr>
              <w:t>Carrier and flight</w:t>
            </w:r>
          </w:p>
        </w:tc>
        <w:tc>
          <w:tcPr>
            <w:tcW w:type="dxa" w:w="4536"/>
            <w:vAlign w:val="center"/>
            <w:shd w:fill="F3F6F9"/>
          </w:tcPr>
          <w:p>
            <w:pPr>
              <w:spacing w:after="0"/>
            </w:pPr>
            <w:r/>
            <w:r>
              <w:rPr>
                <w:rFonts w:ascii="Aptos" w:hAnsi="Aptos"/>
                <w:b w:val="0"/>
                <w:color w:val="000000"/>
                <w:sz w:val="17"/>
              </w:rPr>
              <w:t>OP_UNIQUE_CARRIER, OP_CARRIER_AIRLINE_ID, TAIL_NUM, OP_CARRIER_FL_NUM</w:t>
            </w:r>
          </w:p>
        </w:tc>
        <w:tc>
          <w:tcPr>
            <w:tcW w:type="dxa" w:w="3528"/>
            <w:vAlign w:val="center"/>
            <w:shd w:fill="F3F6F9"/>
          </w:tcPr>
          <w:p>
            <w:pPr>
              <w:spacing w:after="0"/>
            </w:pPr>
            <w:r/>
            <w:r>
              <w:rPr>
                <w:rFonts w:ascii="Aptos" w:hAnsi="Aptos"/>
                <w:b w:val="0"/>
                <w:color w:val="000000"/>
                <w:sz w:val="17"/>
              </w:rPr>
              <w:t>Identifies the reporting/operating carrier, aircraft, and flight number.</w:t>
            </w:r>
          </w:p>
        </w:tc>
      </w:tr>
      <w:tr>
        <w:tc>
          <w:tcPr>
            <w:tcW w:type="dxa" w:w="1800"/>
            <w:vAlign w:val="center"/>
          </w:tcPr>
          <w:p>
            <w:pPr>
              <w:spacing w:after="0"/>
            </w:pPr>
            <w:r/>
            <w:r>
              <w:rPr>
                <w:rFonts w:ascii="Aptos" w:hAnsi="Aptos"/>
                <w:b w:val="0"/>
                <w:color w:val="000000"/>
                <w:sz w:val="17"/>
              </w:rPr>
              <w:t>Origin airport</w:t>
            </w:r>
          </w:p>
        </w:tc>
        <w:tc>
          <w:tcPr>
            <w:tcW w:type="dxa" w:w="4536"/>
            <w:vAlign w:val="center"/>
          </w:tcPr>
          <w:p>
            <w:pPr>
              <w:spacing w:after="0"/>
            </w:pPr>
            <w:r/>
            <w:r>
              <w:rPr>
                <w:rFonts w:ascii="Aptos" w:hAnsi="Aptos"/>
                <w:b w:val="0"/>
                <w:color w:val="000000"/>
                <w:sz w:val="17"/>
              </w:rPr>
              <w:t>ORIGIN_AIRPORT_ID, ORIGIN, ORIGIN_CITY_NAME, ORIGIN_STATE_ABR, ORIGIN_STATE_NM, ORIGIN_WAC</w:t>
            </w:r>
          </w:p>
        </w:tc>
        <w:tc>
          <w:tcPr>
            <w:tcW w:type="dxa" w:w="3528"/>
            <w:vAlign w:val="center"/>
          </w:tcPr>
          <w:p>
            <w:pPr>
              <w:spacing w:after="0"/>
            </w:pPr>
            <w:r/>
            <w:r>
              <w:rPr>
                <w:rFonts w:ascii="Aptos" w:hAnsi="Aptos"/>
                <w:b w:val="0"/>
                <w:color w:val="000000"/>
                <w:sz w:val="17"/>
              </w:rPr>
              <w:t>Supports airport relationships, state comparisons, and origin performance.</w:t>
            </w:r>
          </w:p>
        </w:tc>
      </w:tr>
      <w:tr>
        <w:tc>
          <w:tcPr>
            <w:tcW w:type="dxa" w:w="1800"/>
            <w:vAlign w:val="center"/>
            <w:shd w:fill="F3F6F9"/>
          </w:tcPr>
          <w:p>
            <w:pPr>
              <w:spacing w:after="0"/>
            </w:pPr>
            <w:r/>
            <w:r>
              <w:rPr>
                <w:rFonts w:ascii="Aptos" w:hAnsi="Aptos"/>
                <w:b w:val="0"/>
                <w:color w:val="000000"/>
                <w:sz w:val="17"/>
              </w:rPr>
              <w:t>Destination airport</w:t>
            </w:r>
          </w:p>
        </w:tc>
        <w:tc>
          <w:tcPr>
            <w:tcW w:type="dxa" w:w="4536"/>
            <w:vAlign w:val="center"/>
            <w:shd w:fill="F3F6F9"/>
          </w:tcPr>
          <w:p>
            <w:pPr>
              <w:spacing w:after="0"/>
            </w:pPr>
            <w:r/>
            <w:r>
              <w:rPr>
                <w:rFonts w:ascii="Aptos" w:hAnsi="Aptos"/>
                <w:b w:val="0"/>
                <w:color w:val="000000"/>
                <w:sz w:val="17"/>
              </w:rPr>
              <w:t>DEST_AIRPORT_ID, DEST, DEST_CITY_NAME, DEST_STATE_ABR, DEST_STATE_NM, DEST_WAC</w:t>
            </w:r>
          </w:p>
        </w:tc>
        <w:tc>
          <w:tcPr>
            <w:tcW w:type="dxa" w:w="3528"/>
            <w:vAlign w:val="center"/>
            <w:shd w:fill="F3F6F9"/>
          </w:tcPr>
          <w:p>
            <w:pPr>
              <w:spacing w:after="0"/>
            </w:pPr>
            <w:r/>
            <w:r>
              <w:rPr>
                <w:rFonts w:ascii="Aptos" w:hAnsi="Aptos"/>
                <w:b w:val="0"/>
                <w:color w:val="000000"/>
                <w:sz w:val="17"/>
              </w:rPr>
              <w:t>Supports route relationships, destination analysis, and route-level queries.</w:t>
            </w:r>
          </w:p>
        </w:tc>
      </w:tr>
      <w:tr>
        <w:tc>
          <w:tcPr>
            <w:tcW w:type="dxa" w:w="1800"/>
            <w:vAlign w:val="center"/>
          </w:tcPr>
          <w:p>
            <w:pPr>
              <w:spacing w:after="0"/>
            </w:pPr>
            <w:r/>
            <w:r>
              <w:rPr>
                <w:rFonts w:ascii="Aptos" w:hAnsi="Aptos"/>
                <w:b w:val="0"/>
                <w:color w:val="000000"/>
                <w:sz w:val="17"/>
              </w:rPr>
              <w:t>Departure performance</w:t>
            </w:r>
          </w:p>
        </w:tc>
        <w:tc>
          <w:tcPr>
            <w:tcW w:type="dxa" w:w="4536"/>
            <w:vAlign w:val="center"/>
          </w:tcPr>
          <w:p>
            <w:pPr>
              <w:spacing w:after="0"/>
            </w:pPr>
            <w:r/>
            <w:r>
              <w:rPr>
                <w:rFonts w:ascii="Aptos" w:hAnsi="Aptos"/>
                <w:b w:val="0"/>
                <w:color w:val="000000"/>
                <w:sz w:val="17"/>
              </w:rPr>
              <w:t>CRS_DEP_TIME, DEP_TIME, DEP_DELAY, DEP_DELAY_NEW, DEP_DEL15, TAXI_OUT, WHEELS_OFF</w:t>
            </w:r>
          </w:p>
        </w:tc>
        <w:tc>
          <w:tcPr>
            <w:tcW w:type="dxa" w:w="3528"/>
            <w:vAlign w:val="center"/>
          </w:tcPr>
          <w:p>
            <w:pPr>
              <w:spacing w:after="0"/>
            </w:pPr>
            <w:r/>
            <w:r>
              <w:rPr>
                <w:rFonts w:ascii="Aptos" w:hAnsi="Aptos"/>
                <w:b w:val="0"/>
                <w:color w:val="000000"/>
                <w:sz w:val="17"/>
              </w:rPr>
              <w:t>Measures scheduled versus actual departure performance and departure delay status.</w:t>
            </w:r>
          </w:p>
        </w:tc>
      </w:tr>
      <w:tr>
        <w:tc>
          <w:tcPr>
            <w:tcW w:type="dxa" w:w="1800"/>
            <w:vAlign w:val="center"/>
            <w:shd w:fill="F3F6F9"/>
          </w:tcPr>
          <w:p>
            <w:pPr>
              <w:spacing w:after="0"/>
            </w:pPr>
            <w:r/>
            <w:r>
              <w:rPr>
                <w:rFonts w:ascii="Aptos" w:hAnsi="Aptos"/>
                <w:b w:val="0"/>
                <w:color w:val="000000"/>
                <w:sz w:val="17"/>
              </w:rPr>
              <w:t>Arrival performance</w:t>
            </w:r>
          </w:p>
        </w:tc>
        <w:tc>
          <w:tcPr>
            <w:tcW w:type="dxa" w:w="4536"/>
            <w:vAlign w:val="center"/>
            <w:shd w:fill="F3F6F9"/>
          </w:tcPr>
          <w:p>
            <w:pPr>
              <w:spacing w:after="0"/>
            </w:pPr>
            <w:r/>
            <w:r>
              <w:rPr>
                <w:rFonts w:ascii="Aptos" w:hAnsi="Aptos"/>
                <w:b w:val="0"/>
                <w:color w:val="000000"/>
                <w:sz w:val="17"/>
              </w:rPr>
              <w:t>WHEELS_ON, TAXI_IN, CRS_ARR_TIME, ARR_TIME, ARR_DELAY, ARR_DELAY_NEW, ARR_DEL15</w:t>
            </w:r>
          </w:p>
        </w:tc>
        <w:tc>
          <w:tcPr>
            <w:tcW w:type="dxa" w:w="3528"/>
            <w:vAlign w:val="center"/>
            <w:shd w:fill="F3F6F9"/>
          </w:tcPr>
          <w:p>
            <w:pPr>
              <w:spacing w:after="0"/>
            </w:pPr>
            <w:r/>
            <w:r>
              <w:rPr>
                <w:rFonts w:ascii="Aptos" w:hAnsi="Aptos"/>
                <w:b w:val="0"/>
                <w:color w:val="000000"/>
                <w:sz w:val="17"/>
              </w:rPr>
              <w:t>Measures scheduled versus actual arrival performance and arrival delay status.</w:t>
            </w:r>
          </w:p>
        </w:tc>
      </w:tr>
      <w:tr>
        <w:tc>
          <w:tcPr>
            <w:tcW w:type="dxa" w:w="1800"/>
            <w:vAlign w:val="center"/>
          </w:tcPr>
          <w:p>
            <w:pPr>
              <w:spacing w:after="0"/>
            </w:pPr>
            <w:r/>
            <w:r>
              <w:rPr>
                <w:rFonts w:ascii="Aptos" w:hAnsi="Aptos"/>
                <w:b w:val="0"/>
                <w:color w:val="000000"/>
                <w:sz w:val="17"/>
              </w:rPr>
              <w:t>Flight status</w:t>
            </w:r>
          </w:p>
        </w:tc>
        <w:tc>
          <w:tcPr>
            <w:tcW w:type="dxa" w:w="4536"/>
            <w:vAlign w:val="center"/>
          </w:tcPr>
          <w:p>
            <w:pPr>
              <w:spacing w:after="0"/>
            </w:pPr>
            <w:r/>
            <w:r>
              <w:rPr>
                <w:rFonts w:ascii="Aptos" w:hAnsi="Aptos"/>
                <w:b w:val="0"/>
                <w:color w:val="000000"/>
                <w:sz w:val="17"/>
              </w:rPr>
              <w:t>CANCELLED, CANCELLATION_CODE, DIVERTED</w:t>
            </w:r>
          </w:p>
        </w:tc>
        <w:tc>
          <w:tcPr>
            <w:tcW w:type="dxa" w:w="3528"/>
            <w:vAlign w:val="center"/>
          </w:tcPr>
          <w:p>
            <w:pPr>
              <w:spacing w:after="0"/>
            </w:pPr>
            <w:r/>
            <w:r>
              <w:rPr>
                <w:rFonts w:ascii="Aptos" w:hAnsi="Aptos"/>
                <w:b w:val="0"/>
                <w:color w:val="000000"/>
                <w:sz w:val="17"/>
              </w:rPr>
              <w:t>Supports cancellation and diversion analysis.</w:t>
            </w:r>
          </w:p>
        </w:tc>
      </w:tr>
      <w:tr>
        <w:tc>
          <w:tcPr>
            <w:tcW w:type="dxa" w:w="1800"/>
            <w:vAlign w:val="center"/>
            <w:shd w:fill="F3F6F9"/>
          </w:tcPr>
          <w:p>
            <w:pPr>
              <w:spacing w:after="0"/>
            </w:pPr>
            <w:r/>
            <w:r>
              <w:rPr>
                <w:rFonts w:ascii="Aptos" w:hAnsi="Aptos"/>
                <w:b w:val="0"/>
                <w:color w:val="000000"/>
                <w:sz w:val="17"/>
              </w:rPr>
              <w:t>Duration and distance</w:t>
            </w:r>
          </w:p>
        </w:tc>
        <w:tc>
          <w:tcPr>
            <w:tcW w:type="dxa" w:w="4536"/>
            <w:vAlign w:val="center"/>
            <w:shd w:fill="F3F6F9"/>
          </w:tcPr>
          <w:p>
            <w:pPr>
              <w:spacing w:after="0"/>
            </w:pPr>
            <w:r/>
            <w:r>
              <w:rPr>
                <w:rFonts w:ascii="Aptos" w:hAnsi="Aptos"/>
                <w:b w:val="0"/>
                <w:color w:val="000000"/>
                <w:sz w:val="17"/>
              </w:rPr>
              <w:t>CRS_ELAPSED_TIME, ACTUAL_ELAPSED_TIME, AIR_TIME, DISTANCE</w:t>
            </w:r>
          </w:p>
        </w:tc>
        <w:tc>
          <w:tcPr>
            <w:tcW w:type="dxa" w:w="3528"/>
            <w:vAlign w:val="center"/>
            <w:shd w:fill="F3F6F9"/>
          </w:tcPr>
          <w:p>
            <w:pPr>
              <w:spacing w:after="0"/>
            </w:pPr>
            <w:r/>
            <w:r>
              <w:rPr>
                <w:rFonts w:ascii="Aptos" w:hAnsi="Aptos"/>
                <w:b w:val="0"/>
                <w:color w:val="000000"/>
                <w:sz w:val="17"/>
              </w:rPr>
              <w:t>Supports route distance, schedule accuracy, and flight duration analysis.</w:t>
            </w:r>
          </w:p>
        </w:tc>
      </w:tr>
      <w:tr>
        <w:tc>
          <w:tcPr>
            <w:tcW w:type="dxa" w:w="1800"/>
            <w:vAlign w:val="center"/>
          </w:tcPr>
          <w:p>
            <w:pPr>
              <w:spacing w:after="0"/>
            </w:pPr>
            <w:r/>
            <w:r>
              <w:rPr>
                <w:rFonts w:ascii="Aptos" w:hAnsi="Aptos"/>
                <w:b w:val="0"/>
                <w:color w:val="000000"/>
                <w:sz w:val="17"/>
              </w:rPr>
              <w:t>Delay causes</w:t>
            </w:r>
          </w:p>
        </w:tc>
        <w:tc>
          <w:tcPr>
            <w:tcW w:type="dxa" w:w="4536"/>
            <w:vAlign w:val="center"/>
          </w:tcPr>
          <w:p>
            <w:pPr>
              <w:spacing w:after="0"/>
            </w:pPr>
            <w:r/>
            <w:r>
              <w:rPr>
                <w:rFonts w:ascii="Aptos" w:hAnsi="Aptos"/>
                <w:b w:val="0"/>
                <w:color w:val="000000"/>
                <w:sz w:val="17"/>
              </w:rPr>
              <w:t>CARRIER_DELAY, WEATHER_DELAY, NAS_DELAY, SECURITY_DELAY, LATE_AIRCRAFT_DELAY</w:t>
            </w:r>
          </w:p>
        </w:tc>
        <w:tc>
          <w:tcPr>
            <w:tcW w:type="dxa" w:w="3528"/>
            <w:vAlign w:val="center"/>
          </w:tcPr>
          <w:p>
            <w:pPr>
              <w:spacing w:after="0"/>
            </w:pPr>
            <w:r/>
            <w:r>
              <w:rPr>
                <w:rFonts w:ascii="Aptos" w:hAnsi="Aptos"/>
                <w:b w:val="0"/>
                <w:color w:val="000000"/>
                <w:sz w:val="17"/>
              </w:rPr>
              <w:t>Identifies and compares the causes of delays by airline, airport, route, and month.</w:t>
            </w:r>
          </w:p>
        </w:tc>
      </w:tr>
    </w:tbl>
    <w:p>
      <w:pPr>
        <w:spacing w:after="40"/>
      </w:pPr>
    </w:p>
    <w:p>
      <w:pPr>
        <w:pStyle w:val="Heading1"/>
      </w:pPr>
      <w:r>
        <w:t>How the fields map to the normalized database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c>
          <w:tcPr>
            <w:tcW w:type="dxa" w:w="2088"/>
            <w:vAlign w:val="center"/>
            <w:shd w:fill="1F4E78"/>
          </w:tcPr>
          <w:p>
            <w:pPr>
              <w:spacing w:after="0"/>
            </w:pPr>
            <w:r/>
            <w:r>
              <w:rPr>
                <w:rFonts w:ascii="Aptos" w:hAnsi="Aptos"/>
                <w:b/>
                <w:color w:val="FFFFFF"/>
                <w:sz w:val="17"/>
              </w:rPr>
              <w:t>Final table</w:t>
            </w:r>
          </w:p>
        </w:tc>
        <w:tc>
          <w:tcPr>
            <w:tcW w:type="dxa" w:w="4680"/>
            <w:vAlign w:val="center"/>
            <w:shd w:fill="1F4E78"/>
          </w:tcPr>
          <w:p>
            <w:pPr>
              <w:spacing w:after="0"/>
            </w:pPr>
            <w:r/>
            <w:r>
              <w:rPr>
                <w:rFonts w:ascii="Aptos" w:hAnsi="Aptos"/>
                <w:b/>
                <w:color w:val="FFFFFF"/>
                <w:sz w:val="17"/>
              </w:rPr>
              <w:t>Main source fields</w:t>
            </w:r>
          </w:p>
        </w:tc>
        <w:tc>
          <w:tcPr>
            <w:tcW w:type="dxa" w:w="3096"/>
            <w:vAlign w:val="center"/>
            <w:shd w:fill="1F4E78"/>
          </w:tcPr>
          <w:p>
            <w:pPr>
              <w:spacing w:after="0"/>
            </w:pPr>
            <w:r/>
            <w:r>
              <w:rPr>
                <w:rFonts w:ascii="Aptos" w:hAnsi="Aptos"/>
                <w:b/>
                <w:color w:val="FFFFFF"/>
                <w:sz w:val="17"/>
              </w:rPr>
              <w:t>Purpose</w:t>
            </w:r>
          </w:p>
        </w:tc>
      </w:tr>
      <w:tr>
        <w:tc>
          <w:tcPr>
            <w:tcW w:type="dxa" w:w="2088"/>
            <w:vAlign w:val="center"/>
          </w:tcPr>
          <w:p>
            <w:pPr>
              <w:spacing w:after="0"/>
            </w:pPr>
            <w:r/>
            <w:r>
              <w:rPr>
                <w:rFonts w:ascii="Aptos" w:hAnsi="Aptos"/>
                <w:b w:val="0"/>
                <w:color w:val="000000"/>
                <w:sz w:val="17"/>
              </w:rPr>
              <w:t>airline</w:t>
            </w:r>
          </w:p>
        </w:tc>
        <w:tc>
          <w:tcPr>
            <w:tcW w:type="dxa" w:w="4680"/>
            <w:vAlign w:val="center"/>
          </w:tcPr>
          <w:p>
            <w:pPr>
              <w:spacing w:after="0"/>
            </w:pPr>
            <w:r/>
            <w:r>
              <w:rPr>
                <w:rFonts w:ascii="Aptos" w:hAnsi="Aptos"/>
                <w:b w:val="0"/>
                <w:color w:val="000000"/>
                <w:sz w:val="17"/>
              </w:rPr>
              <w:t>OP_UNIQUE_CARRIER, OP_CARRIER_AIRLINE_ID</w:t>
            </w:r>
          </w:p>
        </w:tc>
        <w:tc>
          <w:tcPr>
            <w:tcW w:type="dxa" w:w="3096"/>
            <w:vAlign w:val="center"/>
          </w:tcPr>
          <w:p>
            <w:pPr>
              <w:spacing w:after="0"/>
            </w:pPr>
            <w:r/>
            <w:r>
              <w:rPr>
                <w:rFonts w:ascii="Aptos" w:hAnsi="Aptos"/>
                <w:b w:val="0"/>
                <w:color w:val="000000"/>
                <w:sz w:val="17"/>
              </w:rPr>
              <w:t>One row per unique carrier.</w:t>
            </w:r>
          </w:p>
        </w:tc>
      </w:tr>
      <w:tr>
        <w:tc>
          <w:tcPr>
            <w:tcW w:type="dxa" w:w="2088"/>
            <w:vAlign w:val="center"/>
            <w:shd w:fill="F3F6F9"/>
          </w:tcPr>
          <w:p>
            <w:pPr>
              <w:spacing w:after="0"/>
            </w:pPr>
            <w:r/>
            <w:r>
              <w:rPr>
                <w:rFonts w:ascii="Aptos" w:hAnsi="Aptos"/>
                <w:b w:val="0"/>
                <w:color w:val="000000"/>
                <w:sz w:val="17"/>
              </w:rPr>
              <w:t>airport</w:t>
            </w:r>
          </w:p>
        </w:tc>
        <w:tc>
          <w:tcPr>
            <w:tcW w:type="dxa" w:w="4680"/>
            <w:vAlign w:val="center"/>
            <w:shd w:fill="F3F6F9"/>
          </w:tcPr>
          <w:p>
            <w:pPr>
              <w:spacing w:after="0"/>
            </w:pPr>
            <w:r/>
            <w:r>
              <w:rPr>
                <w:rFonts w:ascii="Aptos" w:hAnsi="Aptos"/>
                <w:b w:val="0"/>
                <w:color w:val="000000"/>
                <w:sz w:val="17"/>
              </w:rPr>
              <w:t>ORIGIN_AIRPORT_ID, DEST_AIRPORT_ID and airport attributes</w:t>
            </w:r>
          </w:p>
        </w:tc>
        <w:tc>
          <w:tcPr>
            <w:tcW w:type="dxa" w:w="3096"/>
            <w:vAlign w:val="center"/>
            <w:shd w:fill="F3F6F9"/>
          </w:tcPr>
          <w:p>
            <w:pPr>
              <w:spacing w:after="0"/>
            </w:pPr>
            <w:r/>
            <w:r>
              <w:rPr>
                <w:rFonts w:ascii="Aptos" w:hAnsi="Aptos"/>
                <w:b w:val="0"/>
                <w:color w:val="000000"/>
                <w:sz w:val="17"/>
              </w:rPr>
              <w:t>One row per unique airport; origin and destination are separate roles.</w:t>
            </w:r>
          </w:p>
        </w:tc>
      </w:tr>
      <w:tr>
        <w:tc>
          <w:tcPr>
            <w:tcW w:type="dxa" w:w="2088"/>
            <w:vAlign w:val="center"/>
          </w:tcPr>
          <w:p>
            <w:pPr>
              <w:spacing w:after="0"/>
            </w:pPr>
            <w:r/>
            <w:r>
              <w:rPr>
                <w:rFonts w:ascii="Aptos" w:hAnsi="Aptos"/>
                <w:b w:val="0"/>
                <w:color w:val="000000"/>
                <w:sz w:val="17"/>
              </w:rPr>
              <w:t>date_dimension</w:t>
            </w:r>
          </w:p>
        </w:tc>
        <w:tc>
          <w:tcPr>
            <w:tcW w:type="dxa" w:w="4680"/>
            <w:vAlign w:val="center"/>
          </w:tcPr>
          <w:p>
            <w:pPr>
              <w:spacing w:after="0"/>
            </w:pPr>
            <w:r/>
            <w:r>
              <w:rPr>
                <w:rFonts w:ascii="Aptos" w:hAnsi="Aptos"/>
                <w:b w:val="0"/>
                <w:color w:val="000000"/>
                <w:sz w:val="17"/>
              </w:rPr>
              <w:t>FL_DATE, YEAR, QUARTER, MONTH, DAY_OF_MONTH, DAY_OF_WEEK</w:t>
            </w:r>
          </w:p>
        </w:tc>
        <w:tc>
          <w:tcPr>
            <w:tcW w:type="dxa" w:w="3096"/>
            <w:vAlign w:val="center"/>
          </w:tcPr>
          <w:p>
            <w:pPr>
              <w:spacing w:after="0"/>
            </w:pPr>
            <w:r/>
            <w:r>
              <w:rPr>
                <w:rFonts w:ascii="Aptos" w:hAnsi="Aptos"/>
                <w:b w:val="0"/>
                <w:color w:val="000000"/>
                <w:sz w:val="17"/>
              </w:rPr>
              <w:t>One row per calendar date.</w:t>
            </w:r>
          </w:p>
        </w:tc>
      </w:tr>
      <w:tr>
        <w:tc>
          <w:tcPr>
            <w:tcW w:type="dxa" w:w="2088"/>
            <w:vAlign w:val="center"/>
            <w:shd w:fill="F3F6F9"/>
          </w:tcPr>
          <w:p>
            <w:pPr>
              <w:spacing w:after="0"/>
            </w:pPr>
            <w:r/>
            <w:r>
              <w:rPr>
                <w:rFonts w:ascii="Aptos" w:hAnsi="Aptos"/>
                <w:b w:val="0"/>
                <w:color w:val="000000"/>
                <w:sz w:val="17"/>
              </w:rPr>
              <w:t>route</w:t>
            </w:r>
          </w:p>
        </w:tc>
        <w:tc>
          <w:tcPr>
            <w:tcW w:type="dxa" w:w="4680"/>
            <w:vAlign w:val="center"/>
            <w:shd w:fill="F3F6F9"/>
          </w:tcPr>
          <w:p>
            <w:pPr>
              <w:spacing w:after="0"/>
            </w:pPr>
            <w:r/>
            <w:r>
              <w:rPr>
                <w:rFonts w:ascii="Aptos" w:hAnsi="Aptos"/>
                <w:b w:val="0"/>
                <w:color w:val="000000"/>
                <w:sz w:val="17"/>
              </w:rPr>
              <w:t>Origin airport, destination airport, DISTANCE</w:t>
            </w:r>
          </w:p>
        </w:tc>
        <w:tc>
          <w:tcPr>
            <w:tcW w:type="dxa" w:w="3096"/>
            <w:vAlign w:val="center"/>
            <w:shd w:fill="F3F6F9"/>
          </w:tcPr>
          <w:p>
            <w:pPr>
              <w:spacing w:after="0"/>
            </w:pPr>
            <w:r/>
            <w:r>
              <w:rPr>
                <w:rFonts w:ascii="Aptos" w:hAnsi="Aptos"/>
                <w:b w:val="0"/>
                <w:color w:val="000000"/>
                <w:sz w:val="17"/>
              </w:rPr>
              <w:t>One row per origin-destination pair.</w:t>
            </w:r>
          </w:p>
        </w:tc>
      </w:tr>
      <w:tr>
        <w:tc>
          <w:tcPr>
            <w:tcW w:type="dxa" w:w="2088"/>
            <w:vAlign w:val="center"/>
          </w:tcPr>
          <w:p>
            <w:pPr>
              <w:spacing w:after="0"/>
            </w:pPr>
            <w:r/>
            <w:r>
              <w:rPr>
                <w:rFonts w:ascii="Aptos" w:hAnsi="Aptos"/>
                <w:b w:val="0"/>
                <w:color w:val="000000"/>
                <w:sz w:val="17"/>
              </w:rPr>
              <w:t>flight</w:t>
            </w:r>
          </w:p>
        </w:tc>
        <w:tc>
          <w:tcPr>
            <w:tcW w:type="dxa" w:w="4680"/>
            <w:vAlign w:val="center"/>
          </w:tcPr>
          <w:p>
            <w:pPr>
              <w:spacing w:after="0"/>
            </w:pPr>
            <w:r/>
            <w:r>
              <w:rPr>
                <w:rFonts w:ascii="Aptos" w:hAnsi="Aptos"/>
                <w:b w:val="0"/>
                <w:color w:val="000000"/>
                <w:sz w:val="17"/>
              </w:rPr>
              <w:t>Carrier, date, route, flight number, tail number</w:t>
            </w:r>
          </w:p>
        </w:tc>
        <w:tc>
          <w:tcPr>
            <w:tcW w:type="dxa" w:w="3096"/>
            <w:vAlign w:val="center"/>
          </w:tcPr>
          <w:p>
            <w:pPr>
              <w:spacing w:after="0"/>
            </w:pPr>
            <w:r/>
            <w:r>
              <w:rPr>
                <w:rFonts w:ascii="Aptos" w:hAnsi="Aptos"/>
                <w:b w:val="0"/>
                <w:color w:val="000000"/>
                <w:sz w:val="17"/>
              </w:rPr>
              <w:t>Flight-level identifying and relationship information.</w:t>
            </w:r>
          </w:p>
        </w:tc>
      </w:tr>
      <w:tr>
        <w:tc>
          <w:tcPr>
            <w:tcW w:type="dxa" w:w="2088"/>
            <w:vAlign w:val="center"/>
            <w:shd w:fill="F3F6F9"/>
          </w:tcPr>
          <w:p>
            <w:pPr>
              <w:spacing w:after="0"/>
            </w:pPr>
            <w:r/>
            <w:r>
              <w:rPr>
                <w:rFonts w:ascii="Aptos" w:hAnsi="Aptos"/>
                <w:b w:val="0"/>
                <w:color w:val="000000"/>
                <w:sz w:val="17"/>
              </w:rPr>
              <w:t>flight_performance</w:t>
            </w:r>
          </w:p>
        </w:tc>
        <w:tc>
          <w:tcPr>
            <w:tcW w:type="dxa" w:w="4680"/>
            <w:vAlign w:val="center"/>
            <w:shd w:fill="F3F6F9"/>
          </w:tcPr>
          <w:p>
            <w:pPr>
              <w:spacing w:after="0"/>
            </w:pPr>
            <w:r/>
            <w:r>
              <w:rPr>
                <w:rFonts w:ascii="Aptos" w:hAnsi="Aptos"/>
                <w:b w:val="0"/>
                <w:color w:val="000000"/>
                <w:sz w:val="17"/>
              </w:rPr>
              <w:t>Times, delays, status, duration, and delay causes</w:t>
            </w:r>
          </w:p>
        </w:tc>
        <w:tc>
          <w:tcPr>
            <w:tcW w:type="dxa" w:w="3096"/>
            <w:vAlign w:val="center"/>
            <w:shd w:fill="F3F6F9"/>
          </w:tcPr>
          <w:p>
            <w:pPr>
              <w:spacing w:after="0"/>
            </w:pPr>
            <w:r/>
            <w:r>
              <w:rPr>
                <w:rFonts w:ascii="Aptos" w:hAnsi="Aptos"/>
                <w:b w:val="0"/>
                <w:color w:val="000000"/>
                <w:sz w:val="17"/>
              </w:rPr>
              <w:t>Performance measures for each flight record.</w:t>
            </w:r>
          </w:p>
        </w:tc>
      </w:tr>
    </w:tbl>
    <w:p>
      <w:pPr>
        <w:spacing w:after="40"/>
      </w:pPr>
    </w:p>
    <w:p>
      <w:pPr>
        <w:pStyle w:val="Heading1"/>
      </w:pPr>
      <w:r>
        <w:t>Why other BTS fields are not required</w:t>
      </w:r>
    </w:p>
    <w:p>
      <w:r>
        <w:t>The BTS table contains additional fields that are useful for other studies but are outside this project's objectives. Excluding them from the final normalized schema reduces unnecessary storage, simplifies the ER diagram, and keeps the SQL queries focused. The original raw files remain available if a future query requires one of these fields.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c>
          <w:tcPr>
            <w:tcW w:type="dxa" w:w="1872"/>
            <w:vAlign w:val="center"/>
            <w:shd w:fill="1F4E78"/>
          </w:tcPr>
          <w:p>
            <w:pPr>
              <w:spacing w:after="0"/>
            </w:pPr>
            <w:r/>
            <w:r>
              <w:rPr>
                <w:rFonts w:ascii="Aptos" w:hAnsi="Aptos"/>
                <w:b/>
                <w:color w:val="FFFFFF"/>
                <w:sz w:val="17"/>
              </w:rPr>
              <w:t>Category</w:t>
            </w:r>
          </w:p>
        </w:tc>
        <w:tc>
          <w:tcPr>
            <w:tcW w:type="dxa" w:w="3240"/>
            <w:vAlign w:val="center"/>
            <w:shd w:fill="1F4E78"/>
          </w:tcPr>
          <w:p>
            <w:pPr>
              <w:spacing w:after="0"/>
            </w:pPr>
            <w:r/>
            <w:r>
              <w:rPr>
                <w:rFonts w:ascii="Aptos" w:hAnsi="Aptos"/>
                <w:b/>
                <w:color w:val="FFFFFF"/>
                <w:sz w:val="17"/>
              </w:rPr>
              <w:t>Examples</w:t>
            </w:r>
          </w:p>
        </w:tc>
        <w:tc>
          <w:tcPr>
            <w:tcW w:type="dxa" w:w="4752"/>
            <w:vAlign w:val="center"/>
            <w:shd w:fill="1F4E78"/>
          </w:tcPr>
          <w:p>
            <w:pPr>
              <w:spacing w:after="0"/>
            </w:pPr>
            <w:r/>
            <w:r>
              <w:rPr>
                <w:rFonts w:ascii="Aptos" w:hAnsi="Aptos"/>
                <w:b/>
                <w:color w:val="FFFFFF"/>
                <w:sz w:val="17"/>
              </w:rPr>
              <w:t>Reason not required in final schema</w:t>
            </w:r>
          </w:p>
        </w:tc>
      </w:tr>
      <w:tr>
        <w:tc>
          <w:tcPr>
            <w:tcW w:type="dxa" w:w="1872"/>
            <w:vAlign w:val="center"/>
          </w:tcPr>
          <w:p>
            <w:pPr>
              <w:spacing w:after="0"/>
            </w:pPr>
            <w:r/>
            <w:r>
              <w:rPr>
                <w:rFonts w:ascii="Aptos" w:hAnsi="Aptos"/>
                <w:b w:val="0"/>
                <w:color w:val="000000"/>
                <w:sz w:val="17"/>
              </w:rPr>
              <w:t>Summary percentages</w:t>
            </w:r>
          </w:p>
        </w:tc>
        <w:tc>
          <w:tcPr>
            <w:tcW w:type="dxa" w:w="3240"/>
            <w:vAlign w:val="center"/>
          </w:tcPr>
          <w:p>
            <w:pPr>
              <w:spacing w:after="0"/>
            </w:pPr>
            <w:r/>
            <w:r>
              <w:rPr>
                <w:rFonts w:ascii="Aptos" w:hAnsi="Aptos"/>
                <w:b w:val="0"/>
                <w:color w:val="000000"/>
                <w:sz w:val="17"/>
              </w:rPr>
              <w:t>OntimeArrivalPct, OntimeDeparturePct</w:t>
            </w:r>
          </w:p>
        </w:tc>
        <w:tc>
          <w:tcPr>
            <w:tcW w:type="dxa" w:w="4752"/>
            <w:vAlign w:val="center"/>
          </w:tcPr>
          <w:p>
            <w:pPr>
              <w:spacing w:after="0"/>
            </w:pPr>
            <w:r/>
            <w:r>
              <w:rPr>
                <w:rFonts w:ascii="Aptos" w:hAnsi="Aptos"/>
                <w:b w:val="0"/>
                <w:color w:val="000000"/>
                <w:sz w:val="17"/>
              </w:rPr>
              <w:t>We calculate on-time percentages from flight-level delay indicators, so storing summaries would duplicate results.</w:t>
            </w:r>
          </w:p>
        </w:tc>
      </w:tr>
      <w:tr>
        <w:tc>
          <w:tcPr>
            <w:tcW w:type="dxa" w:w="1872"/>
            <w:vAlign w:val="center"/>
            <w:shd w:fill="F3F6F9"/>
          </w:tcPr>
          <w:p>
            <w:pPr>
              <w:spacing w:after="0"/>
            </w:pPr>
            <w:r/>
            <w:r>
              <w:rPr>
                <w:rFonts w:ascii="Aptos" w:hAnsi="Aptos"/>
                <w:b w:val="0"/>
                <w:color w:val="000000"/>
                <w:sz w:val="17"/>
              </w:rPr>
              <w:t>Redundant identifiers</w:t>
            </w:r>
          </w:p>
        </w:tc>
        <w:tc>
          <w:tcPr>
            <w:tcW w:type="dxa" w:w="3240"/>
            <w:vAlign w:val="center"/>
            <w:shd w:fill="F3F6F9"/>
          </w:tcPr>
          <w:p>
            <w:pPr>
              <w:spacing w:after="0"/>
            </w:pPr>
            <w:r/>
            <w:r>
              <w:rPr>
                <w:rFonts w:ascii="Aptos" w:hAnsi="Aptos"/>
                <w:b w:val="0"/>
                <w:color w:val="000000"/>
                <w:sz w:val="17"/>
              </w:rPr>
              <w:t>Carrier codes or IDs not present in the selected export; duplicate code variants</w:t>
            </w:r>
          </w:p>
        </w:tc>
        <w:tc>
          <w:tcPr>
            <w:tcW w:type="dxa" w:w="4752"/>
            <w:vAlign w:val="center"/>
            <w:shd w:fill="F3F6F9"/>
          </w:tcPr>
          <w:p>
            <w:pPr>
              <w:spacing w:after="0"/>
            </w:pPr>
            <w:r/>
            <w:r>
              <w:rPr>
                <w:rFonts w:ascii="Aptos" w:hAnsi="Aptos"/>
                <w:b w:val="0"/>
                <w:color w:val="000000"/>
                <w:sz w:val="17"/>
              </w:rPr>
              <w:t>The selected carrier identifier and DOT airline ID are sufficient for this six-month analysis.</w:t>
            </w:r>
          </w:p>
        </w:tc>
      </w:tr>
      <w:tr>
        <w:tc>
          <w:tcPr>
            <w:tcW w:type="dxa" w:w="1872"/>
            <w:vAlign w:val="center"/>
          </w:tcPr>
          <w:p>
            <w:pPr>
              <w:spacing w:after="0"/>
            </w:pPr>
            <w:r/>
            <w:r>
              <w:rPr>
                <w:rFonts w:ascii="Aptos" w:hAnsi="Aptos"/>
                <w:b w:val="0"/>
                <w:color w:val="000000"/>
                <w:sz w:val="17"/>
              </w:rPr>
              <w:t>Extra airport identifiers</w:t>
            </w:r>
          </w:p>
        </w:tc>
        <w:tc>
          <w:tcPr>
            <w:tcW w:type="dxa" w:w="3240"/>
            <w:vAlign w:val="center"/>
          </w:tcPr>
          <w:p>
            <w:pPr>
              <w:spacing w:after="0"/>
            </w:pPr>
            <w:r/>
            <w:r>
              <w:rPr>
                <w:rFonts w:ascii="Aptos" w:hAnsi="Aptos"/>
                <w:b w:val="0"/>
                <w:color w:val="000000"/>
                <w:sz w:val="17"/>
              </w:rPr>
              <w:t>Airport sequence IDs, city-market IDs, state FIPS, and similar alternate keys</w:t>
            </w:r>
          </w:p>
        </w:tc>
        <w:tc>
          <w:tcPr>
            <w:tcW w:type="dxa" w:w="4752"/>
            <w:vAlign w:val="center"/>
          </w:tcPr>
          <w:p>
            <w:pPr>
              <w:spacing w:after="0"/>
            </w:pPr>
            <w:r/>
            <w:r>
              <w:rPr>
                <w:rFonts w:ascii="Aptos" w:hAnsi="Aptos"/>
                <w:b w:val="0"/>
                <w:color w:val="000000"/>
                <w:sz w:val="17"/>
              </w:rPr>
              <w:t>The selected airport IDs, airport codes, city, state, and WAC fields support the required airport and route analysis.</w:t>
            </w:r>
          </w:p>
        </w:tc>
      </w:tr>
      <w:tr>
        <w:tc>
          <w:tcPr>
            <w:tcW w:type="dxa" w:w="1872"/>
            <w:vAlign w:val="center"/>
            <w:shd w:fill="F3F6F9"/>
          </w:tcPr>
          <w:p>
            <w:pPr>
              <w:spacing w:after="0"/>
            </w:pPr>
            <w:r/>
            <w:r>
              <w:rPr>
                <w:rFonts w:ascii="Aptos" w:hAnsi="Aptos"/>
                <w:b w:val="0"/>
                <w:color w:val="000000"/>
                <w:sz w:val="17"/>
              </w:rPr>
              <w:t>Pre-grouped time fields</w:t>
            </w:r>
          </w:p>
        </w:tc>
        <w:tc>
          <w:tcPr>
            <w:tcW w:type="dxa" w:w="3240"/>
            <w:vAlign w:val="center"/>
            <w:shd w:fill="F3F6F9"/>
          </w:tcPr>
          <w:p>
            <w:pPr>
              <w:spacing w:after="0"/>
            </w:pPr>
            <w:r/>
            <w:r>
              <w:rPr>
                <w:rFonts w:ascii="Aptos" w:hAnsi="Aptos"/>
                <w:b w:val="0"/>
                <w:color w:val="000000"/>
                <w:sz w:val="17"/>
              </w:rPr>
              <w:t>Departure/arrival time blocks and delay groups</w:t>
            </w:r>
          </w:p>
        </w:tc>
        <w:tc>
          <w:tcPr>
            <w:tcW w:type="dxa" w:w="4752"/>
            <w:vAlign w:val="center"/>
            <w:shd w:fill="F3F6F9"/>
          </w:tcPr>
          <w:p>
            <w:pPr>
              <w:spacing w:after="0"/>
            </w:pPr>
            <w:r/>
            <w:r>
              <w:rPr>
                <w:rFonts w:ascii="Aptos" w:hAnsi="Aptos"/>
                <w:b w:val="0"/>
                <w:color w:val="000000"/>
                <w:sz w:val="17"/>
              </w:rPr>
              <w:t>Time blocks and groups can be derived from the scheduled times and delay values when needed.</w:t>
            </w:r>
          </w:p>
        </w:tc>
      </w:tr>
      <w:tr>
        <w:tc>
          <w:tcPr>
            <w:tcW w:type="dxa" w:w="1872"/>
            <w:vAlign w:val="center"/>
          </w:tcPr>
          <w:p>
            <w:pPr>
              <w:spacing w:after="0"/>
            </w:pPr>
            <w:r/>
            <w:r>
              <w:rPr>
                <w:rFonts w:ascii="Aptos" w:hAnsi="Aptos"/>
                <w:b w:val="0"/>
                <w:color w:val="000000"/>
                <w:sz w:val="17"/>
              </w:rPr>
              <w:t>Detailed diversion fields</w:t>
            </w:r>
          </w:p>
        </w:tc>
        <w:tc>
          <w:tcPr>
            <w:tcW w:type="dxa" w:w="3240"/>
            <w:vAlign w:val="center"/>
          </w:tcPr>
          <w:p>
            <w:pPr>
              <w:spacing w:after="0"/>
            </w:pPr>
            <w:r/>
            <w:r>
              <w:rPr>
                <w:rFonts w:ascii="Aptos" w:hAnsi="Aptos"/>
                <w:b w:val="0"/>
                <w:color w:val="000000"/>
                <w:sz w:val="17"/>
              </w:rPr>
              <w:t>Div1 through Div5 airport, wheels-on, ground-time, wheels-off, and tail fields</w:t>
            </w:r>
          </w:p>
        </w:tc>
        <w:tc>
          <w:tcPr>
            <w:tcW w:type="dxa" w:w="4752"/>
            <w:vAlign w:val="center"/>
          </w:tcPr>
          <w:p>
            <w:pPr>
              <w:spacing w:after="0"/>
            </w:pPr>
            <w:r/>
            <w:r>
              <w:rPr>
                <w:rFonts w:ascii="Aptos" w:hAnsi="Aptos"/>
                <w:b w:val="0"/>
                <w:color w:val="000000"/>
                <w:sz w:val="17"/>
              </w:rPr>
              <w:t>The project needs to count and compare diverted flights, not reconstruct every diversion stop.</w:t>
            </w:r>
          </w:p>
        </w:tc>
      </w:tr>
      <w:tr>
        <w:tc>
          <w:tcPr>
            <w:tcW w:type="dxa" w:w="1872"/>
            <w:vAlign w:val="center"/>
            <w:shd w:fill="F3F6F9"/>
          </w:tcPr>
          <w:p>
            <w:pPr>
              <w:spacing w:after="0"/>
            </w:pPr>
            <w:r/>
            <w:r>
              <w:rPr>
                <w:rFonts w:ascii="Aptos" w:hAnsi="Aptos"/>
                <w:b w:val="0"/>
                <w:color w:val="000000"/>
                <w:sz w:val="17"/>
              </w:rPr>
              <w:t>Unrelated operational details</w:t>
            </w:r>
          </w:p>
        </w:tc>
        <w:tc>
          <w:tcPr>
            <w:tcW w:type="dxa" w:w="3240"/>
            <w:vAlign w:val="center"/>
            <w:shd w:fill="F3F6F9"/>
          </w:tcPr>
          <w:p>
            <w:pPr>
              <w:spacing w:after="0"/>
            </w:pPr>
            <w:r/>
            <w:r>
              <w:rPr>
                <w:rFonts w:ascii="Aptos" w:hAnsi="Aptos"/>
                <w:b w:val="0"/>
                <w:color w:val="000000"/>
                <w:sz w:val="17"/>
              </w:rPr>
              <w:t>Fields outside delays, cancellations, diversions, airports, routes, dates, and flight performance</w:t>
            </w:r>
          </w:p>
        </w:tc>
        <w:tc>
          <w:tcPr>
            <w:tcW w:type="dxa" w:w="4752"/>
            <w:vAlign w:val="center"/>
            <w:shd w:fill="F3F6F9"/>
          </w:tcPr>
          <w:p>
            <w:pPr>
              <w:spacing w:after="0"/>
            </w:pPr>
            <w:r/>
            <w:r>
              <w:rPr>
                <w:rFonts w:ascii="Aptos" w:hAnsi="Aptos"/>
                <w:b w:val="0"/>
                <w:color w:val="000000"/>
                <w:sz w:val="17"/>
              </w:rPr>
              <w:t>They do not support the project's stated research questions or required SQL techniques.</w:t>
            </w:r>
          </w:p>
        </w:tc>
      </w:tr>
    </w:tbl>
    <w:p>
      <w:pPr>
        <w:spacing w:after="40"/>
      </w:pPr>
    </w:p>
    <w:p>
      <w:pPr>
        <w:pStyle w:val="Heading1"/>
      </w:pPr>
      <w:r>
        <w:t>Data quality and preparation decisions</w:t>
      </w:r>
    </w:p>
    <w:p>
      <w:pPr>
        <w:pStyle w:val="ListBullet"/>
        <w:spacing w:after="40"/>
      </w:pPr>
      <w:r>
        <w:t>Keep the six original monthly CSV files unchanged as source evidence.</w:t>
      </w:r>
    </w:p>
    <w:p>
      <w:pPr>
        <w:pStyle w:val="ListBullet"/>
        <w:spacing w:after="40"/>
      </w:pPr>
      <w:r>
        <w:t>Combine the files into one raw staging table after confirming identical headers.</w:t>
      </w:r>
    </w:p>
    <w:p>
      <w:pPr>
        <w:pStyle w:val="ListBullet"/>
        <w:spacing w:after="40"/>
      </w:pPr>
      <w:r>
        <w:t>Convert blank values to NULL rather than treating missing actual times as zero.</w:t>
      </w:r>
    </w:p>
    <w:p>
      <w:pPr>
        <w:pStyle w:val="ListBullet"/>
        <w:spacing w:after="40"/>
      </w:pPr>
      <w:r>
        <w:t>Preserve negative delay values because they represent early departures or arrivals.</w:t>
      </w:r>
    </w:p>
    <w:p>
      <w:pPr>
        <w:pStyle w:val="ListBullet"/>
        <w:spacing w:after="40"/>
      </w:pPr>
      <w:r>
        <w:t>Convert FL_DATE to a MySQL DATE value during cleaning; the source includes a time portion at midnight.</w:t>
      </w:r>
    </w:p>
    <w:p>
      <w:pPr>
        <w:pStyle w:val="ListBullet"/>
        <w:spacing w:after="40"/>
      </w:pPr>
      <w:r>
        <w:t>Keep scheduled time fields as raw values during staging because leading zeros are meaningful, then convert them consistently for analysis.</w:t>
      </w:r>
    </w:p>
    <w:p>
      <w:pPr>
        <w:pStyle w:val="ListBullet"/>
        <w:spacing w:after="40"/>
      </w:pPr>
      <w:r>
        <w:t>Convert CANCELLED and DIVERTED into clear Boolean or indicator values in the final database.</w:t>
      </w:r>
    </w:p>
    <w:p>
      <w:pPr>
        <w:pStyle w:val="ListBullet"/>
        <w:spacing w:after="40"/>
      </w:pPr>
      <w:r>
        <w:t>Load parent tables before child tables so primary-key and foreign-key relationships can be enforced.</w:t>
      </w:r>
    </w:p>
    <w:p>
      <w:pPr>
        <w:pStyle w:val="Heading1"/>
      </w:pPr>
      <w:r>
        <w:t>Team action items</w:t>
      </w:r>
    </w:p>
    <w:p>
      <w:pPr>
        <w:pStyle w:val="ListBullet"/>
        <w:spacing w:after="40"/>
      </w:pPr>
      <w:r>
        <w:t>Use the January to June 2026 period for the project and presentation.</w:t>
      </w:r>
    </w:p>
    <w:p>
      <w:pPr>
        <w:pStyle w:val="ListBullet"/>
        <w:spacing w:after="40"/>
      </w:pPr>
      <w:r>
        <w:t>Do not add July to September solely to increase the row count; that would change the approved scope.</w:t>
      </w:r>
    </w:p>
    <w:p>
      <w:pPr>
        <w:pStyle w:val="ListBullet"/>
        <w:spacing w:after="40"/>
      </w:pPr>
      <w:r>
        <w:t>Preserve all 48 source columns in the raw staging dataset.</w:t>
      </w:r>
    </w:p>
    <w:p>
      <w:pPr>
        <w:pStyle w:val="ListBullet"/>
        <w:spacing w:after="40"/>
      </w:pPr>
      <w:r>
        <w:t>Use the field groups and table mapping in this document when creating the ER diagram and MySQL schema.</w:t>
      </w:r>
    </w:p>
    <w:p>
      <w:pPr>
        <w:pStyle w:val="ListBullet"/>
        <w:spacing w:after="40"/>
      </w:pPr>
      <w:r>
        <w:t>Record the combined row count and table row counts as import evidence.</w:t>
      </w:r>
    </w:p>
    <w:p>
      <w:pPr>
        <w:pStyle w:val="ListBullet"/>
        <w:spacing w:after="40"/>
      </w:pPr>
      <w:r>
        <w:t>Explain that small airline, airport, and date lookup tables are expected because normalization stores unique entities only.</w:t>
      </w:r>
    </w:p>
    <w:p>
      <w:pPr>
        <w:pStyle w:val="Heading1"/>
      </w:pPr>
      <w:r>
        <w:t>Source</w:t>
      </w:r>
    </w:p>
    <w:p>
      <w:r>
        <w:t>U.S. Department of Transportation, Bureau of Transportation Statistics, Reporting Carrier On Time Performance 1987-present. https://www.transtats.bts.gov/DatabaseInfo.asp?QO_VQ=EFD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