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Ayesha Khan</w:t>
      </w:r>
    </w:p>
    <w:p>
      <w:r>
        <w:rPr>
          <w:sz w:val="20"/>
        </w:rPr>
        <w:t>[ayesha.khan.finance@gmail.com](mailto:ayesha.khan.finance@gmail.com) | +27 76 234 5678 | Cape Town, South Africa</w:t>
      </w:r>
    </w:p>
    <w:p>
      <w:r>
        <w:rPr>
          <w:i/>
          <w:color w:val="555555"/>
        </w:rPr>
        <w:t>Target role: Financial Analyst  •  6 years experience</w:t>
      </w:r>
    </w:p>
    <w:p>
      <w:pPr>
        <w:pStyle w:val="Heading2"/>
      </w:pPr>
      <w:r>
        <w:t>Summary</w:t>
      </w:r>
    </w:p>
    <w:p>
      <w:r>
        <w:t>Detail-oriented financial analyst with strong experience in budgeting, forecasting, and financial modeling. Adept at providing actionable insights to support strategic decisions.</w:t>
      </w:r>
    </w:p>
    <w:p>
      <w:pPr>
        <w:pStyle w:val="Heading2"/>
      </w:pPr>
      <w:r>
        <w:t>Skills</w:t>
      </w:r>
    </w:p>
    <w:p>
      <w:r>
        <w:t>Financial Modeling, Excel, Power BI, Budgeting, Forecasting, SQL</w:t>
      </w:r>
    </w:p>
    <w:p>
      <w:pPr>
        <w:pStyle w:val="Heading2"/>
      </w:pPr>
      <w:r>
        <w:t>Experience</w:t>
      </w:r>
    </w:p>
    <w:p>
      <w:r>
        <w:rPr>
          <w:b/>
        </w:rPr>
        <w:t>Financial Analyst — Investec</w:t>
      </w:r>
      <w:r>
        <w:t xml:space="preserve">  (2021 – 2025)</w:t>
      </w:r>
    </w:p>
    <w:p>
      <w:pPr>
        <w:pStyle w:val="ListBullet"/>
        <w:ind w:left="360"/>
      </w:pPr>
      <w:r>
        <w:t>Developed forecasting models</w:t>
      </w:r>
    </w:p>
    <w:p>
      <w:pPr>
        <w:pStyle w:val="ListBullet"/>
        <w:ind w:left="360"/>
      </w:pPr>
      <w:r>
        <w:t>Improved reporting accuracy</w:t>
      </w:r>
    </w:p>
    <w:p>
      <w:r>
        <w:rPr>
          <w:b/>
        </w:rPr>
        <w:t>Junior Analyst — Old Mutual</w:t>
      </w:r>
      <w:r>
        <w:t xml:space="preserve">  (2019 – 2021)</w:t>
      </w:r>
    </w:p>
    <w:p>
      <w:pPr>
        <w:pStyle w:val="ListBullet"/>
        <w:ind w:left="360"/>
      </w:pPr>
      <w:r>
        <w:t>Prepared monthly reports</w:t>
      </w:r>
    </w:p>
    <w:p>
      <w:pPr>
        <w:pStyle w:val="ListBullet"/>
        <w:ind w:left="360"/>
      </w:pPr>
      <w:r>
        <w:t>Assisted in financial planning</w:t>
      </w:r>
    </w:p>
    <w:p>
      <w:pPr>
        <w:pStyle w:val="Heading2"/>
      </w:pPr>
      <w:r>
        <w:t>Education</w:t>
      </w:r>
    </w:p>
    <w:p>
      <w:r>
        <w:t>BCom Finance — University of Cape Town (2018)</w:t>
      </w:r>
    </w:p>
    <w:p>
      <w:pPr>
        <w:pStyle w:val="Heading2"/>
      </w:pPr>
      <w:r>
        <w:t>Compensation</w:t>
      </w:r>
    </w:p>
    <w:p>
      <w:r>
        <w:t>Current: R480,000 | Expected: R600,000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