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David Christie</w:t>
      </w:r>
    </w:p>
    <w:p>
      <w:r>
        <w:rPr>
          <w:sz w:val="20"/>
        </w:rPr>
        <w:t>david.christie@infrastructure.co.za | +27 83 567 8901 | Johannesburg, South Africa</w:t>
      </w:r>
    </w:p>
    <w:p>
      <w:r>
        <w:rPr>
          <w:i/>
          <w:color w:val="555555"/>
        </w:rPr>
        <w:t>Target role: Infrastructure Manager  •  8 years experience</w:t>
      </w:r>
    </w:p>
    <w:p>
      <w:pPr>
        <w:pStyle w:val="Heading2"/>
      </w:pPr>
      <w:r>
        <w:t>Summary</w:t>
      </w:r>
    </w:p>
    <w:p>
      <w:r>
        <w:t>Experienced Infrastructure Manager with 8 years managing enterprise IT infrastructure and data centers. Expertise in server management, virtualization, and infrastructure optimization. Committed to maintaining high availability and security.</w:t>
      </w:r>
    </w:p>
    <w:p>
      <w:pPr>
        <w:pStyle w:val="Heading2"/>
      </w:pPr>
      <w:r>
        <w:t>Skills</w:t>
      </w:r>
    </w:p>
    <w:p>
      <w:r>
        <w:t>Infrastructure Management, Virtualization, VMware, Server Management, Cloud Infrastructure, Linux, Windows Server, Disaster Recovery, Capacity Planning, Security</w:t>
      </w:r>
    </w:p>
    <w:p>
      <w:pPr>
        <w:pStyle w:val="Heading2"/>
      </w:pPr>
      <w:r>
        <w:t>Experience</w:t>
      </w:r>
    </w:p>
    <w:p>
      <w:r>
        <w:rPr>
          <w:b/>
        </w:rPr>
        <w:t>Senior Infrastructure Manager — Vodacom Group</w:t>
      </w:r>
      <w:r>
        <w:t xml:space="preserve">  (2020 – 2024)</w:t>
      </w:r>
    </w:p>
    <w:p>
      <w:pPr>
        <w:pStyle w:val="ListBullet"/>
        <w:ind w:left="360"/>
      </w:pPr>
      <w:r>
        <w:t>Managed infrastructure supporting 10,000+ employees and systems</w:t>
      </w:r>
    </w:p>
    <w:p>
      <w:pPr>
        <w:pStyle w:val="ListBullet"/>
        <w:ind w:left="360"/>
      </w:pPr>
      <w:r>
        <w:t>Implemented cloud migration strategy reducing capex by 30%</w:t>
      </w:r>
    </w:p>
    <w:p>
      <w:pPr>
        <w:pStyle w:val="ListBullet"/>
        <w:ind w:left="360"/>
      </w:pPr>
      <w:r>
        <w:t>Achieved 99.99% infrastructure uptime SLA</w:t>
      </w:r>
    </w:p>
    <w:p>
      <w:r>
        <w:rPr>
          <w:b/>
        </w:rPr>
        <w:t>Infrastructure Manager — Telkom SA</w:t>
      </w:r>
      <w:r>
        <w:t xml:space="preserve">  (2018 – 2020)</w:t>
      </w:r>
    </w:p>
    <w:p>
      <w:pPr>
        <w:pStyle w:val="ListBullet"/>
        <w:ind w:left="360"/>
      </w:pPr>
      <w:r>
        <w:t>Managed enterprise data center with 500+ physical servers</w:t>
      </w:r>
    </w:p>
    <w:p>
      <w:pPr>
        <w:pStyle w:val="ListBullet"/>
        <w:ind w:left="360"/>
      </w:pPr>
      <w:r>
        <w:t>Implemented virtualization platform consolidating 1,000+ servers</w:t>
      </w:r>
    </w:p>
    <w:p>
      <w:pPr>
        <w:pStyle w:val="ListBullet"/>
        <w:ind w:left="360"/>
      </w:pPr>
      <w:r>
        <w:t>Led disaster recovery and business continuity initiatives</w:t>
      </w:r>
    </w:p>
    <w:p>
      <w:r>
        <w:rPr>
          <w:b/>
        </w:rPr>
        <w:t>Systems Administrator — Dimension Data</w:t>
      </w:r>
      <w:r>
        <w:t xml:space="preserve">  (2016 – 2018)</w:t>
      </w:r>
    </w:p>
    <w:p>
      <w:pPr>
        <w:pStyle w:val="ListBullet"/>
        <w:ind w:left="360"/>
      </w:pPr>
      <w:r>
        <w:t>Managed servers and network infrastructure for clients</w:t>
      </w:r>
    </w:p>
    <w:p>
      <w:pPr>
        <w:pStyle w:val="ListBullet"/>
        <w:ind w:left="360"/>
      </w:pPr>
      <w:r>
        <w:t>Provided technical support and system monitoring</w:t>
      </w:r>
    </w:p>
    <w:p>
      <w:pPr>
        <w:pStyle w:val="Heading2"/>
      </w:pPr>
      <w:r>
        <w:t>Education</w:t>
      </w:r>
    </w:p>
    <w:p>
      <w:r>
        <w:t>BEng Information Technology — University of Pretoria (2016)</w:t>
      </w:r>
    </w:p>
    <w:p>
      <w:pPr>
        <w:pStyle w:val="Heading2"/>
      </w:pPr>
      <w:r>
        <w:t>Compensation</w:t>
      </w:r>
    </w:p>
    <w:p>
      <w:r>
        <w:t>Current: R820,000 | Expected: R1,050,000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