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Sophia Pieterse</w:t>
      </w:r>
    </w:p>
    <w:p>
      <w:r>
        <w:rPr>
          <w:sz w:val="20"/>
        </w:rPr>
        <w:t>sophia.pieterse@accounts.co.za | +27 82 789 0123 | Stellenbosch, South Africa</w:t>
      </w:r>
    </w:p>
    <w:p>
      <w:r>
        <w:rPr>
          <w:i/>
          <w:color w:val="555555"/>
        </w:rPr>
        <w:t>Target role: Accounts Manager  •  6 years experience</w:t>
      </w:r>
    </w:p>
    <w:p>
      <w:pPr>
        <w:pStyle w:val="Heading2"/>
      </w:pPr>
      <w:r>
        <w:t>Summary</w:t>
      </w:r>
    </w:p>
    <w:p>
      <w:r>
        <w:t>Detail-oriented Accounts Manager with 6 years managing client relationships and driving revenue growth. Skilled in account management, sales, and customer retention. Strong track record of exceeding targets and building long-term partnerships.</w:t>
      </w:r>
    </w:p>
    <w:p>
      <w:pPr>
        <w:pStyle w:val="Heading2"/>
      </w:pPr>
      <w:r>
        <w:t>Skills</w:t>
      </w:r>
    </w:p>
    <w:p>
      <w:r>
        <w:t>Account Management, Sales, Customer Relationship Management, Negotiation, Sales Forecasting, CRM Systems, Report Writing, Financial Analysis, Relationship Building, Client Retention</w:t>
      </w:r>
    </w:p>
    <w:p>
      <w:pPr>
        <w:pStyle w:val="Heading2"/>
      </w:pPr>
      <w:r>
        <w:t>Experience</w:t>
      </w:r>
    </w:p>
    <w:p>
      <w:r>
        <w:rPr>
          <w:b/>
        </w:rPr>
        <w:t>Accounts Manager — Sage South Africa</w:t>
      </w:r>
      <w:r>
        <w:t xml:space="preserve">  (2020 – 2024)</w:t>
      </w:r>
    </w:p>
    <w:p>
      <w:pPr>
        <w:pStyle w:val="ListBullet"/>
        <w:ind w:left="360"/>
      </w:pPr>
      <w:r>
        <w:t>Managed portfolio of 80 enterprise clients generating R8M annual revenue</w:t>
      </w:r>
    </w:p>
    <w:p>
      <w:pPr>
        <w:pStyle w:val="ListBullet"/>
        <w:ind w:left="360"/>
      </w:pPr>
      <w:r>
        <w:t>Achieved 120% of annual sales targets for 3 consecutive years</w:t>
      </w:r>
    </w:p>
    <w:p>
      <w:pPr>
        <w:pStyle w:val="ListBullet"/>
        <w:ind w:left="360"/>
      </w:pPr>
      <w:r>
        <w:t>Reduced customer churn from 12% to 6% through proactive management</w:t>
      </w:r>
    </w:p>
    <w:p>
      <w:r>
        <w:rPr>
          <w:b/>
        </w:rPr>
        <w:t>Account Executive — Dimension Data</w:t>
      </w:r>
      <w:r>
        <w:t xml:space="preserve">  (2018 – 2020)</w:t>
      </w:r>
    </w:p>
    <w:p>
      <w:pPr>
        <w:pStyle w:val="ListBullet"/>
        <w:ind w:left="360"/>
      </w:pPr>
      <w:r>
        <w:t>Secured new business contracts worth R5M in first year</w:t>
      </w:r>
    </w:p>
    <w:p>
      <w:pPr>
        <w:pStyle w:val="ListBullet"/>
        <w:ind w:left="360"/>
      </w:pPr>
      <w:r>
        <w:t>Managed key accounts in financial services sector</w:t>
      </w:r>
    </w:p>
    <w:p>
      <w:pPr>
        <w:pStyle w:val="ListBullet"/>
        <w:ind w:left="360"/>
      </w:pPr>
      <w:r>
        <w:t>Collaborated with technical teams on solution delivery</w:t>
      </w:r>
    </w:p>
    <w:p>
      <w:r>
        <w:rPr>
          <w:b/>
        </w:rPr>
        <w:t>Junior Account Manager — Pinnacle Consulting</w:t>
      </w:r>
      <w:r>
        <w:t xml:space="preserve">  (2017 – 2018)</w:t>
      </w:r>
    </w:p>
    <w:p>
      <w:pPr>
        <w:pStyle w:val="ListBullet"/>
        <w:ind w:left="360"/>
      </w:pPr>
      <w:r>
        <w:t>Supported senior account managers</w:t>
      </w:r>
    </w:p>
    <w:p>
      <w:pPr>
        <w:pStyle w:val="ListBullet"/>
        <w:ind w:left="360"/>
      </w:pPr>
      <w:r>
        <w:t>Managed administrative tasks and client communications</w:t>
      </w:r>
    </w:p>
    <w:p>
      <w:pPr>
        <w:pStyle w:val="Heading2"/>
      </w:pPr>
      <w:r>
        <w:t>Education</w:t>
      </w:r>
    </w:p>
    <w:p>
      <w:r>
        <w:t>BCom Business Administration — Stellenbosch University (2017)</w:t>
      </w:r>
    </w:p>
    <w:p>
      <w:pPr>
        <w:pStyle w:val="Heading2"/>
      </w:pPr>
      <w:r>
        <w:t>Compensation</w:t>
      </w:r>
    </w:p>
    <w:p>
      <w:r>
        <w:t>Current: R520,000 | Expected: R700,000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