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E51" w:rsidRPr="00DC0E51" w:rsidRDefault="00DC0E51" w:rsidP="00DC0E51">
      <w:pPr>
        <w:pStyle w:val="Default"/>
        <w:rPr>
          <w:rFonts w:ascii="Times New Roman" w:hAnsi="Times New Roman" w:cs="Times New Roman"/>
          <w:color w:val="auto"/>
        </w:rPr>
      </w:pPr>
    </w:p>
    <w:p w:rsidR="00DC0E51" w:rsidRPr="00DC0E51" w:rsidRDefault="00DC0E51" w:rsidP="00DC0E51">
      <w:pPr>
        <w:pStyle w:val="Default"/>
        <w:rPr>
          <w:rFonts w:ascii="Times New Roman" w:hAnsi="Times New Roman" w:cs="Times New Roman"/>
        </w:rPr>
      </w:pPr>
      <w:r w:rsidRPr="00DC0E51">
        <w:rPr>
          <w:rFonts w:ascii="Times New Roman" w:hAnsi="Times New Roman" w:cs="Times New Roman"/>
          <w:b/>
          <w:bCs/>
          <w:color w:val="2D74B6"/>
        </w:rPr>
        <w:t>Case C: External Cre</w:t>
      </w:r>
      <w:r w:rsidRPr="00DC0E51">
        <w:rPr>
          <w:rFonts w:ascii="Times New Roman" w:hAnsi="Times New Roman" w:cs="Times New Roman"/>
          <w:b/>
          <w:bCs/>
          <w:color w:val="2D74B6"/>
        </w:rPr>
        <w:t xml:space="preserve">dit Assessments and the Mapping </w:t>
      </w:r>
      <w:r w:rsidRPr="00DC0E51">
        <w:rPr>
          <w:rFonts w:ascii="Times New Roman" w:hAnsi="Times New Roman" w:cs="Times New Roman"/>
          <w:b/>
          <w:bCs/>
          <w:color w:val="2D74B6"/>
        </w:rPr>
        <w:t xml:space="preserve">Process </w:t>
      </w:r>
    </w:p>
    <w:p w:rsidR="00DC0E51" w:rsidRPr="00DC0E51" w:rsidRDefault="00DC0E51" w:rsidP="00DC0E51">
      <w:pPr>
        <w:pStyle w:val="Default"/>
        <w:rPr>
          <w:rFonts w:ascii="Times New Roman" w:hAnsi="Times New Roman" w:cs="Times New Roman"/>
          <w:color w:val="2D74B6"/>
        </w:rPr>
      </w:pPr>
      <w:r w:rsidRPr="00DC0E51">
        <w:rPr>
          <w:rFonts w:ascii="Times New Roman" w:hAnsi="Times New Roman" w:cs="Times New Roman"/>
          <w:color w:val="2D74B6"/>
        </w:rPr>
        <w:t xml:space="preserve">Background Information </w:t>
      </w:r>
    </w:p>
    <w:p w:rsidR="00DC0E51" w:rsidRPr="00DC0E51" w:rsidRDefault="00DC0E51" w:rsidP="00DC0E51">
      <w:pPr>
        <w:pStyle w:val="Default"/>
        <w:rPr>
          <w:rFonts w:ascii="Times New Roman" w:hAnsi="Times New Roman" w:cs="Times New Roman"/>
        </w:rPr>
      </w:pPr>
      <w:r w:rsidRPr="00DC0E51">
        <w:rPr>
          <w:rFonts w:ascii="Times New Roman" w:hAnsi="Times New Roman" w:cs="Times New Roman"/>
        </w:rPr>
        <w:t>The Office of the Superintendent of Financial Institutions (OSFI) has raised a new set of requirements to direct the usage of external credit assessmen</w:t>
      </w:r>
      <w:r w:rsidRPr="00DC0E51">
        <w:rPr>
          <w:rFonts w:ascii="Times New Roman" w:hAnsi="Times New Roman" w:cs="Times New Roman"/>
        </w:rPr>
        <w:t xml:space="preserve">ts by big banks. After a </w:t>
      </w:r>
      <w:r w:rsidRPr="00DC0E51">
        <w:rPr>
          <w:rFonts w:ascii="Times New Roman" w:hAnsi="Times New Roman" w:cs="Times New Roman"/>
        </w:rPr>
        <w:t xml:space="preserve">review process of the major international rating agencies, OSFI has permitted banks to recognize credit ratings from the following rating agencies for capital adequacy purposes. </w:t>
      </w:r>
    </w:p>
    <w:p w:rsidR="00DC0E51" w:rsidRPr="00DC0E51" w:rsidRDefault="00DC0E51" w:rsidP="00DC0E51">
      <w:pPr>
        <w:pStyle w:val="Default"/>
        <w:rPr>
          <w:rFonts w:ascii="Times New Roman" w:hAnsi="Times New Roman" w:cs="Times New Roman"/>
        </w:rPr>
      </w:pPr>
    </w:p>
    <w:p w:rsidR="00DC0E51" w:rsidRPr="00DC0E51" w:rsidRDefault="00DC0E51" w:rsidP="00DC0E51">
      <w:pPr>
        <w:pStyle w:val="Default"/>
        <w:rPr>
          <w:rFonts w:ascii="Times New Roman" w:hAnsi="Times New Roman" w:cs="Times New Roman"/>
        </w:rPr>
      </w:pPr>
      <w:r w:rsidRPr="00DC0E51">
        <w:rPr>
          <w:rFonts w:ascii="Times New Roman" w:hAnsi="Times New Roman" w:cs="Times New Roman"/>
        </w:rPr>
        <w:t xml:space="preserve">• DBRS </w:t>
      </w:r>
    </w:p>
    <w:p w:rsidR="00DC0E51" w:rsidRPr="00DC0E51" w:rsidRDefault="00DC0E51" w:rsidP="00DC0E51">
      <w:pPr>
        <w:pStyle w:val="Default"/>
        <w:rPr>
          <w:rFonts w:ascii="Times New Roman" w:hAnsi="Times New Roman" w:cs="Times New Roman"/>
        </w:rPr>
      </w:pPr>
      <w:r w:rsidRPr="00DC0E51">
        <w:rPr>
          <w:rFonts w:ascii="Times New Roman" w:hAnsi="Times New Roman" w:cs="Times New Roman"/>
        </w:rPr>
        <w:t xml:space="preserve">• Moody’s Investors Service </w:t>
      </w:r>
    </w:p>
    <w:p w:rsidR="00DC0E51" w:rsidRPr="00DC0E51" w:rsidRDefault="00DC0E51" w:rsidP="00DC0E51">
      <w:pPr>
        <w:pStyle w:val="Default"/>
        <w:rPr>
          <w:rFonts w:ascii="Times New Roman" w:hAnsi="Times New Roman" w:cs="Times New Roman"/>
        </w:rPr>
      </w:pPr>
      <w:r w:rsidRPr="00DC0E51">
        <w:rPr>
          <w:rFonts w:ascii="Times New Roman" w:hAnsi="Times New Roman" w:cs="Times New Roman"/>
        </w:rPr>
        <w:t xml:space="preserve">• Standard and </w:t>
      </w:r>
      <w:proofErr w:type="gramStart"/>
      <w:r w:rsidRPr="00DC0E51">
        <w:rPr>
          <w:rFonts w:ascii="Times New Roman" w:hAnsi="Times New Roman" w:cs="Times New Roman"/>
        </w:rPr>
        <w:t>Poor’s</w:t>
      </w:r>
      <w:proofErr w:type="gramEnd"/>
      <w:r w:rsidRPr="00DC0E51">
        <w:rPr>
          <w:rFonts w:ascii="Times New Roman" w:hAnsi="Times New Roman" w:cs="Times New Roman"/>
        </w:rPr>
        <w:t xml:space="preserve"> (S&amp;P) </w:t>
      </w:r>
    </w:p>
    <w:p w:rsidR="00DC0E51" w:rsidRPr="00DC0E51" w:rsidRDefault="00DC0E51" w:rsidP="00DC0E51">
      <w:pPr>
        <w:pStyle w:val="Default"/>
        <w:rPr>
          <w:rFonts w:ascii="Times New Roman" w:hAnsi="Times New Roman" w:cs="Times New Roman"/>
        </w:rPr>
      </w:pPr>
      <w:r w:rsidRPr="00DC0E51">
        <w:rPr>
          <w:rFonts w:ascii="Times New Roman" w:hAnsi="Times New Roman" w:cs="Times New Roman"/>
        </w:rPr>
        <w:t xml:space="preserve">• Fitch Rating Services </w:t>
      </w:r>
    </w:p>
    <w:p w:rsidR="00DC0E51" w:rsidRPr="00DC0E51" w:rsidRDefault="00DC0E51" w:rsidP="00DC0E51">
      <w:pPr>
        <w:pStyle w:val="Default"/>
        <w:rPr>
          <w:rFonts w:ascii="Times New Roman" w:hAnsi="Times New Roman" w:cs="Times New Roman"/>
        </w:rPr>
      </w:pPr>
    </w:p>
    <w:p w:rsidR="00DC0E51" w:rsidRPr="00DC0E51" w:rsidRDefault="00DC0E51" w:rsidP="00DC0E51">
      <w:pPr>
        <w:pStyle w:val="Default"/>
        <w:rPr>
          <w:rFonts w:ascii="Times New Roman" w:hAnsi="Times New Roman" w:cs="Times New Roman"/>
        </w:rPr>
      </w:pPr>
      <w:r w:rsidRPr="00DC0E51">
        <w:rPr>
          <w:rFonts w:ascii="Times New Roman" w:hAnsi="Times New Roman" w:cs="Times New Roman"/>
        </w:rPr>
        <w:t xml:space="preserve">Each bank will be responsible for assigning eligible External Credit Assessment Institutions (ECAIs)’ assessments to the risk weights available under the standardized risk weighting framework, i.e. deciding which assessment categories correspond to which risk weights. The mapping process should be objective and should result in a risk weight assignment consistent with that of the level of credit risk reflected in the tables above. It should cover the full spectrum of risk weights. The following table provides guidance as to how such a mapping process may be conducted: </w:t>
      </w:r>
    </w:p>
    <w:p w:rsidR="00DC0E51" w:rsidRPr="00DC0E51" w:rsidRDefault="00DC0E51" w:rsidP="00DC0E51">
      <w:pPr>
        <w:pStyle w:val="Default"/>
        <w:rPr>
          <w:rFonts w:ascii="Times New Roman" w:hAnsi="Times New Roman" w:cs="Times New Roman"/>
          <w:color w:val="auto"/>
        </w:rPr>
      </w:pPr>
      <w:r w:rsidRPr="00DC0E51">
        <w:rPr>
          <w:rFonts w:ascii="Times New Roman" w:hAnsi="Times New Roman" w:cs="Times New Roman"/>
          <w:noProof/>
        </w:rPr>
        <w:lastRenderedPageBreak/>
        <w:drawing>
          <wp:inline distT="0" distB="0" distL="0" distR="0" wp14:anchorId="12A2FC28" wp14:editId="16AE0593">
            <wp:extent cx="4685714" cy="466666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5714" cy="4666667"/>
                    </a:xfrm>
                    <a:prstGeom prst="rect">
                      <a:avLst/>
                    </a:prstGeom>
                  </pic:spPr>
                </pic:pic>
              </a:graphicData>
            </a:graphic>
          </wp:inline>
        </w:drawing>
      </w:r>
    </w:p>
    <w:p w:rsidR="00DC0E51" w:rsidRPr="00DC0E51" w:rsidRDefault="00DC0E51" w:rsidP="00DC0E51">
      <w:pPr>
        <w:pStyle w:val="Default"/>
        <w:pageBreakBefore/>
        <w:rPr>
          <w:rFonts w:ascii="Times New Roman" w:hAnsi="Times New Roman" w:cs="Times New Roman"/>
          <w:color w:val="2D74B6"/>
        </w:rPr>
      </w:pPr>
      <w:r w:rsidRPr="00DC0E51">
        <w:rPr>
          <w:rFonts w:ascii="Times New Roman" w:hAnsi="Times New Roman" w:cs="Times New Roman"/>
          <w:color w:val="2D74B6"/>
        </w:rPr>
        <w:lastRenderedPageBreak/>
        <w:t>R</w:t>
      </w:r>
      <w:r w:rsidRPr="00DC0E51">
        <w:rPr>
          <w:rFonts w:ascii="Times New Roman" w:hAnsi="Times New Roman" w:cs="Times New Roman"/>
          <w:color w:val="2D74B6"/>
        </w:rPr>
        <w:t xml:space="preserve">ules: </w:t>
      </w:r>
    </w:p>
    <w:p w:rsidR="00DC0E51" w:rsidRPr="00DC0E51" w:rsidRDefault="00DC0E51" w:rsidP="00DC0E51">
      <w:pPr>
        <w:pStyle w:val="Default"/>
        <w:rPr>
          <w:rFonts w:ascii="Times New Roman" w:hAnsi="Times New Roman" w:cs="Times New Roman"/>
        </w:rPr>
      </w:pPr>
      <w:r w:rsidRPr="00DC0E51">
        <w:rPr>
          <w:rFonts w:ascii="Times New Roman" w:hAnsi="Times New Roman" w:cs="Times New Roman"/>
        </w:rPr>
        <w:t xml:space="preserve">• If there is only one assessment by an ECAI chosen by a bank for a particular claim, that assessment should be used to determine the risk weight of the claim. </w:t>
      </w:r>
    </w:p>
    <w:p w:rsidR="00DC0E51" w:rsidRPr="00DC0E51" w:rsidRDefault="00DC0E51" w:rsidP="00DC0E51">
      <w:pPr>
        <w:pStyle w:val="Default"/>
        <w:rPr>
          <w:rFonts w:ascii="Times New Roman" w:hAnsi="Times New Roman" w:cs="Times New Roman"/>
        </w:rPr>
      </w:pPr>
      <w:r w:rsidRPr="00DC0E51">
        <w:rPr>
          <w:rFonts w:ascii="Times New Roman" w:hAnsi="Times New Roman" w:cs="Times New Roman"/>
        </w:rPr>
        <w:t>• If there are two assessments by ECAIs chosen by a bank which ma</w:t>
      </w:r>
      <w:r w:rsidRPr="00DC0E51">
        <w:rPr>
          <w:rFonts w:ascii="Times New Roman" w:hAnsi="Times New Roman" w:cs="Times New Roman"/>
        </w:rPr>
        <w:t xml:space="preserve">p into different risk weights, </w:t>
      </w:r>
      <w:r w:rsidRPr="00DC0E51">
        <w:rPr>
          <w:rFonts w:ascii="Times New Roman" w:hAnsi="Times New Roman" w:cs="Times New Roman"/>
        </w:rPr>
        <w:t xml:space="preserve">the higher risk weight will be applied. </w:t>
      </w:r>
    </w:p>
    <w:p w:rsidR="00DC0E51" w:rsidRPr="00DC0E51" w:rsidRDefault="00DC0E51" w:rsidP="00DC0E51">
      <w:pPr>
        <w:pStyle w:val="Default"/>
        <w:rPr>
          <w:rFonts w:ascii="Times New Roman" w:hAnsi="Times New Roman" w:cs="Times New Roman"/>
        </w:rPr>
      </w:pPr>
      <w:r w:rsidRPr="00DC0E51">
        <w:rPr>
          <w:rFonts w:ascii="Times New Roman" w:hAnsi="Times New Roman" w:cs="Times New Roman"/>
        </w:rPr>
        <w:t>• If there are three or more assessments with different risk weights, the assessment</w:t>
      </w:r>
      <w:r w:rsidRPr="00DC0E51">
        <w:rPr>
          <w:rFonts w:ascii="Times New Roman" w:hAnsi="Times New Roman" w:cs="Times New Roman"/>
        </w:rPr>
        <w:t xml:space="preserve">s </w:t>
      </w:r>
      <w:r w:rsidRPr="00DC0E51">
        <w:rPr>
          <w:rFonts w:ascii="Times New Roman" w:hAnsi="Times New Roman" w:cs="Times New Roman"/>
        </w:rPr>
        <w:t xml:space="preserve">corresponding to the two lowest risk weights should be referred to and the higher of those two risk weights will be applied. </w:t>
      </w:r>
    </w:p>
    <w:p w:rsidR="00DC0E51" w:rsidRPr="00DC0E51" w:rsidRDefault="00DC0E51" w:rsidP="00DC0E51">
      <w:pPr>
        <w:pStyle w:val="Default"/>
        <w:rPr>
          <w:rFonts w:ascii="Times New Roman" w:hAnsi="Times New Roman" w:cs="Times New Roman"/>
        </w:rPr>
      </w:pPr>
      <w:r w:rsidRPr="00DC0E51">
        <w:rPr>
          <w:rFonts w:ascii="Times New Roman" w:hAnsi="Times New Roman" w:cs="Times New Roman"/>
        </w:rPr>
        <w:t xml:space="preserve">• For the instrument issued by US or Canadian government, if there is no external rating available, default the grade to 'AAA'. </w:t>
      </w:r>
    </w:p>
    <w:p w:rsidR="00DC0E51" w:rsidRPr="00DC0E51" w:rsidRDefault="00DC0E51" w:rsidP="00DC0E51">
      <w:pPr>
        <w:pStyle w:val="Default"/>
        <w:rPr>
          <w:rFonts w:ascii="Times New Roman" w:hAnsi="Times New Roman" w:cs="Times New Roman"/>
        </w:rPr>
      </w:pPr>
      <w:r w:rsidRPr="00DC0E51">
        <w:rPr>
          <w:rFonts w:ascii="Times New Roman" w:hAnsi="Times New Roman" w:cs="Times New Roman"/>
        </w:rPr>
        <w:t xml:space="preserve">• For the instrument issued by other foreign government, if there is no external rating available, default the grade to ‘A'. </w:t>
      </w:r>
    </w:p>
    <w:p w:rsidR="00DC0E51" w:rsidRPr="00DC0E51" w:rsidRDefault="00DC0E51" w:rsidP="00DC0E51">
      <w:pPr>
        <w:pStyle w:val="Default"/>
        <w:rPr>
          <w:rFonts w:ascii="Times New Roman" w:hAnsi="Times New Roman" w:cs="Times New Roman"/>
          <w:color w:val="2D74B6"/>
        </w:rPr>
      </w:pPr>
      <w:r w:rsidRPr="00DC0E51">
        <w:rPr>
          <w:rFonts w:ascii="Times New Roman" w:hAnsi="Times New Roman" w:cs="Times New Roman"/>
          <w:color w:val="2D74B6"/>
        </w:rPr>
        <w:t xml:space="preserve">Objectives </w:t>
      </w:r>
    </w:p>
    <w:p w:rsidR="00DC0E51" w:rsidRPr="00DC0E51" w:rsidRDefault="00DC0E51" w:rsidP="00DC0E51">
      <w:pPr>
        <w:pStyle w:val="Default"/>
        <w:rPr>
          <w:rFonts w:ascii="Times New Roman" w:hAnsi="Times New Roman" w:cs="Times New Roman"/>
        </w:rPr>
      </w:pPr>
      <w:r w:rsidRPr="00DC0E51">
        <w:rPr>
          <w:rFonts w:ascii="Times New Roman" w:hAnsi="Times New Roman" w:cs="Times New Roman"/>
        </w:rPr>
        <w:t>For each security issuer, derive the "standardized risk weighting</w:t>
      </w:r>
      <w:r w:rsidRPr="00DC0E51">
        <w:rPr>
          <w:rFonts w:ascii="Times New Roman" w:hAnsi="Times New Roman" w:cs="Times New Roman"/>
        </w:rPr>
        <w:t xml:space="preserve">" from the ratings provided by </w:t>
      </w:r>
      <w:r w:rsidRPr="00DC0E51">
        <w:rPr>
          <w:rFonts w:ascii="Times New Roman" w:hAnsi="Times New Roman" w:cs="Times New Roman"/>
        </w:rPr>
        <w:t xml:space="preserve">ECAIs, based on OSFI's specific rules. </w:t>
      </w:r>
    </w:p>
    <w:p w:rsidR="00DC0E51" w:rsidRPr="00DC0E51" w:rsidRDefault="00DC0E51" w:rsidP="00DC0E51">
      <w:pPr>
        <w:pStyle w:val="Default"/>
        <w:rPr>
          <w:rFonts w:ascii="Times New Roman" w:hAnsi="Times New Roman" w:cs="Times New Roman"/>
          <w:color w:val="2D74B6"/>
        </w:rPr>
      </w:pPr>
      <w:r w:rsidRPr="00DC0E51">
        <w:rPr>
          <w:rFonts w:ascii="Times New Roman" w:hAnsi="Times New Roman" w:cs="Times New Roman"/>
          <w:color w:val="2D74B6"/>
        </w:rPr>
        <w:t xml:space="preserve">Inputs </w:t>
      </w:r>
    </w:p>
    <w:p w:rsidR="00DC0E51" w:rsidRPr="00DC0E51" w:rsidRDefault="00DC0E51" w:rsidP="00DC0E51">
      <w:pPr>
        <w:pStyle w:val="Default"/>
        <w:rPr>
          <w:rFonts w:ascii="Times New Roman" w:hAnsi="Times New Roman" w:cs="Times New Roman"/>
        </w:rPr>
      </w:pPr>
      <w:r w:rsidRPr="00DC0E51">
        <w:rPr>
          <w:rFonts w:ascii="Times New Roman" w:hAnsi="Times New Roman" w:cs="Times New Roman"/>
        </w:rPr>
        <w:t xml:space="preserve">The inputs provided are: </w:t>
      </w:r>
    </w:p>
    <w:p w:rsidR="00DC0E51" w:rsidRPr="00DC0E51" w:rsidRDefault="00DC0E51" w:rsidP="00DC0E51">
      <w:pPr>
        <w:pStyle w:val="Default"/>
        <w:rPr>
          <w:rFonts w:ascii="Times New Roman" w:hAnsi="Times New Roman" w:cs="Times New Roman"/>
        </w:rPr>
      </w:pPr>
      <w:r w:rsidRPr="00DC0E51">
        <w:rPr>
          <w:rFonts w:ascii="Segoe UI Symbol" w:hAnsi="Segoe UI Symbol" w:cs="Segoe UI Symbol"/>
        </w:rPr>
        <w:t>✓</w:t>
      </w:r>
      <w:r w:rsidRPr="00DC0E51">
        <w:rPr>
          <w:rFonts w:ascii="Times New Roman" w:hAnsi="Times New Roman" w:cs="Times New Roman"/>
        </w:rPr>
        <w:t xml:space="preserve"> All the fixed income securities that the </w:t>
      </w:r>
      <w:r w:rsidRPr="00DC0E51">
        <w:rPr>
          <w:rFonts w:ascii="Times New Roman" w:hAnsi="Times New Roman" w:cs="Times New Roman"/>
        </w:rPr>
        <w:t xml:space="preserve">bank is holding as of Jan 2020. </w:t>
      </w:r>
      <w:r w:rsidRPr="00DC0E51">
        <w:rPr>
          <w:rFonts w:ascii="Times New Roman" w:hAnsi="Times New Roman" w:cs="Times New Roman"/>
        </w:rPr>
        <w:t xml:space="preserve">("bond_jan_2020.csv") </w:t>
      </w:r>
    </w:p>
    <w:p w:rsidR="00DC0E51" w:rsidRPr="00DC0E51" w:rsidRDefault="00DC0E51" w:rsidP="00DC0E51">
      <w:pPr>
        <w:pStyle w:val="Default"/>
        <w:rPr>
          <w:rFonts w:ascii="Times New Roman" w:hAnsi="Times New Roman" w:cs="Times New Roman"/>
        </w:rPr>
      </w:pPr>
      <w:r w:rsidRPr="00DC0E51">
        <w:rPr>
          <w:rFonts w:ascii="Segoe UI Symbol" w:hAnsi="Segoe UI Symbol" w:cs="Segoe UI Symbol"/>
        </w:rPr>
        <w:t>✓</w:t>
      </w:r>
      <w:r w:rsidRPr="00DC0E51">
        <w:rPr>
          <w:rFonts w:ascii="Times New Roman" w:hAnsi="Times New Roman" w:cs="Times New Roman"/>
        </w:rPr>
        <w:t xml:space="preserve"> </w:t>
      </w:r>
      <w:proofErr w:type="gramStart"/>
      <w:r w:rsidRPr="00DC0E51">
        <w:rPr>
          <w:rFonts w:ascii="Times New Roman" w:hAnsi="Times New Roman" w:cs="Times New Roman"/>
        </w:rPr>
        <w:t>Mapping</w:t>
      </w:r>
      <w:proofErr w:type="gramEnd"/>
      <w:r w:rsidRPr="00DC0E51">
        <w:rPr>
          <w:rFonts w:ascii="Times New Roman" w:hAnsi="Times New Roman" w:cs="Times New Roman"/>
        </w:rPr>
        <w:t xml:space="preserve"> table from external rating to internal rating. (“lt_rating_to_ig.csv”) </w:t>
      </w:r>
    </w:p>
    <w:p w:rsidR="00DC0E51" w:rsidRPr="00DC0E51" w:rsidRDefault="00DC0E51" w:rsidP="00DC0E51">
      <w:pPr>
        <w:pStyle w:val="Default"/>
        <w:rPr>
          <w:rFonts w:ascii="Times New Roman" w:hAnsi="Times New Roman" w:cs="Times New Roman"/>
        </w:rPr>
      </w:pPr>
      <w:r w:rsidRPr="00DC0E51">
        <w:rPr>
          <w:rFonts w:ascii="Segoe UI Symbol" w:hAnsi="Segoe UI Symbol" w:cs="Segoe UI Symbol"/>
        </w:rPr>
        <w:t>✓</w:t>
      </w:r>
      <w:r w:rsidRPr="00DC0E51">
        <w:rPr>
          <w:rFonts w:ascii="Times New Roman" w:hAnsi="Times New Roman" w:cs="Times New Roman"/>
        </w:rPr>
        <w:t xml:space="preserve"> </w:t>
      </w:r>
      <w:proofErr w:type="gramStart"/>
      <w:r w:rsidRPr="00DC0E51">
        <w:rPr>
          <w:rFonts w:ascii="Times New Roman" w:hAnsi="Times New Roman" w:cs="Times New Roman"/>
        </w:rPr>
        <w:t>Mapping</w:t>
      </w:r>
      <w:proofErr w:type="gramEnd"/>
      <w:r w:rsidRPr="00DC0E51">
        <w:rPr>
          <w:rFonts w:ascii="Times New Roman" w:hAnsi="Times New Roman" w:cs="Times New Roman"/>
        </w:rPr>
        <w:t xml:space="preserve"> table from internal rating to grade. (“ig_to_rating.csv”) </w:t>
      </w:r>
    </w:p>
    <w:p w:rsidR="00DC0E51" w:rsidRPr="00DC0E51" w:rsidRDefault="00DC0E51" w:rsidP="00DC0E51">
      <w:pPr>
        <w:pStyle w:val="Default"/>
        <w:rPr>
          <w:rFonts w:ascii="Times New Roman" w:hAnsi="Times New Roman" w:cs="Times New Roman"/>
        </w:rPr>
      </w:pPr>
      <w:r w:rsidRPr="00DC0E51">
        <w:rPr>
          <w:rFonts w:ascii="Times New Roman" w:hAnsi="Times New Roman" w:cs="Times New Roman"/>
        </w:rPr>
        <w:t xml:space="preserve">Note: item #2 and #3 are derived from the above-mentioned OSFI's guidance. </w:t>
      </w:r>
    </w:p>
    <w:p w:rsidR="00DC0E51" w:rsidRPr="00DC0E51" w:rsidRDefault="00DC0E51" w:rsidP="00DC0E51">
      <w:pPr>
        <w:pStyle w:val="Default"/>
        <w:rPr>
          <w:rFonts w:ascii="Times New Roman" w:hAnsi="Times New Roman" w:cs="Times New Roman"/>
          <w:color w:val="2D74B6"/>
        </w:rPr>
      </w:pPr>
      <w:r w:rsidRPr="00DC0E51">
        <w:rPr>
          <w:rFonts w:ascii="Times New Roman" w:hAnsi="Times New Roman" w:cs="Times New Roman"/>
          <w:color w:val="2D74B6"/>
        </w:rPr>
        <w:t xml:space="preserve">Challenges </w:t>
      </w:r>
    </w:p>
    <w:p w:rsidR="00DC0E51" w:rsidRPr="00DC0E51" w:rsidRDefault="00DC0E51" w:rsidP="00DC0E51">
      <w:pPr>
        <w:pStyle w:val="Default"/>
        <w:rPr>
          <w:rFonts w:ascii="Times New Roman" w:hAnsi="Times New Roman" w:cs="Times New Roman"/>
        </w:rPr>
      </w:pPr>
      <w:r w:rsidRPr="00DC0E51">
        <w:rPr>
          <w:rFonts w:ascii="Times New Roman" w:hAnsi="Times New Roman" w:cs="Times New Roman"/>
        </w:rPr>
        <w:t xml:space="preserve">The challenges in this project include: </w:t>
      </w:r>
    </w:p>
    <w:p w:rsidR="00DC0E51" w:rsidRPr="00DC0E51" w:rsidRDefault="00DC0E51" w:rsidP="00DC0E51">
      <w:pPr>
        <w:pStyle w:val="Default"/>
        <w:rPr>
          <w:rFonts w:ascii="Times New Roman" w:hAnsi="Times New Roman" w:cs="Times New Roman"/>
        </w:rPr>
      </w:pPr>
      <w:r w:rsidRPr="00DC0E51">
        <w:rPr>
          <w:rFonts w:ascii="Segoe UI Symbol" w:hAnsi="Segoe UI Symbol" w:cs="Segoe UI Symbol"/>
        </w:rPr>
        <w:t>➢</w:t>
      </w:r>
      <w:r w:rsidRPr="00DC0E51">
        <w:rPr>
          <w:rFonts w:ascii="Times New Roman" w:hAnsi="Times New Roman" w:cs="Times New Roman"/>
        </w:rPr>
        <w:t xml:space="preserve"> </w:t>
      </w:r>
      <w:proofErr w:type="gramStart"/>
      <w:r w:rsidRPr="00DC0E51">
        <w:rPr>
          <w:rFonts w:ascii="Times New Roman" w:hAnsi="Times New Roman" w:cs="Times New Roman"/>
        </w:rPr>
        <w:t>There</w:t>
      </w:r>
      <w:proofErr w:type="gramEnd"/>
      <w:r w:rsidRPr="00DC0E51">
        <w:rPr>
          <w:rFonts w:ascii="Times New Roman" w:hAnsi="Times New Roman" w:cs="Times New Roman"/>
        </w:rPr>
        <w:t xml:space="preserve"> might be none, one, or multiple external ratings available for each instrument. </w:t>
      </w:r>
    </w:p>
    <w:p w:rsidR="00DC0E51" w:rsidRPr="00DC0E51" w:rsidRDefault="00DC0E51" w:rsidP="00DC0E51">
      <w:pPr>
        <w:pStyle w:val="Default"/>
        <w:rPr>
          <w:rFonts w:ascii="Times New Roman" w:hAnsi="Times New Roman" w:cs="Times New Roman"/>
        </w:rPr>
      </w:pPr>
      <w:r w:rsidRPr="00DC0E51">
        <w:rPr>
          <w:rFonts w:ascii="MS Mincho" w:hAnsi="MS Mincho" w:cs="MS Mincho"/>
        </w:rPr>
        <w:t>➢</w:t>
      </w:r>
      <w:r w:rsidRPr="00DC0E51">
        <w:rPr>
          <w:rFonts w:ascii="Times New Roman" w:hAnsi="Times New Roman" w:cs="Times New Roman"/>
        </w:rPr>
        <w:t xml:space="preserve"> While it's fairly easy to get the "highest" rating (or "lowest' risk weight), it's difficult to get the "second highest" rating. </w:t>
      </w:r>
    </w:p>
    <w:p w:rsidR="000048A1" w:rsidRPr="00DC0E51" w:rsidRDefault="00DC0E51" w:rsidP="00DC0E51">
      <w:pPr>
        <w:rPr>
          <w:rFonts w:ascii="Times New Roman" w:hAnsi="Times New Roman" w:cs="Times New Roman"/>
          <w:sz w:val="24"/>
          <w:szCs w:val="24"/>
        </w:rPr>
      </w:pPr>
      <w:r w:rsidRPr="00DC0E51">
        <w:rPr>
          <w:rFonts w:ascii="MS Mincho" w:hAnsi="MS Mincho" w:cs="MS Mincho"/>
          <w:sz w:val="24"/>
          <w:szCs w:val="24"/>
        </w:rPr>
        <w:t>➢</w:t>
      </w:r>
      <w:r w:rsidRPr="00DC0E51">
        <w:rPr>
          <w:rFonts w:ascii="Times New Roman" w:hAnsi="Times New Roman" w:cs="Times New Roman"/>
          <w:sz w:val="24"/>
          <w:szCs w:val="24"/>
        </w:rPr>
        <w:t xml:space="preserve"> Handle the instrument with no external ra</w:t>
      </w:r>
      <w:bookmarkStart w:id="0" w:name="_GoBack"/>
      <w:bookmarkEnd w:id="0"/>
      <w:r w:rsidRPr="00DC0E51">
        <w:rPr>
          <w:rFonts w:ascii="Times New Roman" w:hAnsi="Times New Roman" w:cs="Times New Roman"/>
          <w:sz w:val="24"/>
          <w:szCs w:val="24"/>
        </w:rPr>
        <w:t>ting available.</w:t>
      </w:r>
    </w:p>
    <w:sectPr w:rsidR="000048A1" w:rsidRPr="00DC0E5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05A4C61"/>
    <w:multiLevelType w:val="hybridMultilevel"/>
    <w:tmpl w:val="A190DB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59C333"/>
    <w:multiLevelType w:val="hybridMultilevel"/>
    <w:tmpl w:val="42D9F0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F90ADBC"/>
    <w:multiLevelType w:val="hybridMultilevel"/>
    <w:tmpl w:val="67AF47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DA8362D"/>
    <w:multiLevelType w:val="hybridMultilevel"/>
    <w:tmpl w:val="E1A7D4E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08925D1"/>
    <w:multiLevelType w:val="hybridMultilevel"/>
    <w:tmpl w:val="C54019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51"/>
    <w:rsid w:val="000048A1"/>
    <w:rsid w:val="00DC0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3006B-12A7-4418-92C7-1CD3E596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C0E51"/>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cp:revision>
  <dcterms:created xsi:type="dcterms:W3CDTF">2023-03-16T00:50:00Z</dcterms:created>
  <dcterms:modified xsi:type="dcterms:W3CDTF">2023-03-16T00:53:00Z</dcterms:modified>
</cp:coreProperties>
</file>