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  <w:b/>
          <w:bCs/>
          <w:color w:val="2D74B6"/>
        </w:rPr>
        <w:t xml:space="preserve">Case B: Bank of Canada Collateral and Pledging Report </w:t>
      </w:r>
    </w:p>
    <w:p w:rsidR="004B2574" w:rsidRDefault="004B2574" w:rsidP="004B2574">
      <w:pPr>
        <w:pStyle w:val="Default"/>
        <w:rPr>
          <w:rFonts w:ascii="Times New Roman" w:hAnsi="Times New Roman" w:cs="Times New Roman"/>
          <w:color w:val="2D74B6"/>
        </w:rPr>
      </w:pP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  <w:color w:val="2D74B6"/>
        </w:rPr>
      </w:pPr>
      <w:r w:rsidRPr="004B2574">
        <w:rPr>
          <w:rFonts w:ascii="Times New Roman" w:hAnsi="Times New Roman" w:cs="Times New Roman"/>
          <w:color w:val="2D74B6"/>
        </w:rPr>
        <w:t xml:space="preserve">Background Information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>The purpose of this report is to provide the Bank of Canada wi</w:t>
      </w:r>
      <w:r w:rsidRPr="004B2574">
        <w:rPr>
          <w:rFonts w:ascii="Times New Roman" w:hAnsi="Times New Roman" w:cs="Times New Roman"/>
        </w:rPr>
        <w:t xml:space="preserve">th data on collateral pledging </w:t>
      </w:r>
      <w:r w:rsidRPr="004B2574">
        <w:rPr>
          <w:rFonts w:ascii="Times New Roman" w:hAnsi="Times New Roman" w:cs="Times New Roman"/>
        </w:rPr>
        <w:t>which is necessary for evaluating linkages between counterparties and activ</w:t>
      </w:r>
      <w:r w:rsidRPr="004B2574">
        <w:rPr>
          <w:rFonts w:ascii="Times New Roman" w:hAnsi="Times New Roman" w:cs="Times New Roman"/>
        </w:rPr>
        <w:t xml:space="preserve">ities, as well as </w:t>
      </w:r>
      <w:r w:rsidRPr="004B2574">
        <w:rPr>
          <w:rFonts w:ascii="Times New Roman" w:hAnsi="Times New Roman" w:cs="Times New Roman"/>
        </w:rPr>
        <w:t xml:space="preserve">determining the magnitude of transactions across various asset classes.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>This return is to be completed at the business day frequency</w:t>
      </w:r>
      <w:r w:rsidRPr="004B2574">
        <w:rPr>
          <w:rFonts w:ascii="Times New Roman" w:hAnsi="Times New Roman" w:cs="Times New Roman"/>
        </w:rPr>
        <w:t xml:space="preserve">. Business days are defined to </w:t>
      </w:r>
      <w:r w:rsidRPr="004B2574">
        <w:rPr>
          <w:rFonts w:ascii="Times New Roman" w:hAnsi="Times New Roman" w:cs="Times New Roman"/>
        </w:rPr>
        <w:t>include all weekdays except federal and provincial statutory holidays. T</w:t>
      </w:r>
      <w:r w:rsidRPr="004B2574">
        <w:rPr>
          <w:rFonts w:ascii="Times New Roman" w:hAnsi="Times New Roman" w:cs="Times New Roman"/>
        </w:rPr>
        <w:t xml:space="preserve">he attached template </w:t>
      </w:r>
      <w:r w:rsidRPr="004B2574">
        <w:rPr>
          <w:rFonts w:ascii="Times New Roman" w:hAnsi="Times New Roman" w:cs="Times New Roman"/>
        </w:rPr>
        <w:t>identifies a selection of rows and columns which are on</w:t>
      </w:r>
      <w:r w:rsidRPr="004B2574">
        <w:rPr>
          <w:rFonts w:ascii="Times New Roman" w:hAnsi="Times New Roman" w:cs="Times New Roman"/>
        </w:rPr>
        <w:t xml:space="preserve">ly required to be updated as of month </w:t>
      </w:r>
      <w:r w:rsidRPr="004B2574">
        <w:rPr>
          <w:rFonts w:ascii="Times New Roman" w:hAnsi="Times New Roman" w:cs="Times New Roman"/>
        </w:rPr>
        <w:t>end. Values are required to be reported in thes</w:t>
      </w:r>
      <w:r w:rsidRPr="004B2574">
        <w:rPr>
          <w:rFonts w:ascii="Times New Roman" w:hAnsi="Times New Roman" w:cs="Times New Roman"/>
        </w:rPr>
        <w:t xml:space="preserve">e cells for every business day; however, previous </w:t>
      </w:r>
      <w:r w:rsidRPr="004B2574">
        <w:rPr>
          <w:rFonts w:ascii="Times New Roman" w:hAnsi="Times New Roman" w:cs="Times New Roman"/>
        </w:rPr>
        <w:t xml:space="preserve">values can be carried forward until month end is reached.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 xml:space="preserve">The template for this return has been provided in “objectives” section.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 xml:space="preserve">[Definition for asset types]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 xml:space="preserve">Level 1 Asset: Government Bond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 xml:space="preserve">Level 2 Asset: Non-financial corporate bond/equity, with credit rating between A and AAA. </w:t>
      </w:r>
    </w:p>
    <w:p w:rsid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 xml:space="preserve">Level 3 Asset: Financial corporate bond/equity, or non-financial corporate bond/equity with credit rating under A.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  <w:color w:val="2D74B6"/>
        </w:rPr>
      </w:pPr>
      <w:r w:rsidRPr="004B2574">
        <w:rPr>
          <w:rFonts w:ascii="Times New Roman" w:hAnsi="Times New Roman" w:cs="Times New Roman"/>
          <w:color w:val="2D74B6"/>
        </w:rPr>
        <w:t xml:space="preserve">Objectives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 xml:space="preserve">Fill in the report template as requested, based on Bank of Canada's rules.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  <w:noProof/>
        </w:rPr>
        <w:drawing>
          <wp:inline distT="0" distB="0" distL="0" distR="0" wp14:anchorId="5D4539C0" wp14:editId="01E408BB">
            <wp:extent cx="5274310" cy="2200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  <w:color w:val="2D74B6"/>
        </w:rPr>
      </w:pPr>
      <w:r w:rsidRPr="004B2574">
        <w:rPr>
          <w:rFonts w:ascii="Times New Roman" w:hAnsi="Times New Roman" w:cs="Times New Roman"/>
          <w:color w:val="2D74B6"/>
        </w:rPr>
        <w:t xml:space="preserve">Inputs </w:t>
      </w:r>
    </w:p>
    <w:p w:rsidR="004B2574" w:rsidRPr="004B2574" w:rsidRDefault="004B2574" w:rsidP="004B2574">
      <w:pPr>
        <w:pStyle w:val="Default"/>
        <w:rPr>
          <w:rFonts w:ascii="Times New Roman" w:hAnsi="Times New Roman" w:cs="Times New Roman"/>
        </w:rPr>
      </w:pPr>
      <w:r w:rsidRPr="004B2574">
        <w:rPr>
          <w:rFonts w:ascii="Times New Roman" w:hAnsi="Times New Roman" w:cs="Times New Roman"/>
        </w:rPr>
        <w:t xml:space="preserve">The inputs provided are: </w:t>
      </w:r>
    </w:p>
    <w:p w:rsidR="004B2574" w:rsidRPr="004B2574" w:rsidRDefault="004B2574" w:rsidP="004B2574">
      <w:pPr>
        <w:pStyle w:val="Default"/>
        <w:rPr>
          <w:rFonts w:ascii="Times New Roman" w:eastAsia="微软雅黑" w:hAnsi="Times New Roman" w:cs="Times New Roman"/>
        </w:rPr>
      </w:pPr>
      <w:r>
        <w:rPr>
          <w:rFonts w:ascii="Times New Roman" w:eastAsia="Yu Gothic" w:hAnsi="Times New Roman" w:cs="Times New Roman"/>
        </w:rPr>
        <w:t xml:space="preserve">1) </w:t>
      </w:r>
      <w:r w:rsidRPr="004B2574">
        <w:rPr>
          <w:rFonts w:ascii="Times New Roman" w:eastAsia="Yu Gothic" w:hAnsi="Times New Roman" w:cs="Times New Roman"/>
        </w:rPr>
        <w:t xml:space="preserve">Collateral transactions as of Jul 2020. (“col_trans.csv") </w:t>
      </w:r>
    </w:p>
    <w:p w:rsidR="004B2574" w:rsidRPr="004B2574" w:rsidRDefault="004B2574" w:rsidP="004B2574">
      <w:pPr>
        <w:autoSpaceDE w:val="0"/>
        <w:autoSpaceDN w:val="0"/>
        <w:adjustRightInd w:val="0"/>
        <w:jc w:val="left"/>
        <w:rPr>
          <w:rFonts w:ascii="Times New Roman" w:eastAsia="Yu Goth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Yu Gothic" w:hAnsi="Times New Roman" w:cs="Times New Roman"/>
          <w:color w:val="000000"/>
          <w:kern w:val="0"/>
          <w:sz w:val="24"/>
          <w:szCs w:val="24"/>
        </w:rPr>
        <w:lastRenderedPageBreak/>
        <w:t xml:space="preserve">2) </w:t>
      </w:r>
      <w:r w:rsidR="00902915">
        <w:rPr>
          <w:rFonts w:ascii="Times New Roman" w:eastAsia="Yu Gothic" w:hAnsi="Times New Roman" w:cs="Times New Roman"/>
          <w:color w:val="000000"/>
          <w:kern w:val="0"/>
          <w:sz w:val="24"/>
          <w:szCs w:val="24"/>
        </w:rPr>
        <w:t>Security instrument details. (“</w:t>
      </w:r>
      <w:bookmarkStart w:id="0" w:name="_GoBack"/>
      <w:bookmarkEnd w:id="0"/>
      <w:r w:rsidRPr="004B2574">
        <w:rPr>
          <w:rFonts w:ascii="Times New Roman" w:eastAsia="Yu Gothic" w:hAnsi="Times New Roman" w:cs="Times New Roman"/>
          <w:color w:val="000000"/>
          <w:kern w:val="0"/>
          <w:sz w:val="24"/>
          <w:szCs w:val="24"/>
        </w:rPr>
        <w:t xml:space="preserve">sec.csv") </w:t>
      </w:r>
    </w:p>
    <w:p w:rsidR="0036367B" w:rsidRPr="004B2574" w:rsidRDefault="004B2574" w:rsidP="004B2574">
      <w:pPr>
        <w:autoSpaceDE w:val="0"/>
        <w:autoSpaceDN w:val="0"/>
        <w:adjustRightInd w:val="0"/>
        <w:jc w:val="left"/>
        <w:rPr>
          <w:rFonts w:ascii="Times New Roman" w:eastAsia="Yu Gothic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Yu Gothic" w:hAnsi="Times New Roman" w:cs="Times New Roman"/>
          <w:sz w:val="24"/>
          <w:szCs w:val="24"/>
        </w:rPr>
        <w:t xml:space="preserve">3) </w:t>
      </w:r>
      <w:r w:rsidRPr="004B2574">
        <w:rPr>
          <w:rFonts w:ascii="Times New Roman" w:eastAsia="Yu Gothic" w:hAnsi="Times New Roman" w:cs="Times New Roman"/>
          <w:sz w:val="24"/>
          <w:szCs w:val="24"/>
        </w:rPr>
        <w:t>Counterparty details. ("customer.csv")</w:t>
      </w:r>
    </w:p>
    <w:sectPr w:rsidR="0036367B" w:rsidRPr="004B25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574"/>
    <w:rsid w:val="0036367B"/>
    <w:rsid w:val="004B2574"/>
    <w:rsid w:val="0090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67CC2-94E1-47C1-B53D-B8A14214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257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2023-03-16T00:20:00Z</dcterms:created>
  <dcterms:modified xsi:type="dcterms:W3CDTF">2023-03-16T00:26:00Z</dcterms:modified>
</cp:coreProperties>
</file>