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1F6FB2"/>
          <w:sz w:val="48"/>
          <w:szCs w:val="48"/>
        </w:rPr>
        <w:t xml:space="preserve">先学后付 · 网课超市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项目建设完整方案（合规重构版）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结构定性：机构为卖方/签约方/开票方并自担风险，平台为撮合·技术·获客中介</w:t>
      </w:r>
    </w:p>
    <w:p>
      <w:pPr>
        <w:spacing w:after="400"/>
        <w:jc w:val="center"/>
      </w:pPr>
      <w:r>
        <w:rPr>
          <w:color w:val="888888"/>
          <w:sz w:val="18"/>
          <w:szCs w:val="18"/>
        </w:rPr>
        <w:t xml:space="preserve">商业模式 · 四端系统 · 拉新裂变 · 学习激励 · 支付通道 · 合规风控 · 税务</w:t>
      </w:r>
    </w:p>
    <w:p>
      <w:pPr>
        <w:pBdr>
          <w:bottom w:val="single" w:color="1F6FB2" w:sz="6" w:space="1"/>
        </w:pBdr>
      </w:pPr>
    </w:p>
    <w:p>
      <w:pPr>
        <w:spacing w:after="80"/>
      </w:pPr>
    </w:p>
    <w:p>
      <w:pPr>
        <w:pStyle w:val="Heading1"/>
      </w:pPr>
      <w:r>
        <w:t xml:space="preserve">零、结构定性与合规前提（全文基准）</w:t>
      </w:r>
    </w:p>
    <w:p>
      <w:pPr>
        <w:spacing w:after="120"/>
      </w:pPr>
      <w:r>
        <w:t xml:space="preserve">本方案与早期版本的根本差异在于交易主体的归属。请开发与运营团队把以下五条作为所有功能设计的硬约束，任何模块设计若与之冲突，以本节为准。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要素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基准设定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卖方 / 签约方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课程机构。分期销售合同由学员与课程机构直接签署，平台不作为合同当事人。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开票方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课程机构向学员开具全额课程发票；平台仅向机构开具技术服务/获客服务费发票。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资金流向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学员每期款项直接进入课程机构（或机构为商户主体的收单账户），平台不归集、不沉淀学员资金。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风险承担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延期与坏账由课程机构自行承担。平台不垫资、不设资金池、不计提风险准备金、不共担坏账。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平台角色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撮合 + 技术系统 + 获客渠道。收入来源仅为向机构收取的服务费，与是否放贷无关。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6FB2" w:sz="18"/>
              <w:bottom w:val="single" w:color="CCCCCC" w:sz="1"/>
              <w:right w:val="single" w:color="CCCCCC" w:sz="1"/>
            </w:tcBorders>
            <w:shd w:fill="E8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z w:val="20"/>
                <w:szCs w:val="20"/>
              </w:rPr>
              <w:t xml:space="preserve">为什么这条结构能成立（与第三方放贷的区别）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卖方把自己的课程分期卖给自己的学员，属于自营商品/服务的赊销（消费分期），不涉及向他人放款，也不存在套现环节；销售提成是正常的渠道营销费用。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关键在于：分期的当事人必须自始至终是机构本身。一旦平台变回签约方、开票方、垫资方或坏账兜底方中的任何一个，性质就回到“第三方提供消费信贷”，触发牌照与监管问题。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5651D" w:sz="18"/>
              <w:bottom w:val="single" w:color="CCCCCC" w:sz="1"/>
              <w:right w:val="single" w:color="CCCCCC" w:sz="1"/>
            </w:tcBorders>
            <w:shd w:fill="FDF2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 xml:space="preserve">仍需正视的两点（已在第九节落为设计要求）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 结构干净 ≠ 没有消费者保护风险。教育分期历史上的爆雷集中在“地推话术推年轻人签长期分期、课程价值不匹配、最终还不上”。本方案通过定价上限、冷静期无条件退课、催收方式约束等设计主动降低该风险。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 本文档不构成法律意见。正式上线前，务必由熟悉金融与教育培训监管的中国执业律师对合同、资金路径、收单资质逐项核验。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一、商业模式总览</w:t>
      </w:r>
    </w:p>
    <w:p>
      <w:pPr>
        <w:spacing w:after="120"/>
      </w:pPr>
      <w:r>
        <w:t xml:space="preserve">平台聚合多家课程机构，为其提供线上课程超市、获客地推与技术系统。学员在平台浏览并选课后，与所选机构签约，按机构提供的“先学后付”方案分期支付学费；机构按约定向平台支付服务费。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核心要素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课程定价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示例：6000 元/课程，分 6 期，每月 1000 元（定价与分期方案由机构设定，平台设上限，见第九节）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付款触发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每期课程内容交付/解锁后，由机构（或机构为商户的收单通道）发起当期代扣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平台收入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向机构收取技术服务费 + 获客服务费（可按 GMV 比例或固定费率），与学员还款利息无关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分期与坏账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分期由机构提供，延期与坏账由机构自担；平台不垫资、不兜底、不设资金池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准入模式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邀请制：通过业务员二维码入口注册；硬性拦截 18 岁以下用户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课程访问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 1 周完成主学内容，6 个月持续复习权益（含答疑服务），由机构承诺并交付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合规红线 — 始终守住：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分期销售合同的甲方是机构，发票由机构开具，资金直接归集到机构。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每期扣款必须发生在对应课程内容交付之后，不得提前归集资金。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平台不得垫资给机构后再向学员催还——这会使平台实质构成信贷。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 个月内须有持续可核查的服务交付：答疑记录、内容解锁记录、学习打卡记录。</w:t>
      </w:r>
    </w:p>
    <w:p>
      <w:pPr>
        <w:spacing w:after="80"/>
      </w:pPr>
    </w:p>
    <w:p>
      <w:pPr>
        <w:pStyle w:val="Heading1"/>
      </w:pPr>
      <w:r>
        <w:t xml:space="preserve">二、四端系统建设方案</w:t>
      </w:r>
    </w:p>
    <w:p>
      <w:pPr>
        <w:pStyle w:val="Heading2"/>
      </w:pPr>
      <w:r>
        <w:t xml:space="preserve">2.1 学员端（微信小程序为主）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注册路径：扫描业务员专属二维码 → 手机号注册 → 实名认证（身份证 + 公安部核验接口）→ 自动拦截 18 岁以下用户。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首页：课程分类、热门推荐、搜索。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课程详情：机构介绍、课程大纲、师资、分期方案展示、学员评价；明确标注“签约及付款对象为 XX 机构”。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下单签约：电子合同由学员与机构直接签署（法大大/e签宝），合同抬头与开票主体均为机构；同时进行支付授权（多通道并行）。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冷静期与退课：下单后设置无条件退课冷静期（建议 7 天，见第九节），期内退课全额退、不扣费。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学习中心：按期解锁课时内容、视频播放（云 VOD）、完成打卡获得学习激励。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答疑模块：提交问题 / 查看老师回复 / 服务记录。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我的订单：分期进度、下期扣款时间、激励余额、签约机构信息、机构发票下载。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还款记录：每期扣款详情、逾期提醒、重试入口（收款方显示为机构）。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拉新奖励：邀请好友入驻，好友成功完成第一期还款后自动发放现金奖励（单级，见第三节）。</w:t>
      </w:r>
    </w:p>
    <w:p>
      <w:pPr>
        <w:pStyle w:val="Heading2"/>
      </w:pPr>
      <w:r>
        <w:t xml:space="preserve">2.2 机构端（商户后台，Web 端）—— 卖方与债权方控制台</w:t>
      </w:r>
    </w:p>
    <w:p>
      <w:pPr>
        <w:spacing w:after="120"/>
      </w:pPr>
      <w:r>
        <w:rPr>
          <w:sz w:val="22"/>
          <w:szCs w:val="22"/>
        </w:rPr>
        <w:t xml:space="preserve">机构端是本方案的核心，因为机构才是分期销售与债权的主体。该端必须让机构真正“掌控并承担”交易。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课程管理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新增/编辑/删除课程，上传介绍、大纲、师资、视频源文件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分期方案设置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由机构自行设定期数、每期金额（受平台定价上限约束）；合同模板以机构为甲方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合同与发票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查看/管理与学员签署的分期合同；按期或一次性向学员开具课程发票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订单与扣款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本机构全量学员订单、分期状态、退课申请；发起/查看代扣（机构为收款方）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逾期与催收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逾期订单清单及催收决策由机构作出；平台提供提醒工具，但催收主体是机构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答疑管理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接收学员提问，老师回复，系统自动留存服务记录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结算报表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向平台应付服务费、累计结算、对账单导出</w:t>
            </w:r>
          </w:p>
        </w:tc>
      </w:tr>
    </w:tbl>
    <w:p>
      <w:pPr>
        <w:pStyle w:val="Heading2"/>
      </w:pPr>
      <w:r>
        <w:t xml:space="preserve">2.3 业务员端（小程序内嵌轻应用）—— 平台获客渠道</w:t>
      </w:r>
    </w:p>
    <w:p>
      <w:pPr>
        <w:spacing w:after="120"/>
      </w:pPr>
      <w:r>
        <w:rPr>
          <w:sz w:val="22"/>
          <w:szCs w:val="22"/>
        </w:rPr>
        <w:t xml:space="preserve">业务员是平台的获客/营销渠道（正式员工或经纪人协议），其提成是平台支付的营销服务费，与“放贷”无关；催收主体仍是机构。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专属二维码：绑定业务员 ID + 业务组 ID，永久有效，可在后台禁用。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我的学员：名下学员列表、订单状态、履约进度。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提成看板：已结算 / 待结算提成，按混合模式自动计算（见第四节）。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拉新跟进：名下拉新奖励发放记录。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学员服务跟进：可向名下学员发送还款日提醒等服务性触达；强催收由机构在机构端执行，业务员不代行机构债权。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申请成为业务员：用户填写申请 → 客服标准化审核 → 签署协议 → 激活。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归属规则：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用户通过 A 业务员二维码注册，归属关系永久锁定，不随设备/号码变更漂移。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用户升级为业务员后，存量用户归属不变，新带客才归其名下。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业务员自购订单不计提成，防止刷单套利。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业务员离职后禁用其二维码，存量用户归属保留，不转移。</w:t>
      </w:r>
    </w:p>
    <w:p>
      <w:pPr>
        <w:pStyle w:val="Heading2"/>
      </w:pPr>
      <w:r>
        <w:t xml:space="preserve">2.4 后台管理系统（平台运营中枢，Web 端）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① 机构管理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机构入驻审核：营业执照、办学/经营资质核验、收单资质核验。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服务费配置：每个机构/每门课程可单独设置服务费率，支持阶梯。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履约保障金：作为机构对“持续交付服务”的履约担保（非坏账准备金）。机构退出或停止交付时用于保障存量学员权益，不用于向学员放款或兜底机构债务。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② 代扣与逾期工具（提供给机构使用）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代扣通道编排、失败重试策略、模板消息提醒等，作为 SaaS 工具开放给机构；扣款指令以机构为收款方。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③ 数据报表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GMV 趋势、成单率、分期回收率（机构口径）、退课率。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各业务组/业务员排行榜、获客成本、拉新转化率。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各机构/课程销售排行、履约率对比、答疑响应时长、打卡完成率、满意度评分。</w:t>
      </w:r>
    </w:p>
    <w:p>
      <w:pPr>
        <w:spacing w:after="80"/>
      </w:pPr>
    </w:p>
    <w:p>
      <w:pPr>
        <w:pStyle w:val="Heading1"/>
      </w:pPr>
      <w:r>
        <w:t xml:space="preserve">三、学员拉新裂变机制</w:t>
      </w:r>
    </w:p>
    <w:p>
      <w:pPr>
        <w:spacing w:after="120"/>
      </w:pPr>
      <w:r>
        <w:t xml:space="preserve">学员拉新与业务员渠道各自独立运作：学员的拉新奖励直接到账，不影响业务员提成。被邀请用户仍归属带客业务员名下。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流程节点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学员生成邀请链接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学员小程序内生成专属邀请链接/二维码，建议带课程卡片展示吸引力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好友扫码入驻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好友通过邀请链接注册，系统记录邀请人 ID，并将好友归属至带客业务员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奖励发放节点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好友完成第一期还款后，系统自动向邀请人发放现金奖励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奖励金额建议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每成功拉新 1 人奖励 50~200 元，可按客单价分档设置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防刷单机制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好友须完成实名认证 + 第一期还款才触发奖励；同一学员名下多账号不重复计奖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层级限制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拉新奖励仅覆盖直接邀请关系，不设多级，防止传销认定风险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奖励税务处理：拉新奖励属偶然所得，平台依法代扣 20% 个税后付款；单笔不超过 800 元的小额奖励按现行规定处理。建议在协议中明确奖励为税后金额，避免纠纷。</w:t>
      </w:r>
    </w:p>
    <w:p>
      <w:pPr>
        <w:spacing w:after="80"/>
      </w:pPr>
    </w:p>
    <w:p>
      <w:pPr>
        <w:pStyle w:val="Heading1"/>
      </w:pPr>
      <w:r>
        <w:t xml:space="preserve">四、业务员提成层次布局</w:t>
      </w:r>
    </w:p>
    <w:p>
      <w:pPr>
        <w:pStyle w:val="Heading2"/>
      </w:pPr>
      <w:r>
        <w:t xml:space="preserve">4.1 混合提成模式（成单部分 + 随期履约部分）</w:t>
      </w:r>
    </w:p>
    <w:p>
      <w:pPr>
        <w:spacing w:after="120"/>
      </w:pPr>
      <w:r>
        <w:t xml:space="preserve">订单成单时发放一部分提成，剩余部分随学员每期还款成功后逐期发放。两部分占比可在后台按业务组单独配置。提成本质是平台支付的获客服务费。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18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提成组成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发放时机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占比示例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成单部分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订单成立后 1~3 工作日内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建议 30%~40%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激励尽快推进成单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随期履约部分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学员每期还款成功后发放当期份额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建议 60%~70%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绑定持续服务跟进，降低逾期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示例：6000 元课程，业务员总提成 8%（480 元）。成单部分 35% 发 168 元；剩余 312 元分 6 期随款发放，每期约 52 元。</w:t>
      </w:r>
    </w:p>
    <w:p>
      <w:pPr>
        <w:pStyle w:val="Heading2"/>
      </w:pPr>
      <w:r>
        <w:t xml:space="preserve">4.2 逾期对应的提成调整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学员逾期未还时，暂缓发放当期随期履约提成，直至学员还款。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连续逾期超过 60 天，可按后台配置比例扣回已发成单部分。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说明：此机制目的是反映业务员所带客户的“质量与履约”，属营销绩效考核；实际催收仍由机构作为债权方执行，业务员仅做服务性提醒。</w:t>
      </w:r>
    </w:p>
    <w:p>
      <w:pPr>
        <w:pStyle w:val="Heading2"/>
      </w:pPr>
      <w:r>
        <w:t xml:space="preserve">4.3 提成发放与税务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情形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单次提成 &gt; 500 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业务员在合规平台代开发票（综合税率约 3%~5%），收票后 3 工作日打款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单次提成 ≤ 500 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平台代扣 20% 个税（偶发劳务报酬），税后直接打款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年累计开票 &gt; 50 万元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提醒业务员注册个体工商户纳税，平台提前预警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五、打卡学习与学习激励</w:t>
      </w:r>
    </w:p>
    <w:p>
      <w:pPr>
        <w:spacing w:after="120"/>
      </w:pPr>
      <w:r>
        <w:t xml:space="preserve">学员完成每课时扫脸打卡验证，可获得机构提供的“学习激励”，按机构促销政策抵减后续期款。该激励由机构作为卖方的促销/奖学金安排提供，平台仅做系统记录。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设计要素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完成当课时扫脸打卡验证（人脸比对 + 时间戳记录）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激励形式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机构提供的学习激励额度，仅可抵减本订单后续期款，不可提现、不可转让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抵减规则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示例：下期应扣 1000 元 − 打卡激励 100 元 = 900 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扫脸验证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与注册身份证人脸比对，防代学，每次打卡留存比对记录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退课影响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退课后未使用激励作废，已抵减部分按机构退课规则处理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履约意义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扫脸记录是服务交付与学员主动学习的客观证据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6FB2" w:sz="18"/>
              <w:bottom w:val="single" w:color="CCCCCC" w:sz="1"/>
              <w:right w:val="single" w:color="CCCCCC" w:sz="1"/>
            </w:tcBorders>
            <w:shd w:fill="E8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z w:val="20"/>
                <w:szCs w:val="20"/>
              </w:rPr>
              <w:t xml:space="preserve">定性说明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该激励应作为机构（卖方）面向学员的促销/奖学金对外披露，金额、规则由机构设定并在合同/课程页明示，避免被理解为平台向借款人返现的安排。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六、课程内容交付与服务记录</w:t>
      </w:r>
    </w:p>
    <w:p>
      <w:pPr>
        <w:pStyle w:val="Heading2"/>
      </w:pPr>
      <w:r>
        <w:t xml:space="preserve">6.1 视频托管方案</w:t>
      </w:r>
    </w:p>
    <w:p>
      <w:pPr>
        <w:spacing w:after="120"/>
      </w:pPr>
      <w:r>
        <w:t xml:space="preserve">推荐使用阿里云视频点播（VOD）或腾讯云点播，不要用通用网盘。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80"/>
        <w:gridCol w:w="38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对比项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通用网盘（不推荐）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云视频点播 VOD（推荐）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防盗链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 可被直接提取下载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内置防盗链、视频加密、防截屏水印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稳定性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 SLA，可能限速/封链接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CDN 加速，稳定可靠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播放功能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无进度记录/清晰度切换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播放器 SDK，支持进度记录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看似免费，风险高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 0.12 元/GB/月，每学员每课约 0.5~1 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合规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商业化调用属违规使用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正规商业用途，合规</w:t>
            </w:r>
          </w:p>
        </w:tc>
      </w:tr>
    </w:tbl>
    <w:p>
      <w:pPr>
        <w:pStyle w:val="Heading2"/>
      </w:pPr>
      <w:r>
        <w:t xml:space="preserve">6.2 服务记录（履约证明）</w:t>
      </w:r>
    </w:p>
    <w:p>
      <w:pPr>
        <w:spacing w:after="120"/>
      </w:pPr>
      <w:r>
        <w:t xml:space="preserve">以下记录是机构履约交付的客观证据，对机构对账、退课争议处理与服务质量管理都有价值：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学员提问 + 老师回复：记录时间、老师 ID、内容摘要、学员是否回应。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老师主动触达：每月至少一次，未回应也记录“已发送、学员未回复”。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扫脸打卡记录：每次打卡留存人脸比对时间戳。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内容解锁记录：每期解锁的系统日志，与扣款一一对应（先交付后扣款）。</w:t>
      </w:r>
    </w:p>
    <w:p>
      <w:pPr>
        <w:spacing w:after="80"/>
      </w:pPr>
    </w:p>
    <w:p>
      <w:pPr>
        <w:pStyle w:val="Heading1"/>
      </w:pPr>
      <w:r>
        <w:t xml:space="preserve">七、支付通道选型</w:t>
      </w:r>
    </w:p>
    <w:p>
      <w:pPr>
        <w:spacing w:after="120"/>
      </w:pPr>
      <w:r>
        <w:t xml:space="preserve">所有通道中，收款方/商户主体均为课程机构，平台作为技术服务方对接，不作为资金归集方。</w:t>
      </w:r>
    </w:p>
    <w:p>
      <w:pPr>
        <w:pStyle w:val="Heading2"/>
      </w:pPr>
      <w:r>
        <w:t xml:space="preserve">7.1 三方代扣方案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费率（参考）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结算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优势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易宝支付（推荐）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0.2%~0.3%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教育行业嵌入深，接口成熟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通联支付（推荐）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0.1%~0.2%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T+1/D+0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成本最低，教育案例多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微信支付分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0.1%~0.6%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小程序天然集成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支付宝芝麻信用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0.1%~0.6%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覆盖面广，信用分机制辅助回款</w:t>
            </w:r>
          </w:p>
        </w:tc>
      </w:tr>
    </w:tbl>
    <w:p>
      <w:pPr>
        <w:pStyle w:val="Heading2"/>
      </w:pPr>
      <w:r>
        <w:t xml:space="preserve">7.2 先享后付（中期目标）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微信先学后付 / 支付宝先享后付均为邀请/白名单制，教培商户通常需一定营收或品牌规模方可申请。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路径：积累 6~12 个月真实 GMV 与履约数据，经支付服务商 ISV 渠道引荐申请白名单。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用户端门槛：芝麻分 550 以上 / 微信支付分 600 以上，达标用户已绑卡，扣款成功率有保障。</w:t>
      </w:r>
    </w:p>
    <w:p>
      <w:pPr>
        <w:pStyle w:val="Heading2"/>
      </w:pPr>
      <w:r>
        <w:t xml:space="preserve">7.3 代扣失败处理流程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注册时引导学员同时授权：银行卡代扣 + 支付宝芝麻信用 + 微信支付分。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扣款优先级：微信支付分 → 支付宝芝麻信用 → 银行卡代扣。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失败后 D+1、D+3、D+7 各自动重试一次，每次重试前推送提醒。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全部失败后进入机构逾期流程，由机构作出催收决策，业务员协助服务性提醒。</w:t>
      </w:r>
    </w:p>
    <w:p>
      <w:pPr>
        <w:spacing w:after="80"/>
      </w:pPr>
    </w:p>
    <w:p>
      <w:pPr>
        <w:pStyle w:val="Heading1"/>
      </w:pPr>
      <w:r>
        <w:t xml:space="preserve">八、发票流转与税务处理</w:t>
      </w:r>
    </w:p>
    <w:p>
      <w:pPr>
        <w:pStyle w:val="Heading2"/>
      </w:pPr>
      <w:r>
        <w:t xml:space="preserve">8.1 三流一致结构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主体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发票流向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机构 → 学员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机构作为合同签署方与收款方，向学员开具全额课程销售发票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平台 → 机构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平台向机构开具技术服务费/获客服务费发票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关键约束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平台不向学员开课程发票；平台收入仅为服务费，计税基础为服务费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此结构下，合同流、资金流、发票流三者在“机构—学员”和“平台—机构”两段各自闭合一致，平台计税口径清晰、税负仅就服务费产生。</w:t>
      </w:r>
    </w:p>
    <w:p>
      <w:pPr>
        <w:pStyle w:val="Heading2"/>
      </w:pPr>
      <w:r>
        <w:t xml:space="preserve">8.2 平台主体建议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平台主体可按业务量评估登记为小规模纳税人（简易征收）或一般纳税人，正式运营前由税务师确认。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机构侧的课程收入、进项等由机构自行处理，平台不代机构归集或开票。</w:t>
      </w:r>
    </w:p>
    <w:p>
      <w:pPr>
        <w:spacing w:after="80"/>
      </w:pPr>
    </w:p>
    <w:p>
      <w:pPr>
        <w:pStyle w:val="Heading1"/>
      </w:pPr>
      <w:r>
        <w:t xml:space="preserve">九、合规风险管理清单（含消费者保护设计）</w:t>
      </w:r>
    </w:p>
    <w:p>
      <w:pPr>
        <w:spacing w:after="120"/>
      </w:pPr>
      <w:r>
        <w:rPr>
          <w:b/>
          <w:bCs/>
        </w:rPr>
        <w:t xml:space="preserve">结构层面已管控：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信贷定性：机构自营课程的分期销售（赊销），平台不放贷、不垫资、不设资金池、不兜底坏账。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签约/开票/收款主体：均为机构；平台仅向机构收服务费。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未成年人：实名认证强制拦截 18 岁以下用户。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个人信息保护：业务员端仅展示脱敏信息，身份证号/银行卡号不可见；按个保法最小必要原则采集与留存。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渠道合规：提成仅与本人直接促成订单挂钩，不设多级分佣；拉新奖励仅覆盖直接邀请，不设多级，防止传销认定。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业务员身份：以正式员工或经纪人协议落地，非合伙人加盟模式。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消费者保护设计（主动降低教育分期类风险）：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课程定价上限：平台对单课客单价与总分期金额设上限，避免高价长周期债务。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无条件冷静期：下单后设 7 天无条件退课窗口，期内全额退、不计违约。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信息充分披露：课程页与合同明确展示总价、期数、每期金额、退课规则、签约对象为机构。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催收方式约束：仅限合规时段、合规话术的提醒；禁止骚扰、威胁、向无关第三人催收。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机构准入与抽检：核验办学/经营资质，定期抽检课程质量与履约，劣质机构下线。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机构退出保障：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机构入驻协议约定：退出需提前 90 天通知，保障存量学员服务至合同期满；违约扣减履约保障金。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5651D" w:sz="18"/>
              <w:bottom w:val="single" w:color="CCCCCC" w:sz="1"/>
              <w:right w:val="single" w:color="CCCCCC" w:sz="1"/>
            </w:tcBorders>
            <w:shd w:fill="FDF2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 xml:space="preserve">重要提示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本清单不构成法律意见。课程“分期销售/赊销”与“需持牌的消费信贷”之间的边界，以及收单资质、合同条款、资金路径的合规性，须由熟悉金融与教培监管的中国执业律师在上线前逐项核验确认。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十、技术选型建议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80"/>
        <w:gridCol w:w="38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推荐选型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前端小程序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微信小程序（主）+ H5（备用）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小程序更易集成先享后付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或 Java Spring Boot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取决于团队技术栈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+ Redis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业务数据 + 缓存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视频点播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阿里云 VOD 或腾讯 VOD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内置加密/防盗链/播放器 SDK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电子合同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法大大 或 e签宝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机构为甲方的分期合同，支持人脸核身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实名核验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公安部四要素核验接口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注册强制，未成年硬拦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消息通知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微信模板消息 + 短信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还款提醒、服务触达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支付通道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易宝/通联（初期）+ 微信/支付宝（中期）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机构为收款主体，多通道并行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十一、核心运营健康指标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60"/>
        <w:gridCol w:w="4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健康阈值（参考）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异常时动作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分期回收率（核心）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90%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低于 90% 排查机构准入与用户准入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代扣首次成功率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80%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低于 80% 优化多通道授权引导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逾期率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超 10% 触发提成调整与机构跟进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退课率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超 5% 排查课程质量与冷静期机制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答疑响应时长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24 小时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超时自动预警，转派其他老师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拉新转化率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20%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低于 20% 优化邀请卡片与奖励力度</w:t>
            </w:r>
          </w:p>
        </w:tc>
      </w:tr>
    </w:tbl>
    <w:p>
      <w:pPr>
        <w:spacing w:after="80"/>
      </w:pPr>
    </w:p>
    <w:p>
      <w:pPr>
        <w:spacing w:before="200"/>
        <w:jc w:val="center"/>
      </w:pPr>
      <w:r>
        <w:rPr>
          <w:color w:val="888888"/>
          <w:sz w:val="20"/>
          <w:szCs w:val="20"/>
        </w:rPr>
        <w:t xml:space="preserve">— 文档完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先学后付·网课超市 — 合规重构版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YaHei" w:cs="Microsoft YaHei" w:eastAsia="Microsoft YaHei" w:hAnsi="Microsoft YaHei"/>
      <w:b/>
      <w:bCs/>
      <w:color w:val="1F6FB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2026-05-30T15:19:55.577Z</dcterms:created>
  <dcterms:modified xsi:type="dcterms:W3CDTF">2026-05-30T15:19:55.577Z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