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Chapter 1 States of matter Key point list  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  </w:t>
      </w:r>
    </w:p>
    <w:p w14:paraId="6EF798A4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States of matter</w:t>
      </w:r>
    </w:p>
    <w:tbl>
      <w:tblPr>
        <w:tblStyle w:val="3"/>
        <w:tblW w:w="90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2130"/>
        <w:gridCol w:w="2131"/>
        <w:gridCol w:w="2423"/>
      </w:tblGrid>
      <w:tr w14:paraId="5CBE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456F5B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Features</w:t>
            </w:r>
          </w:p>
        </w:tc>
        <w:tc>
          <w:tcPr>
            <w:tcW w:w="2130" w:type="dxa"/>
            <w:vAlign w:val="center"/>
          </w:tcPr>
          <w:p w14:paraId="3B09AD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volume</w:t>
            </w:r>
          </w:p>
        </w:tc>
        <w:tc>
          <w:tcPr>
            <w:tcW w:w="2131" w:type="dxa"/>
            <w:vAlign w:val="center"/>
          </w:tcPr>
          <w:p w14:paraId="3B034F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fluidity</w:t>
            </w:r>
          </w:p>
        </w:tc>
        <w:tc>
          <w:tcPr>
            <w:tcW w:w="2423" w:type="dxa"/>
            <w:vAlign w:val="center"/>
          </w:tcPr>
          <w:p w14:paraId="543E19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shape</w:t>
            </w:r>
          </w:p>
        </w:tc>
      </w:tr>
      <w:tr w14:paraId="16F4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5E56B5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solid</w:t>
            </w:r>
          </w:p>
        </w:tc>
        <w:tc>
          <w:tcPr>
            <w:tcW w:w="2130" w:type="dxa"/>
            <w:vAlign w:val="center"/>
          </w:tcPr>
          <w:p w14:paraId="77D8BC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Fixed volume</w:t>
            </w:r>
          </w:p>
        </w:tc>
        <w:tc>
          <w:tcPr>
            <w:tcW w:w="2131" w:type="dxa"/>
            <w:vAlign w:val="center"/>
          </w:tcPr>
          <w:p w14:paraId="44ACE6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Do not flow</w:t>
            </w:r>
          </w:p>
        </w:tc>
        <w:tc>
          <w:tcPr>
            <w:tcW w:w="2423" w:type="dxa"/>
            <w:vAlign w:val="center"/>
          </w:tcPr>
          <w:p w14:paraId="7472A2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Keep its own shape</w:t>
            </w:r>
          </w:p>
        </w:tc>
      </w:tr>
      <w:tr w14:paraId="6326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7AD2D5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liquid</w:t>
            </w:r>
          </w:p>
        </w:tc>
        <w:tc>
          <w:tcPr>
            <w:tcW w:w="2130" w:type="dxa"/>
            <w:vAlign w:val="center"/>
          </w:tcPr>
          <w:p w14:paraId="76B896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Fixed volume</w:t>
            </w:r>
          </w:p>
        </w:tc>
        <w:tc>
          <w:tcPr>
            <w:tcW w:w="2131" w:type="dxa"/>
            <w:vAlign w:val="center"/>
          </w:tcPr>
          <w:p w14:paraId="51D0B8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Flow easily</w:t>
            </w:r>
          </w:p>
        </w:tc>
        <w:tc>
          <w:tcPr>
            <w:tcW w:w="2423" w:type="dxa"/>
            <w:vAlign w:val="center"/>
          </w:tcPr>
          <w:p w14:paraId="6677CF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Take the shape of container</w:t>
            </w:r>
          </w:p>
        </w:tc>
      </w:tr>
      <w:tr w14:paraId="3196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4E0646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gas</w:t>
            </w:r>
          </w:p>
        </w:tc>
        <w:tc>
          <w:tcPr>
            <w:tcW w:w="2130" w:type="dxa"/>
            <w:vAlign w:val="center"/>
          </w:tcPr>
          <w:p w14:paraId="357A5A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No fixed volume</w:t>
            </w:r>
          </w:p>
        </w:tc>
        <w:tc>
          <w:tcPr>
            <w:tcW w:w="2131" w:type="dxa"/>
            <w:vAlign w:val="center"/>
          </w:tcPr>
          <w:p w14:paraId="77AF81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Flow easily</w:t>
            </w:r>
          </w:p>
        </w:tc>
        <w:tc>
          <w:tcPr>
            <w:tcW w:w="2423" w:type="dxa"/>
            <w:vAlign w:val="center"/>
          </w:tcPr>
          <w:p w14:paraId="6C0328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Take the shape of container</w:t>
            </w:r>
          </w:p>
        </w:tc>
      </w:tr>
    </w:tbl>
    <w:p w14:paraId="2C403D7E">
      <w:pPr>
        <w:numPr>
          <w:ilvl w:val="0"/>
          <w:numId w:val="0"/>
        </w:numPr>
        <w:ind w:left="420" w:leftChars="0"/>
        <w:jc w:val="left"/>
        <w:rPr>
          <w:rFonts w:hint="default" w:ascii="Arial" w:hAnsi="Arial" w:cs="Arial"/>
          <w:b/>
          <w:bCs/>
          <w:sz w:val="24"/>
          <w:szCs w:val="32"/>
          <w:lang w:val="en-US" w:eastAsia="zh-CN"/>
        </w:rPr>
      </w:pPr>
    </w:p>
    <w:p w14:paraId="1220B01C"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Kinetic particle theory</w:t>
      </w:r>
    </w:p>
    <w:tbl>
      <w:tblPr>
        <w:tblStyle w:val="3"/>
        <w:tblW w:w="9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147"/>
        <w:gridCol w:w="2147"/>
        <w:gridCol w:w="2447"/>
      </w:tblGrid>
      <w:tr w14:paraId="4819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59DB6C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Features</w:t>
            </w:r>
          </w:p>
        </w:tc>
        <w:tc>
          <w:tcPr>
            <w:tcW w:w="2147" w:type="dxa"/>
            <w:vAlign w:val="center"/>
          </w:tcPr>
          <w:p w14:paraId="4A6821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arrangement</w:t>
            </w:r>
          </w:p>
        </w:tc>
        <w:tc>
          <w:tcPr>
            <w:tcW w:w="2147" w:type="dxa"/>
            <w:vAlign w:val="center"/>
          </w:tcPr>
          <w:p w14:paraId="13D2D7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distance</w:t>
            </w:r>
          </w:p>
        </w:tc>
        <w:tc>
          <w:tcPr>
            <w:tcW w:w="2447" w:type="dxa"/>
            <w:vAlign w:val="center"/>
          </w:tcPr>
          <w:p w14:paraId="0DD3FA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movement</w:t>
            </w:r>
          </w:p>
        </w:tc>
      </w:tr>
      <w:tr w14:paraId="5A7E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4077F2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solid</w:t>
            </w:r>
          </w:p>
        </w:tc>
        <w:tc>
          <w:tcPr>
            <w:tcW w:w="2147" w:type="dxa"/>
            <w:vAlign w:val="center"/>
          </w:tcPr>
          <w:p w14:paraId="7BD6D9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regular</w:t>
            </w:r>
          </w:p>
        </w:tc>
        <w:tc>
          <w:tcPr>
            <w:tcW w:w="2147" w:type="dxa"/>
            <w:vAlign w:val="center"/>
          </w:tcPr>
          <w:p w14:paraId="622090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Packed closely</w:t>
            </w:r>
          </w:p>
        </w:tc>
        <w:tc>
          <w:tcPr>
            <w:tcW w:w="2447" w:type="dxa"/>
            <w:vAlign w:val="center"/>
          </w:tcPr>
          <w:p w14:paraId="7DBAF7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Vibrate in the fixed position</w:t>
            </w:r>
          </w:p>
        </w:tc>
      </w:tr>
      <w:tr w14:paraId="5598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2F193C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liquid</w:t>
            </w:r>
          </w:p>
        </w:tc>
        <w:tc>
          <w:tcPr>
            <w:tcW w:w="2147" w:type="dxa"/>
            <w:vAlign w:val="center"/>
          </w:tcPr>
          <w:p w14:paraId="6B1F57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irregular</w:t>
            </w:r>
          </w:p>
        </w:tc>
        <w:tc>
          <w:tcPr>
            <w:tcW w:w="2147" w:type="dxa"/>
            <w:vAlign w:val="center"/>
          </w:tcPr>
          <w:p w14:paraId="1BFB7C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Packed closely</w:t>
            </w:r>
          </w:p>
        </w:tc>
        <w:tc>
          <w:tcPr>
            <w:tcW w:w="2447" w:type="dxa"/>
            <w:vAlign w:val="center"/>
          </w:tcPr>
          <w:p w14:paraId="6FA1AF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Move around past each other</w:t>
            </w:r>
          </w:p>
        </w:tc>
      </w:tr>
      <w:tr w14:paraId="6091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523B8B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gas</w:t>
            </w:r>
          </w:p>
        </w:tc>
        <w:tc>
          <w:tcPr>
            <w:tcW w:w="2147" w:type="dxa"/>
            <w:vAlign w:val="center"/>
          </w:tcPr>
          <w:p w14:paraId="081023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irregular</w:t>
            </w:r>
          </w:p>
        </w:tc>
        <w:tc>
          <w:tcPr>
            <w:tcW w:w="2147" w:type="dxa"/>
            <w:vAlign w:val="center"/>
          </w:tcPr>
          <w:p w14:paraId="654239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Far apart</w:t>
            </w:r>
          </w:p>
        </w:tc>
        <w:tc>
          <w:tcPr>
            <w:tcW w:w="2447" w:type="dxa"/>
            <w:vAlign w:val="center"/>
          </w:tcPr>
          <w:p w14:paraId="750EC5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Move randomly</w:t>
            </w:r>
          </w:p>
        </w:tc>
      </w:tr>
    </w:tbl>
    <w:p w14:paraId="6EC230FC">
      <w:pPr>
        <w:rPr>
          <w:rFonts w:hint="default"/>
          <w:lang w:val="en-US" w:eastAsia="zh-CN"/>
        </w:rPr>
      </w:pPr>
    </w:p>
    <w:p w14:paraId="36F2DAAA">
      <w:pPr>
        <w:rPr>
          <w:rFonts w:hint="eastAsia" w:ascii="Arial" w:hAnsi="Arial" w:cs="Arial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Arial" w:hAnsi="Arial" w:cs="Arial"/>
          <w:b/>
          <w:bCs/>
          <w:kern w:val="2"/>
          <w:sz w:val="22"/>
          <w:szCs w:val="28"/>
          <w:lang w:val="en-US" w:eastAsia="zh-CN" w:bidi="ar-SA"/>
        </w:rPr>
        <w:t>3</w:t>
      </w:r>
      <w:r>
        <w:rPr>
          <w:rFonts w:hint="default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  <w:t>)</w:t>
      </w:r>
      <w:r>
        <w:rPr>
          <w:rFonts w:hint="eastAsia" w:ascii="Arial" w:hAnsi="Arial" w:cs="Arial"/>
          <w:b/>
          <w:bCs/>
          <w:kern w:val="2"/>
          <w:sz w:val="22"/>
          <w:szCs w:val="28"/>
          <w:lang w:val="en-US" w:eastAsia="zh-CN" w:bidi="ar-SA"/>
        </w:rPr>
        <w:t xml:space="preserve"> Changes of states</w:t>
      </w:r>
    </w:p>
    <w:p w14:paraId="5BA15316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98395" cy="1931035"/>
            <wp:effectExtent l="0" t="0" r="1905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0368" t="20371" r="4039" b="15805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1931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BDD061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5EB5BCFE">
      <w:pPr>
        <w:numPr>
          <w:ilvl w:val="0"/>
          <w:numId w:val="0"/>
        </w:numPr>
        <w:ind w:left="425" w:leftChars="0" w:hanging="425" w:firstLineChars="0"/>
        <w:jc w:val="both"/>
        <w:rPr>
          <w:rFonts w:hint="eastAsia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Arial" w:hAnsi="Arial" w:cs="Arial"/>
          <w:b/>
          <w:bCs/>
          <w:kern w:val="2"/>
          <w:sz w:val="22"/>
          <w:szCs w:val="28"/>
          <w:lang w:val="en-US" w:eastAsia="zh-CN" w:bidi="ar-SA"/>
        </w:rPr>
        <w:t>4</w:t>
      </w:r>
      <w:r>
        <w:rPr>
          <w:rFonts w:hint="default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  <w:t>)</w:t>
      </w:r>
      <w:r>
        <w:rPr>
          <w:rFonts w:hint="eastAsia" w:ascii="Arial" w:hAnsi="Arial" w:cs="Arial"/>
          <w:b/>
          <w:bCs/>
          <w:kern w:val="2"/>
          <w:sz w:val="22"/>
          <w:szCs w:val="28"/>
          <w:lang w:val="en-US" w:eastAsia="zh-CN" w:bidi="ar-SA"/>
        </w:rPr>
        <w:t xml:space="preserve"> </w:t>
      </w:r>
      <w:r>
        <w:rPr>
          <w:rFonts w:hint="eastAsia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  <w:t>Diffusion</w:t>
      </w:r>
    </w:p>
    <w:p w14:paraId="30DEAFEB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Particles move from a region of 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>higher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 </w: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concentration towards a region </w:t>
      </w:r>
    </w:p>
    <w:p w14:paraId="31E089F4">
      <w:pPr>
        <w:numPr>
          <w:ilvl w:val="0"/>
          <w:numId w:val="0"/>
        </w:numPr>
        <w:ind w:left="221" w:hanging="221" w:hangingChars="100"/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of 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>lower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</w: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concentration, eventually, the concentration </w: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is</w: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 evenly spread. </w:t>
      </w:r>
    </w:p>
    <w:p w14:paraId="35699EDD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</w:p>
    <w:p w14:paraId="525B6B6F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Rate of diffusion is affected by:1.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temperature      </w: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 xml:space="preserve">   </w:t>
      </w:r>
    </w:p>
    <w:p w14:paraId="4C7B0C09">
      <w:pPr>
        <w:numPr>
          <w:ilvl w:val="0"/>
          <w:numId w:val="0"/>
        </w:numPr>
        <w:jc w:val="both"/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 xml:space="preserve">                              2.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mass of the gas particles   </w:t>
      </w:r>
    </w:p>
    <w:p w14:paraId="2CCE62D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32855A"/>
    <w:multiLevelType w:val="singleLevel"/>
    <w:tmpl w:val="8A32855A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2723F373"/>
    <w:multiLevelType w:val="singleLevel"/>
    <w:tmpl w:val="2723F373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D2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2025-06-11T07:59:02Z</dcterms:created>
  <dc:creator>丁应豪</dc:creator>
  <cp:lastModifiedBy>丁应豪</cp:lastModifiedBy>
  <dcterms:modified xsi:type="dcterms:W3CDTF">2025-06-11T08:25:21Z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23B38C4293B94E04A945267D58FF64A2_12</vt:lpwstr>
  </property>
</Properties>
</file>