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39965">
      <w:pPr>
        <w:pStyle w:val="8"/>
        <w:spacing w:line="360" w:lineRule="auto"/>
        <w:ind w:firstLine="2249" w:firstLineChars="800"/>
        <w:jc w:val="both"/>
        <w:rPr>
          <w:rFonts w:hint="eastAsia" w:eastAsia="宋体"/>
          <w:sz w:val="28"/>
          <w:szCs w:val="36"/>
        </w:rPr>
      </w:pPr>
      <w:r>
        <w:rPr>
          <w:rFonts w:eastAsia="宋体"/>
          <w:sz w:val="28"/>
          <w:szCs w:val="36"/>
        </w:rPr>
        <w:t xml:space="preserve">Chapter 1 </w:t>
      </w:r>
      <w:r>
        <w:rPr>
          <w:rFonts w:hint="eastAsia" w:eastAsia="宋体"/>
          <w:sz w:val="28"/>
          <w:szCs w:val="36"/>
        </w:rPr>
        <w:t>State of matter</w:t>
      </w:r>
    </w:p>
    <w:p w14:paraId="101CD27F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 diffusion扩散</w:t>
      </w:r>
    </w:p>
    <w:p w14:paraId="5ACE86CD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2. melting point 熔点</w:t>
      </w:r>
    </w:p>
    <w:p w14:paraId="38E374C4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3. boiling point 沸点</w:t>
      </w:r>
    </w:p>
    <w:p w14:paraId="1E6D5C8E">
      <w:pPr>
        <w:jc w:val="left"/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4. relative molecular mass相对分子质量</w:t>
      </w:r>
    </w:p>
    <w:p w14:paraId="1EC5CEE2">
      <w:pPr>
        <w:pStyle w:val="8"/>
        <w:spacing w:line="360" w:lineRule="auto"/>
        <w:ind w:firstLine="1968" w:firstLineChars="700"/>
        <w:rPr>
          <w:rFonts w:eastAsia="宋体"/>
          <w:sz w:val="24"/>
        </w:rPr>
      </w:pPr>
      <w:r>
        <w:rPr>
          <w:rFonts w:hint="eastAsia" w:eastAsia="宋体"/>
          <w:sz w:val="28"/>
          <w:szCs w:val="36"/>
        </w:rPr>
        <w:t>Chapter 2 Atoms and elements</w:t>
      </w:r>
    </w:p>
    <w:p w14:paraId="7CDC2BA4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6B79E1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relative atomic mass 相对原子质量</w:t>
      </w:r>
    </w:p>
    <w:p w14:paraId="23D468D3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Mass number</w:t>
      </w:r>
    </w:p>
    <w:p w14:paraId="1C763319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Proton number</w:t>
      </w:r>
    </w:p>
    <w:p w14:paraId="60B00A76">
      <w:pPr>
        <w:numPr>
          <w:ilvl w:val="0"/>
          <w:numId w:val="1"/>
        </w:num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Isotope</w:t>
      </w:r>
    </w:p>
    <w:p w14:paraId="012814B8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66580906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3 Atoms combining</w:t>
      </w:r>
    </w:p>
    <w:p w14:paraId="0CEC7790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 ionic bond 离子键</w:t>
      </w:r>
    </w:p>
    <w:p w14:paraId="5CC0F05D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 covalent bond 共价键</w:t>
      </w:r>
    </w:p>
    <w:p w14:paraId="343A72A0">
      <w:pPr>
        <w:jc w:val="left"/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3 metallic bond 金属键</w:t>
      </w:r>
    </w:p>
    <w:p w14:paraId="73EFD41C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 xml:space="preserve">Ionic bond: </w:t>
      </w:r>
    </w:p>
    <w:p w14:paraId="6EAEBB4F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 xml:space="preserve">a strong electrostatic attraction between ions of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2"/>
          <w:lang w:val="en-US" w:eastAsia="zh-CN"/>
        </w:rPr>
        <w:t>opposite charge</w:t>
      </w:r>
    </w:p>
    <w:p w14:paraId="21AD9B51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 xml:space="preserve">Covalent bond: </w:t>
      </w:r>
    </w:p>
    <w:p w14:paraId="2D0F0084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The strong force of electrostatic attraction between the nuclei and the share pairs of electron, when atoms share electrons with each other.</w:t>
      </w:r>
    </w:p>
    <w:p w14:paraId="6FD2881C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 xml:space="preserve">Metallic bond:  </w:t>
      </w:r>
    </w:p>
    <w:p w14:paraId="1EFF5334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 xml:space="preserve">electrostatic attraction between the positive metal ions and a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2"/>
          <w:lang w:val="en-US" w:eastAsia="zh-CN"/>
        </w:rPr>
        <w:t>'sea' of delocalised</w:t>
      </w: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 xml:space="preserve"> electrons.</w:t>
      </w:r>
    </w:p>
    <w:p w14:paraId="1A67308E">
      <w:pPr>
        <w:jc w:val="left"/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</w:pPr>
      <w:r>
        <w:rPr>
          <w:rFonts w:hint="eastAsia" w:ascii="霞鹜文楷等宽 Light" w:hAnsi="霞鹜文楷等宽 Light" w:eastAsia="霞鹜文楷等宽 Light" w:cs="霞鹜文楷等宽 Light"/>
          <w:b/>
          <w:bCs/>
          <w:sz w:val="24"/>
          <w:lang w:val="en-US" w:eastAsia="zh-CN"/>
        </w:rPr>
        <w:t>Molecular covalent structure：</w:t>
      </w:r>
    </w:p>
    <w:p w14:paraId="04F308B5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A molecular covalent structure consists of individual molecules held together by strong covalent bonds within the molecule, but with weak intermolecular forces</w:t>
      </w:r>
    </w:p>
    <w:p w14:paraId="64D8D3A1">
      <w:pPr>
        <w:jc w:val="left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分子共价结构由单个分子组成，分子内部通过强共价键结合，但分子之间通过较弱的分子间作用力相互连接。</w:t>
      </w:r>
    </w:p>
    <w:p w14:paraId="537ECA0C">
      <w:pPr>
        <w:jc w:val="center"/>
        <w:rPr>
          <w:rFonts w:hint="default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5 Using mole</w:t>
      </w:r>
    </w:p>
    <w:p w14:paraId="1413A7BC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98DDE6D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 Mole</w:t>
      </w:r>
    </w:p>
    <w:p w14:paraId="1676A8F0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 The Avogadro constant</w:t>
      </w:r>
    </w:p>
    <w:p w14:paraId="2DF3B202">
      <w:pPr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3 Molar gas volume</w:t>
      </w:r>
    </w:p>
    <w:p w14:paraId="393B4759">
      <w:pPr>
        <w:jc w:val="left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4 Empirical formula</w:t>
      </w:r>
    </w:p>
    <w:p w14:paraId="39179B5A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6704111A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6 Redox reaction</w:t>
      </w:r>
    </w:p>
    <w:p w14:paraId="165189A9">
      <w:pPr>
        <w:ind w:left="0" w:leftChars="0"/>
        <w:jc w:val="both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oxidation 氧化</w:t>
      </w:r>
    </w:p>
    <w:p w14:paraId="100907D3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reduction 还原</w:t>
      </w:r>
    </w:p>
    <w:p w14:paraId="35BF9865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oxidising agent 氧化物</w:t>
      </w:r>
    </w:p>
    <w:p w14:paraId="6697C5BB">
      <w:pPr>
        <w:ind w:left="0" w:leftChars="0"/>
        <w:jc w:val="both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reducing agent 还原物</w:t>
      </w:r>
    </w:p>
    <w:p w14:paraId="19011B10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8 Energy changes in reaction</w:t>
      </w:r>
    </w:p>
    <w:p w14:paraId="3A68080B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endothermic 吸热的</w:t>
      </w:r>
    </w:p>
    <w:p w14:paraId="2D6B8307">
      <w:pPr>
        <w:ind w:left="0" w:leftChars="0"/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exothermic 放热的</w:t>
      </w:r>
    </w:p>
    <w:p w14:paraId="4BDCEFB3">
      <w:pPr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activation energy(ea) 活化能</w:t>
      </w:r>
    </w:p>
    <w:p w14:paraId="0545BA54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9 The rate of reaction</w:t>
      </w:r>
    </w:p>
    <w:p w14:paraId="6402EEC5">
      <w:pPr>
        <w:jc w:val="both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Catalyst 催化剂</w:t>
      </w:r>
      <w:bookmarkStart w:id="0" w:name="_GoBack"/>
      <w:bookmarkEnd w:id="0"/>
    </w:p>
    <w:p w14:paraId="580C75CE">
      <w:pPr>
        <w:jc w:val="center"/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  <w:t>Chapter 10 Reversible reactions and equilibrium</w:t>
      </w:r>
    </w:p>
    <w:p w14:paraId="2A001C82">
      <w:pPr>
        <w:ind w:left="0" w:leftChars="0"/>
        <w:jc w:val="left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 Reversible reaction可逆反应</w:t>
      </w:r>
    </w:p>
    <w:p w14:paraId="56EE7951">
      <w:pPr>
        <w:jc w:val="both"/>
        <w:rPr>
          <w:rFonts w:hint="default" w:ascii="微软雅黑" w:hAnsi="微软雅黑" w:eastAsia="宋体" w:cs="Times New Roman"/>
          <w:b/>
          <w:bCs/>
          <w:color w:val="000000"/>
          <w:kern w:val="2"/>
          <w:sz w:val="28"/>
          <w:szCs w:val="36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2. equilibrium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霞鹜文楷等宽 Light">
    <w:panose1 w:val="02020409000000000000"/>
    <w:charset w:val="86"/>
    <w:family w:val="auto"/>
    <w:pitch w:val="default"/>
    <w:sig w:usb0="E00002FF" w:usb1="7BDFFFFF" w:usb2="04000016" w:usb3="0000A008" w:csb0="6014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E4A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EDA5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AA170"/>
    <w:multiLevelType w:val="singleLevel"/>
    <w:tmpl w:val="998AA1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B51966"/>
    <w:rsid w:val="7C9B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nhideWhenUsed/>
    <w:qFormat/>
    <w:uiPriority w:val="99"/>
    <w:pPr>
      <w:spacing w:after="120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71e7dc79-1ff7-45e8-997d-0ebda3762b91"/>
    <w:basedOn w:val="2"/>
    <w:next w:val="9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8"/>
    </w:rPr>
  </w:style>
  <w:style w:type="paragraph" w:customStyle="1" w:styleId="9">
    <w:name w:val="acbfdd8b-e11b-4d36-88ff-6049b138f862"/>
    <w:basedOn w:val="3"/>
    <w:qFormat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271</Words>
  <Characters>1066</Characters>
  <Lines>0</Lines>
  <Paragraphs>0</Paragraphs>
  <TotalTime>6</TotalTime>
  <ScaleCrop>false</ScaleCrop>
  <LinksUpToDate>false</LinksUpToDate>
  <CharactersWithSpaces>1215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2025-11-16T05:57:00Z</dcterms:created>
  <dc:creator>丁应豪</dc:creator>
  <cp:lastModifiedBy>丁应豪</cp:lastModifiedBy>
  <dcterms:modified xsi:type="dcterms:W3CDTF">2025-11-17T01:12:57Z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963AC465391A4FA38A41F94F20B8CF8D_12</vt:lpwstr>
  </property>
</Properties>
</file>