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2244"/>
          <w:sz w:val="48"/>
        </w:rPr>
        <w:t>WEBSITE BLUEPRINT &amp; DESIGN SYSTEM</w:t>
      </w:r>
    </w:p>
    <w:p>
      <w:pPr>
        <w:jc w:val="center"/>
      </w:pPr>
      <w:r>
        <w:rPr>
          <w:color w:val="245998"/>
          <w:sz w:val="24"/>
        </w:rPr>
        <w:t>Detailed Site Outline • Components • Buttons • Forms • UX • SEO</w:t>
      </w:r>
    </w:p>
    <w:p>
      <w:pPr>
        <w:jc w:val="center"/>
      </w:pPr>
      <w:r>
        <w:t>Version 2.0</w:t>
      </w:r>
    </w:p>
    <w:p>
      <w:r>
        <w:br w:type="page"/>
      </w:r>
    </w:p>
    <w:p>
      <w:pPr>
        <w:pStyle w:val="Heading1"/>
      </w:pPr>
      <w:r>
        <w:t>1. Purpose of This Blueprint</w:t>
      </w:r>
    </w:p>
    <w:p>
      <w:r>
        <w:t>This document is the working specification for the Right Away Lending website. It expands the high-level sitemap into detailed page sections, reusable components, button behavior, form requirements, visual rules, conversion paths, accessibility standards, SEO requirements, and development guidance.</w:t>
      </w:r>
    </w:p>
    <w:p>
      <w:pPr>
        <w:pStyle w:val="Heading1"/>
      </w:pPr>
      <w:r>
        <w:t>2. Approved Brand Foundation</w:t>
      </w:r>
    </w:p>
    <w:p>
      <w:r>
        <w:t>The current approved website direction uses the uploaded official logo and the premium navy-and-green website palette. The logo should be used as supplied and should not be redrawn or recolored without owner approval.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6fe799-472c-4e80-aa13-74c681186c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6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nt colors for butt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64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02244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556"/>
            <w:vAlign w:val="center"/>
            <w:shd w:fill="002244"/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2556"/>
            <w:vAlign w:val="center"/>
            <w:shd w:fill="002244"/>
          </w:tcPr>
          <w:p>
            <w:r/>
            <w:r>
              <w:rPr>
                <w:b/>
                <w:color w:val="FFFFFF"/>
                <w:sz w:val="18"/>
              </w:rPr>
              <w:t>Primary Use</w:t>
            </w:r>
          </w:p>
        </w:tc>
        <w:tc>
          <w:tcPr>
            <w:tcW w:type="dxa" w:w="2556"/>
            <w:vAlign w:val="center"/>
            <w:shd w:fill="002244"/>
          </w:tcPr>
          <w:p>
            <w:r/>
            <w:r>
              <w:rPr>
                <w:b/>
                <w:color w:val="FFFFFF"/>
                <w:sz w:val="18"/>
              </w:rPr>
              <w:t>Restrictions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Brand Navy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#002244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Header, footer, major headings, primary dark surfaces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Do not use for dense body text on dark backgrounds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Support Blue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#245998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Links, secondary actions, icons, informational accents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Use less frequently than navy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Action Green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#69BE28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Primary CTA, active states, selected controls, highlights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Reserve for actions; avoid large text blocks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Wolf Gray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#A5ACAF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Borders, separators, muted icons, disabled states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Not for small text on white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Ice White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#F8FAFC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Page backgrounds, alternating sections, card areas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Use true white for elevated cards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Charcoal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#1E293B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Body copy and high-contrast 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Default text color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Success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#22C55E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Successful submission and completion states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Status only—not a brand accent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Warning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#F59E0B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Warnings and attention states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Status only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color w:val="1E293B"/>
                <w:sz w:val="17"/>
              </w:rPr>
              <w:t>Error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#DC2626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Errors and validation messages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1E293B"/>
                <w:sz w:val="17"/>
              </w:rPr>
              <w:t>Status only</w:t>
            </w:r>
          </w:p>
        </w:tc>
      </w:tr>
    </w:tbl>
    <w:p>
      <w:pPr>
        <w:pStyle w:val="Heading1"/>
      </w:pPr>
      <w:r>
        <w:t>3. Site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 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Primary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Loan Programs</w:t>
      </w:r>
    </w:p>
    <w:p>
      <w:pPr>
        <w:pStyle w:val="ListBullet"/>
      </w:pPr>
      <w:r>
        <w:t>First-Time Buyers</w:t>
      </w:r>
    </w:p>
    <w:p>
      <w:pPr>
        <w:pStyle w:val="ListBullet"/>
      </w:pPr>
      <w:r>
        <w:t>Resources</w:t>
      </w:r>
    </w:p>
    <w:p>
      <w:pPr>
        <w:pStyle w:val="ListBullet"/>
      </w:pPr>
      <w:r>
        <w:t>About</w:t>
      </w:r>
    </w:p>
    <w:p>
      <w:pPr>
        <w:pStyle w:val="ListBullet"/>
      </w:pPr>
      <w:r>
        <w:t>Reviews</w:t>
      </w:r>
    </w:p>
    <w:p>
      <w:pPr>
        <w:pStyle w:val="ListBullet"/>
      </w:pPr>
      <w:r>
        <w:t>Contact</w:t>
      </w:r>
    </w:p>
    <w:p>
      <w:pPr>
        <w:pStyle w:val="Heading2"/>
      </w:pPr>
      <w:r>
        <w:t>Loan Programs</w:t>
      </w:r>
    </w:p>
    <w:p>
      <w:pPr>
        <w:pStyle w:val="ListBullet"/>
      </w:pPr>
      <w:r>
        <w:t>Conventional</w:t>
      </w:r>
    </w:p>
    <w:p>
      <w:pPr>
        <w:pStyle w:val="ListBullet"/>
      </w:pPr>
      <w:r>
        <w:t>FHA</w:t>
      </w:r>
    </w:p>
    <w:p>
      <w:pPr>
        <w:pStyle w:val="ListBullet"/>
      </w:pPr>
      <w:r>
        <w:t>VA</w:t>
      </w:r>
    </w:p>
    <w:p>
      <w:pPr>
        <w:pStyle w:val="ListBullet"/>
      </w:pPr>
      <w:r>
        <w:t>Jumbo</w:t>
      </w:r>
    </w:p>
    <w:p>
      <w:pPr>
        <w:pStyle w:val="ListBullet"/>
      </w:pPr>
      <w:r>
        <w:t>USDA</w:t>
      </w:r>
    </w:p>
    <w:p>
      <w:pPr>
        <w:pStyle w:val="ListBullet"/>
      </w:pPr>
      <w:r>
        <w:t>HELOC</w:t>
      </w:r>
    </w:p>
    <w:p>
      <w:pPr>
        <w:pStyle w:val="ListBullet"/>
      </w:pPr>
      <w:r>
        <w:t>Refinance</w:t>
      </w:r>
    </w:p>
    <w:p>
      <w:pPr>
        <w:pStyle w:val="ListBullet"/>
      </w:pPr>
      <w:r>
        <w:t>Investment Property</w:t>
      </w:r>
    </w:p>
    <w:p>
      <w:pPr>
        <w:pStyle w:val="ListBullet"/>
      </w:pPr>
      <w:r>
        <w:t>Down Payment Assistance</w:t>
      </w:r>
    </w:p>
    <w:p>
      <w:pPr>
        <w:pStyle w:val="Heading2"/>
      </w:pPr>
      <w:r>
        <w:t>Resources</w:t>
      </w:r>
    </w:p>
    <w:p>
      <w:pPr>
        <w:pStyle w:val="ListBullet"/>
      </w:pPr>
      <w:r>
        <w:t>Mortgage Calculator</w:t>
      </w:r>
    </w:p>
    <w:p>
      <w:pPr>
        <w:pStyle w:val="ListBullet"/>
      </w:pPr>
      <w:r>
        <w:t>Affordability Calculator</w:t>
      </w:r>
    </w:p>
    <w:p>
      <w:pPr>
        <w:pStyle w:val="ListBullet"/>
      </w:pPr>
      <w:r>
        <w:t>Homebuyer Guide</w:t>
      </w:r>
    </w:p>
    <w:p>
      <w:pPr>
        <w:pStyle w:val="ListBullet"/>
      </w:pPr>
      <w:r>
        <w:t>Document Checklist</w:t>
      </w:r>
    </w:p>
    <w:p>
      <w:pPr>
        <w:pStyle w:val="ListBullet"/>
      </w:pPr>
      <w:r>
        <w:t>FAQs</w:t>
      </w:r>
    </w:p>
    <w:p>
      <w:pPr>
        <w:pStyle w:val="ListBullet"/>
      </w:pPr>
      <w:r>
        <w:t>Knowledge Center</w:t>
      </w:r>
    </w:p>
    <w:p>
      <w:pPr>
        <w:pStyle w:val="Heading2"/>
      </w:pPr>
      <w:r>
        <w:t>Local SEO</w:t>
      </w:r>
    </w:p>
    <w:p>
      <w:pPr>
        <w:pStyle w:val="ListBullet"/>
      </w:pPr>
      <w:r>
        <w:t>Phoenix</w:t>
      </w:r>
    </w:p>
    <w:p>
      <w:pPr>
        <w:pStyle w:val="ListBullet"/>
      </w:pPr>
      <w:r>
        <w:t>Scottsdale</w:t>
      </w:r>
    </w:p>
    <w:p>
      <w:pPr>
        <w:pStyle w:val="ListBullet"/>
      </w:pPr>
      <w:r>
        <w:t>Mesa</w:t>
      </w:r>
    </w:p>
    <w:p>
      <w:pPr>
        <w:pStyle w:val="ListBullet"/>
      </w:pPr>
      <w:r>
        <w:t>Tempe</w:t>
      </w:r>
    </w:p>
    <w:p>
      <w:pPr>
        <w:pStyle w:val="ListBullet"/>
      </w:pPr>
      <w:r>
        <w:t>Chandler</w:t>
      </w:r>
    </w:p>
    <w:p>
      <w:pPr>
        <w:pStyle w:val="ListBullet"/>
      </w:pPr>
      <w:r>
        <w:t>Gilbert</w:t>
      </w:r>
    </w:p>
    <w:p>
      <w:pPr>
        <w:pStyle w:val="ListBullet"/>
      </w:pPr>
      <w:r>
        <w:t>Glendale and future service-area pages</w:t>
      </w:r>
    </w:p>
    <w:p>
      <w:pPr>
        <w:pStyle w:val="Heading1"/>
      </w:pPr>
      <w:r>
        <w:t>4. Button and Call-to-Action System</w:t>
      </w:r>
    </w:p>
    <w:p>
      <w:r>
        <w:t>Buttons must be consistent across every page. They should use sentence case, action-oriented language, a minimum 44-pixel touch target, visible keyboard focus, and clear hover/pressed/disabled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Button Type</w:t>
            </w:r>
          </w:p>
        </w:tc>
        <w:tc>
          <w:tcPr>
            <w:tcW w:type="dxa" w:w="1704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Visual Style</w:t>
            </w:r>
          </w:p>
        </w:tc>
        <w:tc>
          <w:tcPr>
            <w:tcW w:type="dxa" w:w="1704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Primary Labels</w:t>
            </w:r>
          </w:p>
        </w:tc>
        <w:tc>
          <w:tcPr>
            <w:tcW w:type="dxa" w:w="1704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1704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Behavior</w:t>
            </w:r>
          </w:p>
        </w:tc>
        <w:tc>
          <w:tcPr>
            <w:tcW w:type="dxa" w:w="1704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Accessibility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/>
                <w:color w:val="1E293B"/>
                <w:sz w:val="14"/>
              </w:rPr>
              <w:t>Primary CTA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Action Green background; white bold text; 12–14px radius; subtle shadow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Get Pre-Qualified; Start My Application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Hero, sticky header, final CTA, mobile bar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Hover darkens 8%; pressed reduces shadow; opens secure prequalification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Contrast ≥4.5:1; visible focus ring; aria-label when context is unclear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/>
                <w:color w:val="1E293B"/>
                <w:sz w:val="14"/>
              </w:rPr>
              <w:t>Secondary CTA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White or Ice White; navy border; navy text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Explore Loan Options; Learn More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Beside primary CTA and inside content cards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Hover fills navy and text becomes white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Same dimensions as primary; never rely on color alone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/>
                <w:color w:val="1E293B"/>
                <w:sz w:val="14"/>
              </w:rPr>
              <w:t>Tertiary/Text Link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No fill; support blue or navy; arrow icon optional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View All Programs; Read the Guide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Cards, article lists, resource modules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Underline or arrow moves slightly on hover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Underline remains available for keyboard focus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/>
                <w:color w:val="1E293B"/>
                <w:sz w:val="14"/>
              </w:rPr>
              <w:t>Call Button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Navy background or white outlined style; phone icon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Call (602) 465-2800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Desktop header, contact sections, mobile action bar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Uses tel: link on mobile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Accessible phone label includes full number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/>
                <w:color w:val="1E293B"/>
                <w:sz w:val="14"/>
              </w:rPr>
              <w:t>Text Button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White/outlined style with message icon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Text Our Team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Header utility area, contact page, mobile bar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Uses approved SMS destination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Clearly states messaging may apply if required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/>
                <w:color w:val="1E293B"/>
                <w:sz w:val="14"/>
              </w:rPr>
              <w:t>Destructive/Cancel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White with error-red text or subtle red border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Cancel; Remove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Only where a user reverses an action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Requires confirmation for irreversible actions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1E293B"/>
                <w:sz w:val="14"/>
              </w:rPr>
              <w:t>Never use as a marketing CTA</w:t>
            </w:r>
          </w:p>
        </w:tc>
      </w:tr>
    </w:tbl>
    <w:p>
      <w:pPr>
        <w:pStyle w:val="Heading2"/>
      </w:pPr>
      <w:r>
        <w:t>Primary Button Specification</w:t>
      </w:r>
    </w:p>
    <w:p>
      <w:pPr>
        <w:pStyle w:val="ListBullet"/>
      </w:pPr>
      <w:r>
        <w:t>Height: 48–52px desktop; minimum 48px mobile</w:t>
      </w:r>
    </w:p>
    <w:p>
      <w:pPr>
        <w:pStyle w:val="ListBullet"/>
      </w:pPr>
      <w:r>
        <w:t>Horizontal padding: 22–28px</w:t>
      </w:r>
    </w:p>
    <w:p>
      <w:pPr>
        <w:pStyle w:val="ListBullet"/>
      </w:pPr>
      <w:r>
        <w:t>Font: 15–16px, weight 700</w:t>
      </w:r>
    </w:p>
    <w:p>
      <w:pPr>
        <w:pStyle w:val="ListBullet"/>
      </w:pPr>
      <w:r>
        <w:t>Border radius: 12px</w:t>
      </w:r>
    </w:p>
    <w:p>
      <w:pPr>
        <w:pStyle w:val="ListBullet"/>
      </w:pPr>
      <w:r>
        <w:t>Default: #69BE28 with white text</w:t>
      </w:r>
    </w:p>
    <w:p>
      <w:pPr>
        <w:pStyle w:val="ListBullet"/>
      </w:pPr>
      <w:r>
        <w:t>Hover: darker green treatment; no sudden movement</w:t>
      </w:r>
    </w:p>
    <w:p>
      <w:pPr>
        <w:pStyle w:val="ListBullet"/>
      </w:pPr>
      <w:r>
        <w:t>Focus: 3px visible ring with offset</w:t>
      </w:r>
    </w:p>
    <w:p>
      <w:pPr>
        <w:pStyle w:val="ListBullet"/>
      </w:pPr>
      <w:r>
        <w:t>Disabled: reduced contrast, no pointer cursor, disabled attribute</w:t>
      </w:r>
    </w:p>
    <w:p>
      <w:pPr>
        <w:pStyle w:val="Heading2"/>
      </w:pPr>
      <w:r>
        <w:t>Button Copy Rules</w:t>
      </w:r>
    </w:p>
    <w:p>
      <w:pPr>
        <w:pStyle w:val="ListBullet"/>
      </w:pPr>
      <w:r>
        <w:t>Use a verb and describe the next step</w:t>
      </w:r>
    </w:p>
    <w:p>
      <w:pPr>
        <w:pStyle w:val="ListBullet"/>
      </w:pPr>
      <w:r>
        <w:t>Preferred: “Get Pre-Qualified”</w:t>
      </w:r>
    </w:p>
    <w:p>
      <w:pPr>
        <w:pStyle w:val="ListBullet"/>
      </w:pPr>
      <w:r>
        <w:t>Use “Apply Online” only when it opens the full application</w:t>
      </w:r>
    </w:p>
    <w:p>
      <w:pPr>
        <w:pStyle w:val="ListBullet"/>
      </w:pPr>
      <w:r>
        <w:t>Avoid vague labels such as “Submit,” “Click Here,” or “Go”</w:t>
      </w:r>
    </w:p>
    <w:p>
      <w:pPr>
        <w:pStyle w:val="ListBullet"/>
      </w:pPr>
      <w:r>
        <w:t>Do not use urgency claims unless accurate and approved</w:t>
      </w:r>
    </w:p>
    <w:p>
      <w:pPr>
        <w:pStyle w:val="ListBullet"/>
      </w:pPr>
      <w:r>
        <w:t>Keep labels under approximately 24 characters when possible</w:t>
      </w:r>
    </w:p>
    <w:p>
      <w:pPr>
        <w:pStyle w:val="Heading2"/>
      </w:pPr>
      <w:r>
        <w:t>Mobile Sticky Action Bar</w:t>
      </w:r>
    </w:p>
    <w:p>
      <w:pPr>
        <w:pStyle w:val="ListBullet"/>
      </w:pPr>
      <w:r>
        <w:t>Displayed after the hero scrolls out of view</w:t>
      </w:r>
    </w:p>
    <w:p>
      <w:pPr>
        <w:pStyle w:val="ListBullet"/>
      </w:pPr>
      <w:r>
        <w:t>Two actions maximum: Get Pre-Qualified and Call</w:t>
      </w:r>
    </w:p>
    <w:p>
      <w:pPr>
        <w:pStyle w:val="ListBullet"/>
      </w:pPr>
      <w:r>
        <w:t>Safe-area padding for modern phones</w:t>
      </w:r>
    </w:p>
    <w:p>
      <w:pPr>
        <w:pStyle w:val="ListBullet"/>
      </w:pPr>
      <w:r>
        <w:t>Must not cover form controls, consent language, or footer disclosures</w:t>
      </w:r>
    </w:p>
    <w:p>
      <w:pPr>
        <w:pStyle w:val="Heading1"/>
      </w:pPr>
      <w:r>
        <w:t>5. Reusable Component Specifications</w:t>
      </w:r>
    </w:p>
    <w:p>
      <w:pPr>
        <w:pStyle w:val="Heading2"/>
      </w:pPr>
      <w:r>
        <w:t>Header and Navigation</w:t>
      </w:r>
    </w:p>
    <w:p>
      <w:r>
        <w:t>White or translucent surface; logo left; core navigation center/right; primary green CTA; sticky after scroll. Desktop dropdowns must support keyboard navigation. Mobile uses a full-height drawer with clearly separated links and contact actions.</w:t>
      </w:r>
    </w:p>
    <w:p>
      <w:pPr>
        <w:pStyle w:val="Heading2"/>
      </w:pPr>
      <w:r>
        <w:t>Hero</w:t>
      </w:r>
    </w:p>
    <w:p>
      <w:r>
        <w:t>Two-column desktop and single-column mobile. Includes eyebrow text, benefit-led H1, short support statement, primary and secondary CTA, trust proof, and premium Arizona home/family imagery. Avoid unverified rate claims.</w:t>
      </w:r>
    </w:p>
    <w:p>
      <w:pPr>
        <w:pStyle w:val="Heading2"/>
      </w:pPr>
      <w:r>
        <w:t>Trust Bar</w:t>
      </w:r>
    </w:p>
    <w:p>
      <w:r>
        <w:t>Compact strip containing NMLS #2412327, licensed mortgage professionals, service-area statement, review signal, and secure-application messaging. It should reinforce credibility without resembling paid certification badges.</w:t>
      </w:r>
    </w:p>
    <w:p>
      <w:pPr>
        <w:pStyle w:val="Heading2"/>
      </w:pPr>
      <w:r>
        <w:t>Borrower Goal Cards</w:t>
      </w:r>
    </w:p>
    <w:p>
      <w:r>
        <w:t>Cards for Buy My First Home, Buy My Next Home, Use My Equity, Refinance, and Invest. Each card includes icon, one-sentence explanation, and text-link CTA.</w:t>
      </w:r>
    </w:p>
    <w:p>
      <w:pPr>
        <w:pStyle w:val="Heading2"/>
      </w:pPr>
      <w:r>
        <w:t>Loan Program Cards</w:t>
      </w:r>
    </w:p>
    <w:p>
      <w:r>
        <w:t>Icon, program name, concise two-to-three-line description, ideal borrower/use case, and Learn More link. Equal heights on desktop; natural height on mobile.</w:t>
      </w:r>
    </w:p>
    <w:p>
      <w:pPr>
        <w:pStyle w:val="Heading2"/>
      </w:pPr>
      <w:r>
        <w:t>Testimonial Cards</w:t>
      </w:r>
    </w:p>
    <w:p>
      <w:r>
        <w:t>Source, rating where verifiable, testimonial excerpt, reviewer first name/last initial or approved display name, and disclosure/source link when needed. Never invent testimonials.</w:t>
      </w:r>
    </w:p>
    <w:p>
      <w:pPr>
        <w:pStyle w:val="Heading2"/>
      </w:pPr>
      <w:r>
        <w:t>Team Cards</w:t>
      </w:r>
    </w:p>
    <w:p>
      <w:r>
        <w:t>Approved headshot, full name, title, NMLS identifier when applicable, short expertise line, and contact/profile link.</w:t>
      </w:r>
    </w:p>
    <w:p>
      <w:pPr>
        <w:pStyle w:val="Heading2"/>
      </w:pPr>
      <w:r>
        <w:t>FAQ Accordion</w:t>
      </w:r>
    </w:p>
    <w:p>
      <w:r>
        <w:t>One question per control. Closed by default except optional first item. Supports keyboard operation and FAQ schema only when the content is visible and accurate.</w:t>
      </w:r>
    </w:p>
    <w:p>
      <w:pPr>
        <w:pStyle w:val="Heading2"/>
      </w:pPr>
      <w:r>
        <w:t>CTA Banner</w:t>
      </w:r>
    </w:p>
    <w:p>
      <w:r>
        <w:t>Navy or approved gradient background, concise headline, one support sentence, one primary action and one optional secondary contact action.</w:t>
      </w:r>
    </w:p>
    <w:p>
      <w:pPr>
        <w:pStyle w:val="Heading2"/>
      </w:pPr>
      <w:r>
        <w:t>Footer</w:t>
      </w:r>
    </w:p>
    <w:p>
      <w:r>
        <w:t>Logo, contact details, office address, service links, loan-program links, legal links, NMLS, Equal Housing information where appropriate, social links, copyright, and required state/licensing disclosures.</w:t>
      </w:r>
    </w:p>
    <w:p>
      <w:pPr>
        <w:pStyle w:val="Heading1"/>
      </w:pPr>
      <w:r>
        <w:t>6. Forms and Lead Capture</w:t>
      </w:r>
    </w:p>
    <w:p>
      <w:r>
        <w:t>The site should offer both a low-friction inquiry/prequalification path and a clear route to the full secure application. A website inquiry must not be presented as loan approval or underwriting.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Form</w:t>
            </w:r>
          </w:p>
        </w:tc>
        <w:tc>
          <w:tcPr>
            <w:tcW w:type="dxa" w:w="2045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Recommended Fields</w:t>
            </w:r>
          </w:p>
        </w:tc>
        <w:tc>
          <w:tcPr>
            <w:tcW w:type="dxa" w:w="2045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CTA</w:t>
            </w:r>
          </w:p>
        </w:tc>
        <w:tc>
          <w:tcPr>
            <w:tcW w:type="dxa" w:w="2045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2045"/>
            <w:vAlign w:val="center"/>
            <w:shd w:fill="002244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color w:val="1E293B"/>
                <w:sz w:val="15"/>
              </w:rPr>
              <w:t>Pre-Qualification Inquiry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Name, email, phone, state, loan purpose, timeline, preferred contact method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Get Pre-Qualified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Approved CRM/loan system plus notification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Moderate length; use step indicator if multi-step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color w:val="1E293B"/>
                <w:sz w:val="15"/>
              </w:rPr>
              <w:t>Contact Form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Name, email, phone, message, preferred contact method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Send My Message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Email/CRM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Display response expectation only if operationally reliable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color w:val="1E293B"/>
                <w:sz w:val="15"/>
              </w:rPr>
              <w:t>HELOC Inquiry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Name, contact, property state, estimated property value range, mortgage balance range, purpose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Explore My Options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CRM/loan officer queue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Use ranges and avoid requesting sensitive documents in unsecured form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color w:val="1E293B"/>
                <w:sz w:val="15"/>
              </w:rPr>
              <w:t>DPA Inquiry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Name, contact, state/city, purchase timeline, first-time buyer status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See What Options May Be Available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DPA campaign CRM 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Do not promise eligibility or zero cash-to-close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/>
                <w:color w:val="1E293B"/>
                <w:sz w:val="15"/>
              </w:rPr>
              <w:t>Newsletter/Guide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First name and email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Send Me the Guide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Email platform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1E293B"/>
                <w:sz w:val="15"/>
              </w:rPr>
              <w:t>Include consent and privacy link</w:t>
            </w:r>
          </w:p>
        </w:tc>
      </w:tr>
    </w:tbl>
    <w:p>
      <w:pPr>
        <w:pStyle w:val="Heading2"/>
      </w:pPr>
      <w:r>
        <w:t>Form UI Rules</w:t>
      </w:r>
    </w:p>
    <w:p>
      <w:pPr>
        <w:pStyle w:val="ListBullet"/>
      </w:pPr>
      <w:r>
        <w:t>Persistent labels above fields; placeholders are examples only</w:t>
      </w:r>
    </w:p>
    <w:p>
      <w:pPr>
        <w:pStyle w:val="ListBullet"/>
      </w:pPr>
      <w:r>
        <w:t>Required fields identified in text, not by color alone</w:t>
      </w:r>
    </w:p>
    <w:p>
      <w:pPr>
        <w:pStyle w:val="ListBullet"/>
      </w:pPr>
      <w:r>
        <w:t>Inline validation after interaction and clear error summary on submit</w:t>
      </w:r>
    </w:p>
    <w:p>
      <w:pPr>
        <w:pStyle w:val="ListBullet"/>
      </w:pPr>
      <w:r>
        <w:t>Phone, email, and numeric fields use the correct mobile keyboard</w:t>
      </w:r>
    </w:p>
    <w:p>
      <w:pPr>
        <w:pStyle w:val="ListBullet"/>
      </w:pPr>
      <w:r>
        <w:t>Privacy link and consent text displayed before submission</w:t>
      </w:r>
    </w:p>
    <w:p>
      <w:pPr>
        <w:pStyle w:val="ListBullet"/>
      </w:pPr>
      <w:r>
        <w:t>Confirmation page states the next step and expected response channel</w:t>
      </w:r>
    </w:p>
    <w:p>
      <w:pPr>
        <w:pStyle w:val="ListBullet"/>
      </w:pPr>
      <w:r>
        <w:t>Do not collect Social Security numbers, documents, or full financial details through an unsecured marketing form</w:t>
      </w:r>
    </w:p>
    <w:p>
      <w:pPr>
        <w:pStyle w:val="Heading1"/>
      </w:pPr>
      <w:r>
        <w:t>7. Homepage Detailed Outline</w:t>
      </w:r>
    </w:p>
    <w:p>
      <w:pPr>
        <w:pStyle w:val="Heading2"/>
      </w:pPr>
      <w:r>
        <w:t>1. Utility/Header</w:t>
      </w:r>
    </w:p>
    <w:p>
      <w:r>
        <w:t>Logo, navigation, phone, optional text link, Get Pre-Qualified button.</w:t>
      </w:r>
    </w:p>
    <w:p>
      <w:pPr>
        <w:pStyle w:val="Heading2"/>
      </w:pPr>
      <w:r>
        <w:t>2. Hero</w:t>
      </w:r>
    </w:p>
    <w:p>
      <w:r>
        <w:t>H1 focused on trusted personalized mortgage guidance; support text explaining broker access to multiple wholesale lenders; primary CTA Get Pre-Qualified; secondary CTA Explore Loan Options; trust microcopy.</w:t>
      </w:r>
    </w:p>
    <w:p>
      <w:pPr>
        <w:pStyle w:val="Heading2"/>
      </w:pPr>
      <w:r>
        <w:t>3. Trust Bar</w:t>
      </w:r>
    </w:p>
    <w:p>
      <w:r>
        <w:t>NMLS, Arizona/Phoenix roots, licensing, reviews, secure process.</w:t>
      </w:r>
    </w:p>
    <w:p>
      <w:pPr>
        <w:pStyle w:val="Heading2"/>
      </w:pPr>
      <w:r>
        <w:t>4. Choose Your Goal</w:t>
      </w:r>
    </w:p>
    <w:p>
      <w:r>
        <w:t>First home, next home, home equity, refinance, investment.</w:t>
      </w:r>
    </w:p>
    <w:p>
      <w:pPr>
        <w:pStyle w:val="Heading2"/>
      </w:pPr>
      <w:r>
        <w:t>5. Broker Advantage</w:t>
      </w:r>
    </w:p>
    <w:p>
      <w:r>
        <w:t>Explain one application/multiple lender options, wholesale access, specialized products, and personal processing support in consumer-friendly language.</w:t>
      </w:r>
    </w:p>
    <w:p>
      <w:pPr>
        <w:pStyle w:val="Heading2"/>
      </w:pPr>
      <w:r>
        <w:t>6. Featured Loan Programs</w:t>
      </w:r>
    </w:p>
    <w:p>
      <w:r>
        <w:t>Conventional, FHA, VA, Jumbo, HELOC, Refinance, Investment, DPA; link to full program directory.</w:t>
      </w:r>
    </w:p>
    <w:p>
      <w:pPr>
        <w:pStyle w:val="Heading2"/>
      </w:pPr>
      <w:r>
        <w:t>7. Four-Step Process</w:t>
      </w:r>
    </w:p>
    <w:p>
      <w:r>
        <w:t>Discover, compare options, process/underwriting support, close with confidence.</w:t>
      </w:r>
    </w:p>
    <w:p>
      <w:pPr>
        <w:pStyle w:val="Heading2"/>
      </w:pPr>
      <w:r>
        <w:t>8. Calculator/Resource Feature</w:t>
      </w:r>
    </w:p>
    <w:p>
      <w:r>
        <w:t>Monthly payment or affordability tool with educational disclaimer and CTA to discuss results.</w:t>
      </w:r>
    </w:p>
    <w:p>
      <w:pPr>
        <w:pStyle w:val="Heading2"/>
      </w:pPr>
      <w:r>
        <w:t>9. Testimonials</w:t>
      </w:r>
    </w:p>
    <w:p>
      <w:r>
        <w:t>Verified Google/Facebook testimonials and link to review page.</w:t>
      </w:r>
    </w:p>
    <w:p>
      <w:pPr>
        <w:pStyle w:val="Heading2"/>
      </w:pPr>
      <w:r>
        <w:t>10. Leadership/Team</w:t>
      </w:r>
    </w:p>
    <w:p>
      <w:r>
        <w:t>Owner message, team preview, responsiveness, transparency, technical competence.</w:t>
      </w:r>
    </w:p>
    <w:p>
      <w:pPr>
        <w:pStyle w:val="Heading2"/>
      </w:pPr>
      <w:r>
        <w:t>11. Knowledge Center</w:t>
      </w:r>
    </w:p>
    <w:p>
      <w:r>
        <w:t>Three to six priority resources: affordability, down payment, credit, documents, FHA vs. conventional, prequalification vs. preapproval.</w:t>
      </w:r>
    </w:p>
    <w:p>
      <w:pPr>
        <w:pStyle w:val="Heading2"/>
      </w:pPr>
      <w:r>
        <w:t>12. FAQ</w:t>
      </w:r>
    </w:p>
    <w:p>
      <w:r>
        <w:t>Five to eight most common questions.</w:t>
      </w:r>
    </w:p>
    <w:p>
      <w:pPr>
        <w:pStyle w:val="Heading2"/>
      </w:pPr>
      <w:r>
        <w:t>13. Final CTA</w:t>
      </w:r>
    </w:p>
    <w:p>
      <w:r>
        <w:t>Get Pre-Qualified plus Call or Text option.</w:t>
      </w:r>
    </w:p>
    <w:p>
      <w:pPr>
        <w:pStyle w:val="Heading2"/>
      </w:pPr>
      <w:r>
        <w:t>14. Footer</w:t>
      </w:r>
    </w:p>
    <w:p>
      <w:r>
        <w:t>Full contact, NMLS, address, legal links, service-area and licensing disclosures.</w:t>
      </w:r>
    </w:p>
    <w:p>
      <w:pPr>
        <w:pStyle w:val="Heading1"/>
      </w:pPr>
      <w:r>
        <w:t>8. Core Page Templates</w:t>
      </w:r>
    </w:p>
    <w:p>
      <w:pPr>
        <w:pStyle w:val="Heading2"/>
      </w:pPr>
      <w:r>
        <w:t>Loan Program Page</w:t>
      </w:r>
    </w:p>
    <w:p>
      <w:pPr>
        <w:pStyle w:val="ListBullet"/>
      </w:pPr>
      <w:r>
        <w:t>Program-focused hero and educational disclaimer</w:t>
      </w:r>
    </w:p>
    <w:p>
      <w:pPr>
        <w:pStyle w:val="ListBullet"/>
      </w:pPr>
      <w:r>
        <w:t>Who the program may fit</w:t>
      </w:r>
    </w:p>
    <w:p>
      <w:pPr>
        <w:pStyle w:val="ListBullet"/>
      </w:pPr>
      <w:r>
        <w:t>Key benefits and considerations</w:t>
      </w:r>
    </w:p>
    <w:p>
      <w:pPr>
        <w:pStyle w:val="ListBullet"/>
      </w:pPr>
      <w:r>
        <w:t>General qualification factors without promises</w:t>
      </w:r>
    </w:p>
    <w:p>
      <w:pPr>
        <w:pStyle w:val="ListBullet"/>
      </w:pPr>
      <w:r>
        <w:t>Documents/process</w:t>
      </w:r>
    </w:p>
    <w:p>
      <w:pPr>
        <w:pStyle w:val="ListBullet"/>
      </w:pPr>
      <w:r>
        <w:t>Related calculator/resources</w:t>
      </w:r>
    </w:p>
    <w:p>
      <w:pPr>
        <w:pStyle w:val="ListBullet"/>
      </w:pPr>
      <w:r>
        <w:t>FAQs</w:t>
      </w:r>
    </w:p>
    <w:p>
      <w:pPr>
        <w:pStyle w:val="ListBullet"/>
      </w:pPr>
      <w:r>
        <w:t>Primary CTA and contact CTA</w:t>
      </w:r>
    </w:p>
    <w:p>
      <w:pPr>
        <w:pStyle w:val="ListBullet"/>
      </w:pPr>
      <w:r>
        <w:t>Breadcrumb and Product/FAQ schema recommendations</w:t>
      </w:r>
    </w:p>
    <w:p>
      <w:pPr>
        <w:pStyle w:val="Heading2"/>
      </w:pPr>
      <w:r>
        <w:t>City/State SEO Page</w:t>
      </w:r>
    </w:p>
    <w:p>
      <w:pPr>
        <w:pStyle w:val="ListBullet"/>
      </w:pPr>
      <w:r>
        <w:t>Unique local introduction</w:t>
      </w:r>
    </w:p>
    <w:p>
      <w:pPr>
        <w:pStyle w:val="ListBullet"/>
      </w:pPr>
      <w:r>
        <w:t>Services available in that market</w:t>
      </w:r>
    </w:p>
    <w:p>
      <w:pPr>
        <w:pStyle w:val="ListBullet"/>
      </w:pPr>
      <w:r>
        <w:t>Local homebuyer considerations</w:t>
      </w:r>
    </w:p>
    <w:p>
      <w:pPr>
        <w:pStyle w:val="ListBullet"/>
      </w:pPr>
      <w:r>
        <w:t>Relevant loan programs</w:t>
      </w:r>
    </w:p>
    <w:p>
      <w:pPr>
        <w:pStyle w:val="ListBullet"/>
      </w:pPr>
      <w:r>
        <w:t>Local testimonial/team/service proof where available</w:t>
      </w:r>
    </w:p>
    <w:p>
      <w:pPr>
        <w:pStyle w:val="ListBullet"/>
      </w:pPr>
      <w:r>
        <w:t>FAQs written for the location</w:t>
      </w:r>
    </w:p>
    <w:p>
      <w:pPr>
        <w:pStyle w:val="ListBullet"/>
      </w:pPr>
      <w:r>
        <w:t>Contact and prequalification CTA</w:t>
      </w:r>
    </w:p>
    <w:p>
      <w:pPr>
        <w:pStyle w:val="ListBullet"/>
      </w:pPr>
      <w:r>
        <w:t>No copied city text or unsupported “best lender” claims</w:t>
      </w:r>
    </w:p>
    <w:p>
      <w:pPr>
        <w:pStyle w:val="Heading2"/>
      </w:pPr>
      <w:r>
        <w:t>About Page</w:t>
      </w:r>
    </w:p>
    <w:p>
      <w:pPr>
        <w:pStyle w:val="ListBullet"/>
      </w:pPr>
      <w:r>
        <w:t>Company story and broker model</w:t>
      </w:r>
    </w:p>
    <w:p>
      <w:pPr>
        <w:pStyle w:val="ListBullet"/>
      </w:pPr>
      <w:r>
        <w:t>Mission and values</w:t>
      </w:r>
    </w:p>
    <w:p>
      <w:pPr>
        <w:pStyle w:val="ListBullet"/>
      </w:pPr>
      <w:r>
        <w:t>Leadership message</w:t>
      </w:r>
    </w:p>
    <w:p>
      <w:pPr>
        <w:pStyle w:val="ListBullet"/>
      </w:pPr>
      <w:r>
        <w:t>Team profiles and NMLS identifiers</w:t>
      </w:r>
    </w:p>
    <w:p>
      <w:pPr>
        <w:pStyle w:val="ListBullet"/>
      </w:pPr>
      <w:r>
        <w:t>Community involvement</w:t>
      </w:r>
    </w:p>
    <w:p>
      <w:pPr>
        <w:pStyle w:val="ListBullet"/>
      </w:pPr>
      <w:r>
        <w:t>Service areas</w:t>
      </w:r>
    </w:p>
    <w:p>
      <w:pPr>
        <w:pStyle w:val="ListBullet"/>
      </w:pPr>
      <w:r>
        <w:t>Trust and review proof</w:t>
      </w:r>
    </w:p>
    <w:p>
      <w:pPr>
        <w:pStyle w:val="ListBullet"/>
      </w:pPr>
      <w:r>
        <w:t>CTA</w:t>
      </w:r>
    </w:p>
    <w:p>
      <w:pPr>
        <w:pStyle w:val="Heading2"/>
      </w:pPr>
      <w:r>
        <w:t>Contact Page</w:t>
      </w:r>
    </w:p>
    <w:p>
      <w:pPr>
        <w:pStyle w:val="ListBullet"/>
      </w:pPr>
      <w:r>
        <w:t>Phone, email, text, office address</w:t>
      </w:r>
    </w:p>
    <w:p>
      <w:pPr>
        <w:pStyle w:val="ListBullet"/>
      </w:pPr>
      <w:r>
        <w:t>Business hours and response expectations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Map/directions if approved</w:t>
      </w:r>
    </w:p>
    <w:p>
      <w:pPr>
        <w:pStyle w:val="ListBullet"/>
      </w:pPr>
      <w:r>
        <w:t>Licensing/NMLS information</w:t>
      </w:r>
    </w:p>
    <w:p>
      <w:pPr>
        <w:pStyle w:val="ListBullet"/>
      </w:pPr>
      <w:r>
        <w:t>Privacy and communication consent links</w:t>
      </w:r>
    </w:p>
    <w:p>
      <w:pPr>
        <w:pStyle w:val="Heading1"/>
      </w:pPr>
      <w:r>
        <w:t>9. Typography, Layout, and Visual Rules</w:t>
      </w:r>
    </w:p>
    <w:p>
      <w:pPr>
        <w:pStyle w:val="ListBullet"/>
      </w:pPr>
      <w:r>
        <w:t>Heading font: Manrope or Plus Jakarta Sans; body font: Inter or approved system fallback</w:t>
      </w:r>
    </w:p>
    <w:p>
      <w:pPr>
        <w:pStyle w:val="ListBullet"/>
      </w:pPr>
      <w:r>
        <w:t>H1 desktop approximately 52–64px; mobile 38–44px</w:t>
      </w:r>
    </w:p>
    <w:p>
      <w:pPr>
        <w:pStyle w:val="ListBullet"/>
      </w:pPr>
      <w:r>
        <w:t>Body copy 16–18px with comfortable line height</w:t>
      </w:r>
    </w:p>
    <w:p>
      <w:pPr>
        <w:pStyle w:val="ListBullet"/>
      </w:pPr>
      <w:r>
        <w:t>Maximum text line length approximately 65–75 characters</w:t>
      </w:r>
    </w:p>
    <w:p>
      <w:pPr>
        <w:pStyle w:val="ListBullet"/>
      </w:pPr>
      <w:r>
        <w:t>Grid max width approximately 1200–1280px</w:t>
      </w:r>
    </w:p>
    <w:p>
      <w:pPr>
        <w:pStyle w:val="ListBullet"/>
      </w:pPr>
      <w:r>
        <w:t>Section spacing approximately 80–112px desktop and 56–72px mobile</w:t>
      </w:r>
    </w:p>
    <w:p>
      <w:pPr>
        <w:pStyle w:val="ListBullet"/>
      </w:pPr>
      <w:r>
        <w:t>Card radius 16–20px; buttons 12px; form fields 10–12px</w:t>
      </w:r>
    </w:p>
    <w:p>
      <w:pPr>
        <w:pStyle w:val="ListBullet"/>
      </w:pPr>
      <w:r>
        <w:t>Use subtle shadows and thin borders; avoid heavy glow effects</w:t>
      </w:r>
    </w:p>
    <w:p>
      <w:pPr>
        <w:pStyle w:val="ListBullet"/>
      </w:pPr>
      <w:r>
        <w:t>Motion duration approximately 180–350ms and respect prefers-reduced-motion</w:t>
      </w:r>
    </w:p>
    <w:p>
      <w:pPr>
        <w:pStyle w:val="ListBullet"/>
      </w:pPr>
      <w:r>
        <w:t>Photography should show homes, families, team members, and authentic Arizona context without implying protected-class targeting</w:t>
      </w:r>
    </w:p>
    <w:p>
      <w:pPr>
        <w:pStyle w:val="Heading1"/>
      </w:pPr>
      <w:r>
        <w:t>10. SEO, Accessibility, and Compliance Requirements</w:t>
      </w:r>
    </w:p>
    <w:p>
      <w:pPr>
        <w:pStyle w:val="Heading2"/>
      </w:pPr>
      <w:r>
        <w:t>SEO</w:t>
      </w:r>
    </w:p>
    <w:p>
      <w:pPr>
        <w:pStyle w:val="ListBullet"/>
      </w:pPr>
      <w:r>
        <w:t>Unique title and meta description for every indexable page</w:t>
      </w:r>
    </w:p>
    <w:p>
      <w:pPr>
        <w:pStyle w:val="ListBullet"/>
      </w:pPr>
      <w:r>
        <w:t>One clear H1 per page</w:t>
      </w:r>
    </w:p>
    <w:p>
      <w:pPr>
        <w:pStyle w:val="ListBullet"/>
      </w:pPr>
      <w:r>
        <w:t>Descriptive URLs and internal links</w:t>
      </w:r>
    </w:p>
    <w:p>
      <w:pPr>
        <w:pStyle w:val="ListBullet"/>
      </w:pPr>
      <w:r>
        <w:t>Organization/MortgageBroker, Breadcrumb, FAQ, and Article schema where applicable</w:t>
      </w:r>
    </w:p>
    <w:p>
      <w:pPr>
        <w:pStyle w:val="ListBullet"/>
      </w:pPr>
      <w:r>
        <w:t>Optimized WebP/AVIF images and descriptive alt text</w:t>
      </w:r>
    </w:p>
    <w:p>
      <w:pPr>
        <w:pStyle w:val="ListBullet"/>
      </w:pPr>
      <w:r>
        <w:t>XML sitemap, robots controls, canonical tags, Open Graph data</w:t>
      </w:r>
    </w:p>
    <w:p>
      <w:pPr>
        <w:pStyle w:val="ListBullet"/>
      </w:pPr>
      <w:r>
        <w:t>Local business information must remain consistent across the website and profiles</w:t>
      </w:r>
    </w:p>
    <w:p>
      <w:pPr>
        <w:pStyle w:val="Heading2"/>
      </w:pPr>
      <w:r>
        <w:t>Accessibility</w:t>
      </w:r>
    </w:p>
    <w:p>
      <w:pPr>
        <w:pStyle w:val="ListBullet"/>
      </w:pPr>
      <w:r>
        <w:t>WCAG-aware color contrast</w:t>
      </w:r>
    </w:p>
    <w:p>
      <w:pPr>
        <w:pStyle w:val="ListBullet"/>
      </w:pPr>
      <w:r>
        <w:t>Keyboard-accessible navigation, dialogs, accordions, and forms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Semantic HTML and proper heading order</w:t>
      </w:r>
    </w:p>
    <w:p>
      <w:pPr>
        <w:pStyle w:val="ListBullet"/>
      </w:pPr>
      <w:r>
        <w:t>Alt text for meaningful imagery; decorative images ignored</w:t>
      </w:r>
    </w:p>
    <w:p>
      <w:pPr>
        <w:pStyle w:val="ListBullet"/>
      </w:pPr>
      <w:r>
        <w:t>Form errors announced to assistive technology</w:t>
      </w:r>
    </w:p>
    <w:p>
      <w:pPr>
        <w:pStyle w:val="ListBullet"/>
      </w:pPr>
      <w:r>
        <w:t>Touch targets at least 44 by 44 pixels</w:t>
      </w:r>
    </w:p>
    <w:p>
      <w:pPr>
        <w:pStyle w:val="Heading2"/>
      </w:pPr>
      <w:r>
        <w:t>Mortgage Marketing Guardrails</w:t>
      </w:r>
    </w:p>
    <w:p>
      <w:pPr>
        <w:pStyle w:val="ListBullet"/>
      </w:pPr>
      <w:r>
        <w:t>Display NMLS #2412327 and applicable licensing information</w:t>
      </w:r>
    </w:p>
    <w:p>
      <w:pPr>
        <w:pStyle w:val="ListBullet"/>
      </w:pPr>
      <w:r>
        <w:t>Avoid guaranteed approval, guaranteed rates, and unsupported superlatives</w:t>
      </w:r>
    </w:p>
    <w:p>
      <w:pPr>
        <w:pStyle w:val="ListBullet"/>
      </w:pPr>
      <w:r>
        <w:t>Do not imply underwriting approval through a marketing quiz</w:t>
      </w:r>
    </w:p>
    <w:p>
      <w:pPr>
        <w:pStyle w:val="ListBullet"/>
      </w:pPr>
      <w:r>
        <w:t>Rate/payment examples require current data, assumptions, and disclosures</w:t>
      </w:r>
    </w:p>
    <w:p>
      <w:pPr>
        <w:pStyle w:val="ListBullet"/>
      </w:pPr>
      <w:r>
        <w:t>DPA language must say eligibility and program availability vary</w:t>
      </w:r>
    </w:p>
    <w:p>
      <w:pPr>
        <w:pStyle w:val="ListBullet"/>
      </w:pPr>
      <w:r>
        <w:t>Fair housing and privacy disclosures reviewed before launch</w:t>
      </w:r>
    </w:p>
    <w:p>
      <w:pPr>
        <w:pStyle w:val="ListBullet"/>
      </w:pPr>
      <w:r>
        <w:t>Final compliance review by the company’s qualified compliance/legal representative</w:t>
      </w:r>
    </w:p>
    <w:p>
      <w:pPr>
        <w:pStyle w:val="Heading1"/>
      </w:pPr>
      <w:r>
        <w:t>11. Measurement Plan</w:t>
      </w:r>
    </w:p>
    <w:p>
      <w:pPr>
        <w:pStyle w:val="ListBullet"/>
      </w:pPr>
      <w:r>
        <w:t>Primary CTA clicks</w:t>
      </w:r>
    </w:p>
    <w:p>
      <w:pPr>
        <w:pStyle w:val="ListBullet"/>
      </w:pPr>
      <w:r>
        <w:t>Prequalification/application starts and completions</w:t>
      </w:r>
    </w:p>
    <w:p>
      <w:pPr>
        <w:pStyle w:val="ListBullet"/>
      </w:pPr>
      <w:r>
        <w:t>Qualified contact submissions</w:t>
      </w:r>
    </w:p>
    <w:p>
      <w:pPr>
        <w:pStyle w:val="ListBullet"/>
      </w:pPr>
      <w:r>
        <w:t>Phone and text clicks</w:t>
      </w:r>
    </w:p>
    <w:p>
      <w:pPr>
        <w:pStyle w:val="ListBullet"/>
      </w:pPr>
      <w:r>
        <w:t>Loan-program page engagement</w:t>
      </w:r>
    </w:p>
    <w:p>
      <w:pPr>
        <w:pStyle w:val="ListBullet"/>
      </w:pPr>
      <w:r>
        <w:t>Calculator use</w:t>
      </w:r>
    </w:p>
    <w:p>
      <w:pPr>
        <w:pStyle w:val="ListBullet"/>
      </w:pPr>
      <w:r>
        <w:t>Organic search impressions, clicks, and local rankings</w:t>
      </w:r>
    </w:p>
    <w:p>
      <w:pPr>
        <w:pStyle w:val="ListBullet"/>
      </w:pPr>
      <w:r>
        <w:t>Google Business Profile actions</w:t>
      </w:r>
    </w:p>
    <w:p>
      <w:pPr>
        <w:pStyle w:val="ListBullet"/>
      </w:pPr>
      <w:r>
        <w:t>Review growth</w:t>
      </w:r>
    </w:p>
    <w:p>
      <w:pPr>
        <w:pStyle w:val="ListBullet"/>
      </w:pPr>
      <w:r>
        <w:t>Page speed and Core Web Vitals</w:t>
      </w:r>
    </w:p>
    <w:p>
      <w:pPr>
        <w:pStyle w:val="Heading1"/>
      </w:pPr>
      <w:r>
        <w:t>12. Recommended Build Order</w:t>
      </w:r>
    </w:p>
    <w:p>
      <w:pPr>
        <w:pStyle w:val="Heading2"/>
      </w:pPr>
      <w:r>
        <w:t>Phase 1 – Foundation</w:t>
      </w:r>
    </w:p>
    <w:p>
      <w:r>
        <w:t>Finalize content, design tokens, typography, reusable buttons/forms/cards, header/footer, analytics and compliance requirements.</w:t>
      </w:r>
    </w:p>
    <w:p>
      <w:pPr>
        <w:pStyle w:val="Heading2"/>
      </w:pPr>
      <w:r>
        <w:t>Phase 2 – Homepage</w:t>
      </w:r>
    </w:p>
    <w:p>
      <w:r>
        <w:t>Build and approve the production homepage across desktop, tablet, and mobile.</w:t>
      </w:r>
    </w:p>
    <w:p>
      <w:pPr>
        <w:pStyle w:val="Heading2"/>
      </w:pPr>
      <w:r>
        <w:t>Phase 3 – Core Conversion Pages</w:t>
      </w:r>
    </w:p>
    <w:p>
      <w:r>
        <w:t>About, Contact, Reviews, Loan Program index, First-Time Buyers, DPA, HELOC.</w:t>
      </w:r>
    </w:p>
    <w:p>
      <w:pPr>
        <w:pStyle w:val="Heading2"/>
      </w:pPr>
      <w:r>
        <w:t>Phase 4 – Product and Resource Expansion</w:t>
      </w:r>
    </w:p>
    <w:p>
      <w:r>
        <w:t>FHA, VA, Conventional, Jumbo, USDA, Refinance, Investment, calculators, FAQs and Knowledge Center.</w:t>
      </w:r>
    </w:p>
    <w:p>
      <w:pPr>
        <w:pStyle w:val="Heading2"/>
      </w:pPr>
      <w:r>
        <w:t>Phase 5 – Local SEO and Growth</w:t>
      </w:r>
    </w:p>
    <w:p>
      <w:r>
        <w:t>Location pages, content publishing, review workflow, campaign landing pages, testing and optimization.</w:t>
      </w:r>
    </w:p>
    <w:p>
      <w:pPr>
        <w:pStyle w:val="Heading1"/>
      </w:pPr>
      <w:r>
        <w:t>13. Approval Checklist</w:t>
      </w:r>
    </w:p>
    <w:p>
      <w:r>
        <w:t>☐ Owner approves messaging hierarchy and CTA priority</w:t>
      </w:r>
    </w:p>
    <w:p>
      <w:r>
        <w:t>☐ Official logo file and usage confirmed</w:t>
      </w:r>
    </w:p>
    <w:p>
      <w:r>
        <w:t>☐ Color system approved</w:t>
      </w:r>
    </w:p>
    <w:p>
      <w:r>
        <w:t>☐ Application and CRM destinations supplied</w:t>
      </w:r>
    </w:p>
    <w:p>
      <w:r>
        <w:t>☐ Phone, text, email, address, hours, and NMLS confirmed</w:t>
      </w:r>
    </w:p>
    <w:p>
      <w:r>
        <w:t>☐ Team bios/headshots supplied or scheduled</w:t>
      </w:r>
    </w:p>
    <w:p>
      <w:r>
        <w:t>☐ Testimonials approved and sourced</w:t>
      </w:r>
    </w:p>
    <w:p>
      <w:r>
        <w:t>☐ Legal/privacy/licensing language supplied or reviewed</w:t>
      </w:r>
    </w:p>
    <w:p>
      <w:r>
        <w:t>☐ Analytics ownership and access confirmed</w:t>
      </w:r>
    </w:p>
    <w:p>
      <w:r>
        <w:t>☐ Content approval process assigned</w:t>
      </w:r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5ACAF"/>
        <w:sz w:val="16"/>
      </w:rPr>
      <w:t>Right Away Lending Website Blueprint • Version 2.0 • NMLS #2412327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224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99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9BE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22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