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900" w:line="269" w:lineRule="auto"/>
        <w:jc w:val="left"/>
      </w:pPr>
      <w:r>
        <w:rPr>
          <w:rFonts w:ascii="Aptos" w:hAnsi="Aptos"/>
          <w:b/>
          <w:i w:val="0"/>
          <w:color w:val="42BEE3"/>
          <w:sz w:val="20"/>
        </w:rPr>
        <w:t>AFRICA DIGITAL CONNECT</w:t>
      </w:r>
    </w:p>
    <w:p>
      <w:pPr>
        <w:keepNext w:val="0"/>
        <w:spacing w:before="0" w:after="200" w:line="269" w:lineRule="auto"/>
        <w:jc w:val="left"/>
      </w:pPr>
      <w:r>
        <w:rPr>
          <w:rFonts w:ascii="Aptos" w:hAnsi="Aptos"/>
          <w:b/>
          <w:i w:val="0"/>
          <w:color w:val="0E2A3F"/>
          <w:sz w:val="64"/>
        </w:rPr>
        <w:t>Documentation</w:t>
        <w:br/>
        <w:t>fonctionnelle et UI</w:t>
      </w:r>
    </w:p>
    <w:p>
      <w:pPr>
        <w:keepNext w:val="0"/>
        <w:spacing w:before="0" w:after="320" w:line="269" w:lineRule="auto"/>
        <w:jc w:val="left"/>
      </w:pPr>
      <w:r>
        <w:rPr>
          <w:rFonts w:ascii="Aptos" w:hAnsi="Aptos"/>
          <w:b/>
          <w:i w:val="0"/>
          <w:color w:val="24558E"/>
          <w:sz w:val="34"/>
        </w:rPr>
        <w:t>Site web institutionnel ADC</w:t>
      </w:r>
    </w:p>
    <w:p>
      <w:pPr>
        <w:keepNext w:val="0"/>
        <w:spacing w:before="0" w:after="520" w:line="269" w:lineRule="auto"/>
        <w:jc w:val="left"/>
      </w:pPr>
      <w:r>
        <w:rPr>
          <w:rFonts w:ascii="Aptos" w:hAnsi="Aptos"/>
          <w:b w:val="0"/>
          <w:i w:val="0"/>
          <w:color w:val="627487"/>
          <w:sz w:val="23"/>
        </w:rPr>
        <w:t>Référentiel de conception, de contenu et de recette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70763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—_Accueil_·_Version_principale_do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763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0" w:after="120" w:line="269" w:lineRule="auto"/>
        <w:jc w:val="right"/>
      </w:pPr>
      <w:r>
        <w:rPr>
          <w:rFonts w:ascii="Aptos" w:hAnsi="Aptos"/>
          <w:b w:val="0"/>
          <w:i w:val="0"/>
          <w:color w:val="627487"/>
          <w:sz w:val="18"/>
        </w:rPr>
        <w:t>Version 1.0  |  21 juillet 2026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01 / DOCUMENTATION ADC</w:t>
      </w:r>
    </w:p>
    <w:p>
      <w:pPr>
        <w:pStyle w:val="Heading1"/>
        <w:keepNext/>
      </w:pPr>
      <w:r>
        <w:t>Objet et périmètre</w:t>
      </w:r>
    </w:p>
    <w:p>
      <w:pPr>
        <w:keepNext w:val="0"/>
        <w:spacing w:before="0" w:after="200" w:line="269" w:lineRule="auto"/>
        <w:jc w:val="left"/>
      </w:pPr>
      <w:r>
        <w:rPr>
          <w:rFonts w:ascii="Aptos" w:hAnsi="Aptos"/>
          <w:b w:val="0"/>
          <w:i w:val="0"/>
          <w:color w:val="627487"/>
          <w:sz w:val="21"/>
        </w:rPr>
        <w:t>Une base commune pour cadrer la réalisation et valider l’expérience.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EA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Finalité du document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Formaliser les intentions visibles dans les maquettes, harmoniser les pages, préciser les comportements attendus et fournir une checklist de recette avant mise en production.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Périmètre couvert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Accueil : trois propositions et un concept de première impression.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Pages institutionnelles : À propos, Notre approche, Contact.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Offre : Solutions et état de survol des cartes.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Preuves : études de cas détaillées.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Recrutement : liste des postes et fiche d’offre.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Composants transverses : navigation, appels à l’action, formulaires, partenaires et pied de page.</w:t>
      </w:r>
    </w:p>
    <w:p>
      <w:pPr>
        <w:pStyle w:val="Heading2"/>
        <w:keepNext/>
      </w:pPr>
      <w:r>
        <w:t>Principes directeurs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056"/>
      </w:tblGrid>
      <w:tr>
        <w:trPr>
          <w:tblHeader w:val="true"/>
        </w:trPr>
        <w:tc>
          <w:tcPr>
            <w:tcW w:type="dxa" w:w="493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Principe</w:t>
            </w:r>
          </w:p>
        </w:tc>
        <w:tc>
          <w:tcPr>
            <w:tcW w:type="dxa" w:w="493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Traduction dans l’interface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Clarté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Une promesse simple, un titre fort et une action principale par zone.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Crédibilité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Chiffres clés, références partenaires, cas clients et expertise visibles.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Proximité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Photographies humaines, ton direct et accès rapide au contact.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Cohérence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Même navigation, même palette et mêmes composants sur l’ensemble du site.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Conversion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CTA “Demander une démo” persistant et formulaires courts.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02 / DOCUMENTATION ADC</w:t>
      </w:r>
    </w:p>
    <w:p>
      <w:pPr>
        <w:pStyle w:val="Heading1"/>
        <w:keepNext/>
      </w:pPr>
      <w:r>
        <w:t>Architecture de l’information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3096"/>
      </w:tblGrid>
      <w:tr>
        <w:trPr>
          <w:tblHeader w:val="true"/>
        </w:trPr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Niveau 1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Pages / contenus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Objectif utilisateur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Accueil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Promesse, offres PME, solutions, approche, cas, carrières, contact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Comprendre ADC et choisir la prochaine action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Qui sommes-nous ?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Présentation, valeurs, ambitions, RSE, équipe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Évaluer la légitimité et la culture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Notre approche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Former, Équiper, Accompagner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Identifier le mode d’intervention adapté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Nos solutions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Balafon, CCR, Baobab, Bamboo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Explorer les produits et demander une démo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Études de cas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Défi, réponse ADC, impact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Vérifier les résultats en contexte réel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Carrières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Liste, détail, candidature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Trouver une offre et postuler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Contact</w:t>
            </w:r>
          </w:p>
        </w:tc>
        <w:tc>
          <w:tcPr>
            <w:tcW w:type="dxa" w:w="41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Formulaire, coordonnées, carte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Échanger avec l’équipe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Navigation recommandée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En-tête fixe ou réapparaissant au défilement, avec état actif clairement identifiable.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CTA primaire “Demander une démo” contrasté et identique sur toutes les pages.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Libellés homogènes : conserver “Nos solutions”, “Études de cas” et “Carrières” partout.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Sur mobile, menu compact avec accès direct au contact et au CTA principal.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Pied de page simplifié : supprimer les doublons et garantir des liens uniques et lisibles.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FFF5D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Point de vigilance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Plusieurs maquettes montrent des doublons ou chevauchements dans le pied de page. La version développée doit utiliser un seul composant partagé, alimenté par une source de contenu unique.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03 / DOCUMENTATION ADC</w:t>
      </w:r>
    </w:p>
    <w:p>
      <w:pPr>
        <w:pStyle w:val="Heading1"/>
        <w:keepNext/>
      </w:pPr>
      <w:r>
        <w:t>Système visuel et composants</w:t>
      </w:r>
    </w:p>
    <w:p>
      <w:pPr>
        <w:pStyle w:val="Heading2"/>
        <w:keepNext/>
      </w:pPr>
      <w:r>
        <w:t>Palette observée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28"/>
        <w:gridCol w:w="5472"/>
      </w:tblGrid>
      <w:tr>
        <w:trPr>
          <w:tblHeader w:val="true"/>
        </w:trPr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Rôle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Couleur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Usage recommandé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Bleu nuit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#0E2A3F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Hero, cartes fortes, surfaces de contraste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Bleu ADC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#24558E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Titres, bandeaux, pied de page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Cyan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#42BEE3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CTA, accents, libellés et liens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Blanc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#FFFFFF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Fond principal et texte inversé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Gris clair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#F4F7FA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Sections secondaires et cartes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Jaune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#FFC928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Accent exceptionnel issu du symbole Afrique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Composants réutilisables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Header : logo, navigation, contact avec pictogramme et CTA démo.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Hero : sur-titre, titre H1, texte d’appui, visuel ou fond photographique.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Carte : image, voile sombre, titre, description courte et état hover/focus.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Bandeau chiffres : quatre indicateurs avec libellés contextualisés.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Formulaire : champs étiquetés, validation, consentement et confirmation d’envoi.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Footer : coordonnées, services, liens rapides, newsletter, réseaux et mentions légales.</w:t>
      </w:r>
    </w:p>
    <w:p>
      <w:pPr>
        <w:pStyle w:val="Heading2"/>
        <w:keepNext/>
      </w:pPr>
      <w:r>
        <w:t>Règles de cohérence</w:t>
      </w:r>
    </w:p>
    <w:p>
      <w:pPr>
        <w:keepNext w:val="0"/>
        <w:spacing w:before="0" w:after="120" w:line="269" w:lineRule="auto"/>
        <w:jc w:val="left"/>
      </w:pPr>
      <w:r>
        <w:rPr>
          <w:rFonts w:ascii="Aptos" w:hAnsi="Aptos"/>
          <w:b w:val="0"/>
          <w:i w:val="0"/>
          <w:color w:val="172B3A"/>
          <w:sz w:val="21"/>
        </w:rPr>
        <w:t>Limiter chaque écran à un CTA primaire. Les cartes interactives doivent avoir les mêmes rayons, hauteurs, ombres, comportements de clavier et transitions. Les titres doivent suivre une hiérarchie H1 &gt; H2 &gt; H3, sans utiliser la taille seule pour transmettre le niveau.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04 / DOCUMENTATION ADC</w:t>
      </w:r>
    </w:p>
    <w:p>
      <w:pPr>
        <w:pStyle w:val="Heading1"/>
        <w:keepNext/>
      </w:pPr>
      <w:r>
        <w:t>Accueil - version principale</w:t>
      </w:r>
    </w:p>
    <w:p>
      <w:pPr>
        <w:keepNext w:val="0"/>
        <w:spacing w:before="0" w:after="200" w:line="269" w:lineRule="auto"/>
        <w:jc w:val="left"/>
      </w:pPr>
      <w:r>
        <w:rPr>
          <w:rFonts w:ascii="Aptos" w:hAnsi="Aptos"/>
          <w:b w:val="0"/>
          <w:i w:val="0"/>
          <w:color w:val="627487"/>
          <w:sz w:val="21"/>
        </w:rPr>
        <w:t>Version la plus complète et la plus adaptée à un lancement.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9"/>
        <w:gridCol w:w="4939"/>
      </w:tblGrid>
      <w:tr>
        <w:tc>
          <w:tcPr>
            <w:tcW w:type="dxa" w:w="4939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0085" cy="342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—_Accueil_·_Version_principale_doc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" cy="34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Version principale</w:t>
            </w:r>
          </w:p>
        </w:tc>
        <w:tc>
          <w:tcPr>
            <w:tcW w:type="dxa" w:w="4939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58264" cy="3429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CEPT_—_Hero_et_première_impression_doc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264" cy="34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Concept hero / première impression</w:t>
            </w:r>
          </w:p>
        </w:tc>
      </w:tr>
    </w:tbl>
    <w:p>
      <w:pPr>
        <w:pStyle w:val="Heading2"/>
        <w:keepNext/>
      </w:pPr>
      <w:r>
        <w:t>Lecture fonctionnelle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 hero positionne ADC comme DSI des PME et donne immédiatement accès à la démo.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Les chiffres clés renforcent la confiance, mais leurs libellés doivent être spécifiques et vérifiables.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 bloc “Nos offres pour les PME” rend l’offre concrète grâce à sept familles de services.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Les solutions, l’approche, les études de cas et les carrières construisent une progression de preuve.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 contact en fin de page capte les visiteurs qui ont parcouru l’argumentaire complet.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EA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Recommandation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Retenir la version principale comme base. Utiliser le hero de la proposition classique si l’on privilégie une première impression plus légère. Le pop-up du concept doit rester optionnel, temporisé, facilement fermable et non intrusif sur mobile.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05 / DOCUMENTATION ADC</w:t>
      </w:r>
    </w:p>
    <w:p>
      <w:pPr>
        <w:pStyle w:val="Heading1"/>
        <w:keepNext/>
      </w:pPr>
      <w:r>
        <w:t>Accueil - comparaison des variantes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9"/>
        <w:gridCol w:w="4939"/>
      </w:tblGrid>
      <w:tr>
        <w:tc>
          <w:tcPr>
            <w:tcW w:type="dxa" w:w="4939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6973" cy="3337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B_—_Accueil_·_Proposition_alternative_doc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973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Proposition alternative</w:t>
            </w:r>
          </w:p>
        </w:tc>
        <w:tc>
          <w:tcPr>
            <w:tcW w:type="dxa" w:w="4939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6973" cy="3337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C_—_Accueil_·_Proposition_classique_do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973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Proposition classique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232"/>
        <w:gridCol w:w="2232"/>
        <w:gridCol w:w="2232"/>
      </w:tblGrid>
      <w:tr>
        <w:trPr>
          <w:tblHeader w:val="true"/>
        </w:trPr>
        <w:tc>
          <w:tcPr>
            <w:tcW w:type="dxa" w:w="246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Critère</w:t>
            </w:r>
          </w:p>
        </w:tc>
        <w:tc>
          <w:tcPr>
            <w:tcW w:type="dxa" w:w="246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Principale</w:t>
            </w:r>
          </w:p>
        </w:tc>
        <w:tc>
          <w:tcPr>
            <w:tcW w:type="dxa" w:w="246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Alternative</w:t>
            </w:r>
          </w:p>
        </w:tc>
        <w:tc>
          <w:tcPr>
            <w:tcW w:type="dxa" w:w="246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Classique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Lisibilité du hero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Bonne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Moyenne - fond chargé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Très bonne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Richesse éditoriale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Très élevée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Élevée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Élevée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Preuve par les cas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Intégrée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Non visible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Non visible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Carrières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Intégrées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Bandeau court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Bandeau court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Recommandation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Base de production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Variante campagne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Source pour le hero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Décisions à figer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Choisir une seule version canonique pour éviter la divergence du contenu.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Conserver un seul bouton principal dans le hero ; le second bouton observé dans une variante est redondant.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Normaliser la casse des titres et la terminologie “PME”.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Remplacer les chiffres génériques par des métriques réelles et datées.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06 / DOCUMENTATION ADC</w:t>
      </w:r>
    </w:p>
    <w:p>
      <w:pPr>
        <w:pStyle w:val="Heading1"/>
        <w:keepNext/>
      </w:pPr>
      <w:r>
        <w:t>Qui sommes-nous 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617091" cy="4892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—_À_propos_d’ADC_do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7091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9" w:lineRule="auto"/>
        <w:jc w:val="center"/>
      </w:pPr>
      <w:r>
        <w:rPr>
          <w:rFonts w:ascii="Aptos" w:hAnsi="Aptos"/>
          <w:b w:val="0"/>
          <w:i/>
          <w:color w:val="627487"/>
          <w:sz w:val="16"/>
        </w:rPr>
        <w:t>Maquette 04 - présentation institutionnelle d’Africa Digital Connect</w:t>
      </w:r>
    </w:p>
    <w:p>
      <w:pPr>
        <w:pStyle w:val="Heading2"/>
        <w:keepNext/>
      </w:pPr>
      <w:r>
        <w:t>Contenu attendu</w:t>
      </w:r>
    </w:p>
    <w:p>
      <w:pPr>
        <w:keepNext w:val="0"/>
        <w:spacing w:before="0" w:after="120" w:line="269" w:lineRule="auto"/>
        <w:jc w:val="left"/>
      </w:pPr>
      <w:r>
        <w:rPr>
          <w:rFonts w:ascii="Aptos" w:hAnsi="Aptos"/>
          <w:b w:val="0"/>
          <w:i w:val="0"/>
          <w:color w:val="172B3A"/>
          <w:sz w:val="21"/>
        </w:rPr>
        <w:t>La page regroupe l’histoire et la mission d’ADC, ses valeurs, ses ambitions, sa politique RSE et l’équipe dirigeante. Elle doit répondre à trois questions : qui est ADC, pourquoi lui faire confiance et qui porte l’engagement.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Réécrire le texte en paragraphes courts et en casse normale pour améliorer la lecture.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Associer chaque membre de l’équipe à un nom, une fonction et une biographie courte vérifiés.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Documenter les engagements RSE avec des actions, dates et résultats mesurables.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Ajouter des textes alternatifs pertinents aux photographies.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07 / DOCUMENTATION ADC</w:t>
      </w:r>
    </w:p>
    <w:p>
      <w:pPr>
        <w:pStyle w:val="Heading1"/>
        <w:keepNext/>
      </w:pPr>
      <w:r>
        <w:t>Notre approche : Former, Équiper, Accompagner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4136" cy="3154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_—_Notre_approche_·_Former_doc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136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Former</w:t>
            </w:r>
          </w:p>
        </w:tc>
        <w:tc>
          <w:tcPr>
            <w:tcW w:type="dxa" w:w="3293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7747" cy="3154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B_—_Notre_approche_·_Équiper_doc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47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Équiper</w:t>
            </w:r>
          </w:p>
        </w:tc>
        <w:tc>
          <w:tcPr>
            <w:tcW w:type="dxa" w:w="3293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593" cy="3154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C_—_Notre_approche_·_Accompagner_doc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593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Accompagner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240"/>
        <w:gridCol w:w="4248"/>
      </w:tblGrid>
      <w:tr>
        <w:trPr>
          <w:tblHeader w:val="true"/>
        </w:trPr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Pilier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Promesse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Preuves / contenus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Former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Développer les compétences numériques et métier</w:t>
            </w:r>
          </w:p>
        </w:tc>
        <w:tc>
          <w:tcPr>
            <w:tcW w:type="dxa" w:w="42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Catalogue, objectifs, publics, modalités, témoignages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Équiper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Fournir des infrastructures et outils performants</w:t>
            </w:r>
          </w:p>
        </w:tc>
        <w:tc>
          <w:tcPr>
            <w:tcW w:type="dxa" w:w="424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Expertises, projets, partenaires, technologies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Accompagner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Mobiliser des experts et accélérer les déploiements</w:t>
            </w:r>
          </w:p>
        </w:tc>
        <w:tc>
          <w:tcPr>
            <w:tcW w:type="dxa" w:w="42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Services, délais, gouvernance, résultats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EA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À harmoniser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Les cartes utilisent actuellement des libellés génériques répétés. Chaque carte doit porter un titre réel, une description courte et un lien vers un détail ou une prise de contact.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08 / DOCUMENTATION ADC</w:t>
      </w:r>
    </w:p>
    <w:p>
      <w:pPr>
        <w:pStyle w:val="Heading1"/>
        <w:keepNext/>
      </w:pPr>
      <w:r>
        <w:t>Nos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9"/>
        <w:gridCol w:w="4939"/>
      </w:tblGrid>
      <w:tr>
        <w:tc>
          <w:tcPr>
            <w:tcW w:type="dxa" w:w="4939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02234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—_Solutions_·_Vue_principale_doc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022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Vue principale</w:t>
            </w:r>
          </w:p>
        </w:tc>
        <w:tc>
          <w:tcPr>
            <w:tcW w:type="dxa" w:w="4939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02234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A_—_Solutions_·_État_hover_do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022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4558E"/>
                <w:sz w:val="17"/>
              </w:rPr>
              <w:t>État de survol</w:t>
            </w:r>
          </w:p>
        </w:tc>
      </w:tr>
    </w:tbl>
    <w:p>
      <w:pPr>
        <w:pStyle w:val="Heading2"/>
        <w:keepNext/>
      </w:pPr>
      <w:r>
        <w:t>Comportement attendu des cartes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État repos : titre, visuel, contraste suffisant et indication d’interactivité.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Hover : révéler la description ou l’action sans déplacer la mise en page.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Focus clavier : reproduire l’information du hover avec un contour visible.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Activation : ouvrir une page solution ou une fiche détaillée, jamais une zone sans destination.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Mobile : afficher l’information essentielle sans dépendre du survol.</w:t>
      </w:r>
    </w:p>
    <w:p>
      <w:pPr>
        <w:pStyle w:val="Heading2"/>
        <w:keepNext/>
      </w:pPr>
      <w:r>
        <w:t>Catalogue</w:t>
      </w:r>
    </w:p>
    <w:p>
      <w:pPr>
        <w:keepNext w:val="0"/>
        <w:spacing w:before="0" w:after="120" w:line="269" w:lineRule="auto"/>
        <w:jc w:val="left"/>
      </w:pPr>
      <w:r>
        <w:rPr>
          <w:rFonts w:ascii="Aptos" w:hAnsi="Aptos"/>
          <w:b w:val="0"/>
          <w:i w:val="0"/>
          <w:color w:val="172B3A"/>
          <w:sz w:val="21"/>
        </w:rPr>
        <w:t>Balafon - supervision et monitoring IT ; Collaborateur Cyber Responsable (CCR) - centre de contrôle réseau et cybersécurité ; Baobab - gestion des services IT ; Bamboo - collaboration et productivité.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09 / DOCUMENTATION ADC</w:t>
      </w:r>
    </w:p>
    <w:p>
      <w:pPr>
        <w:pStyle w:val="Heading1"/>
        <w:keepNext/>
      </w:pPr>
      <w:r>
        <w:t>Études de cas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16657" cy="4983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—_Études_de_cas_·_Détails_doc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6657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9" w:lineRule="auto"/>
        <w:jc w:val="center"/>
      </w:pPr>
      <w:r>
        <w:rPr>
          <w:rFonts w:ascii="Aptos" w:hAnsi="Aptos"/>
          <w:b w:val="0"/>
          <w:i/>
          <w:color w:val="627487"/>
          <w:sz w:val="16"/>
        </w:rPr>
        <w:t>Maquette 07 - trois cas structurés par défi, réponse et impact</w:t>
      </w:r>
    </w:p>
    <w:p>
      <w:pPr>
        <w:pStyle w:val="Heading2"/>
        <w:keepNext/>
      </w:pPr>
      <w:r>
        <w:t>Gabarit éditorial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056"/>
      </w:tblGrid>
      <w:tr>
        <w:trPr>
          <w:tblHeader w:val="true"/>
        </w:trPr>
        <w:tc>
          <w:tcPr>
            <w:tcW w:type="dxa" w:w="493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Champ</w:t>
            </w:r>
          </w:p>
        </w:tc>
        <w:tc>
          <w:tcPr>
            <w:tcW w:type="dxa" w:w="493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Exigence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Contexte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Secteur, organisation et situation initiale sans divulguer d’information sensible.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Défi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Problème précis, conséquences et contraintes.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Réponse ADC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Solution, méthode, technologies et accompagnement.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Impact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Résultats quantifiés, période de mesure et source de validation.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CTA</w:t>
            </w:r>
          </w:p>
        </w:tc>
        <w:tc>
          <w:tcPr>
            <w:tcW w:type="dxa" w:w="70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Découvrir la solution associée ou demander un échange.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EA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Crédibilité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Éviter les résultats vagues. Chaque impact doit être mesurable ou explicitement qualifié comme retour qualitatif.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10 / DOCUMENTATION ADC</w:t>
      </w:r>
    </w:p>
    <w:p>
      <w:pPr>
        <w:pStyle w:val="Heading1"/>
        <w:keepNext/>
      </w:pPr>
      <w:r>
        <w:t>Carrières - liste des postes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35299" cy="4892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—_Carrières_·_Liste_des_postes_do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299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9" w:lineRule="auto"/>
        <w:jc w:val="center"/>
      </w:pPr>
      <w:r>
        <w:rPr>
          <w:rFonts w:ascii="Aptos" w:hAnsi="Aptos"/>
          <w:b w:val="0"/>
          <w:i/>
          <w:color w:val="627487"/>
          <w:sz w:val="16"/>
        </w:rPr>
        <w:t>Maquette 06 - grille de six opportunités</w:t>
      </w:r>
    </w:p>
    <w:p>
      <w:pPr>
        <w:pStyle w:val="Heading2"/>
        <w:keepNext/>
      </w:pPr>
      <w:r>
        <w:t>Fonctions clés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Afficher le nombre d’offres ouvertes et actualiser automatiquement l’état des postes.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Permettre le filtrage par métier, type de contrat et localisation si le volume augmente.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Chaque carte contient : contrat, intitulé, lieu, résumé et lien vers le détail.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Un poste fermé doit être retiré ou marqué clairement, sans conserver un bouton actif.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Les offres doivent être partageables via une URL stable et des métadonnées sociales.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11 / DOCUMENTATION ADC</w:t>
      </w:r>
    </w:p>
    <w:p>
      <w:pPr>
        <w:pStyle w:val="Heading1"/>
        <w:keepNext/>
      </w:pPr>
      <w:r>
        <w:t>Carrières - détail et candidature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875583" cy="4892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—_Carrières_·_Offres_et_détail_do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5583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9" w:lineRule="auto"/>
        <w:jc w:val="center"/>
      </w:pPr>
      <w:r>
        <w:rPr>
          <w:rFonts w:ascii="Aptos" w:hAnsi="Aptos"/>
          <w:b w:val="0"/>
          <w:i/>
          <w:color w:val="627487"/>
          <w:sz w:val="16"/>
        </w:rPr>
        <w:t>Maquette 06 - fiche de poste avec panneau de candidature</w:t>
      </w:r>
    </w:p>
    <w:p>
      <w:pPr>
        <w:pStyle w:val="Heading2"/>
        <w:keepNext/>
      </w:pPr>
      <w:r>
        <w:t>Structure de la fiche</w:t>
      </w:r>
    </w:p>
    <w:p>
      <w:pPr>
        <w:keepNext w:val="0"/>
        <w:spacing w:before="0" w:after="120" w:line="269" w:lineRule="auto"/>
        <w:jc w:val="left"/>
      </w:pPr>
      <w:r>
        <w:rPr>
          <w:rFonts w:ascii="Aptos" w:hAnsi="Aptos"/>
          <w:b w:val="0"/>
          <w:i w:val="0"/>
          <w:color w:val="172B3A"/>
          <w:sz w:val="21"/>
        </w:rPr>
        <w:t>Intitulé, contrat, localisation, disponibilité, mission, responsabilités, profil recherché, proposition employeur, documents recommandés et autres opportunités.</w:t>
      </w:r>
    </w:p>
    <w:p>
      <w:pPr>
        <w:pStyle w:val="Heading2"/>
        <w:keepNext/>
      </w:pPr>
      <w:r>
        <w:t>Parcours de candidature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Le bouton “Postuler maintenant” ouvre un formulaire accessible ou un canal clairement identifié.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Limiter les pièces obligatoires et indiquer formats, taille maximale et durée de conservation.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Afficher un accusé de réception et préciser le délai indicatif de réponse.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Recueillir le consentement au traitement des données personnelles.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12 / DOCUMENTATION ADC</w:t>
      </w:r>
    </w:p>
    <w:p>
      <w:pPr>
        <w:pStyle w:val="Heading1"/>
        <w:keepNext/>
      </w:pPr>
      <w:r>
        <w:t>Contact et conversion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008401" cy="3794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—_Contact_do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8401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9" w:lineRule="auto"/>
        <w:jc w:val="center"/>
      </w:pPr>
      <w:r>
        <w:rPr>
          <w:rFonts w:ascii="Aptos" w:hAnsi="Aptos"/>
          <w:b w:val="0"/>
          <w:i/>
          <w:color w:val="627487"/>
          <w:sz w:val="16"/>
        </w:rPr>
        <w:t>Maquette 02 - formulaire, coordonnées et carte</w:t>
      </w:r>
    </w:p>
    <w:p>
      <w:pPr>
        <w:pStyle w:val="Heading2"/>
        <w:keepNext/>
      </w:pPr>
      <w:r>
        <w:t>Formulaire recommandé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512"/>
        <w:gridCol w:w="5400"/>
      </w:tblGrid>
      <w:tr>
        <w:trPr>
          <w:tblHeader w:val="true"/>
        </w:trPr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Champ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Statut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Règle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Nom et prénom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Obligatoire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Texte, 2 à 80 caractères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Société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Optionnel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Texte, 2 à 120 caractères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E-mail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Obligatoire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Validation syntaxique et message explicite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Téléphone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Optionnel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Format international accepté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Service concerné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Obligatoire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Liste contrôlée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Message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Obligatoire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20 à 2 000 caractères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Consentement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Obligatoire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Case non précochée, lien vers la politique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EA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Après envoi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Afficher une confirmation, envoyer un e-mail de réception, conserver une trace côté équipe et empêcher les doubles soumissions. Ajouter une protection anti-spam respectueuse de l’utilisateur.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13 / DOCUMENTATION ADC</w:t>
      </w:r>
    </w:p>
    <w:p>
      <w:pPr>
        <w:pStyle w:val="Heading1"/>
        <w:keepNext/>
      </w:pPr>
      <w:r>
        <w:t>Exigences transverses</w:t>
      </w:r>
    </w:p>
    <w:p>
      <w:pPr>
        <w:pStyle w:val="Heading2"/>
        <w:keepNext/>
      </w:pPr>
      <w:r>
        <w:t>Responsive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Maquettes de référence à prévoir au minimum pour 1440 px, 768 px et 390 px.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Grilles de trois cartes ramenées à deux puis une colonne, sans perte de contenu.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Images recadrées avec point focal ; titres longs testés sur petits écrans.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Aucune interaction essentielle ne doit dépendre du hover.</w:t>
      </w:r>
    </w:p>
    <w:p>
      <w:pPr>
        <w:pStyle w:val="Heading2"/>
        <w:keepNext/>
      </w:pPr>
      <w:r>
        <w:t>Accessibilité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Contraste conforme WCAG AA, focus visible et navigation complète au clavier.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Un seul H1 par page, ordre logique des titres et liens explicites.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Labels persistants pour les formulaires, erreurs associées aux champs et annonces compatibles lecteur d’écran.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Textes alternatifs pour les images utiles ; attribut vide pour les images décoratives.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Respect de la préférence de réduction des animations.</w:t>
      </w:r>
    </w:p>
    <w:p>
      <w:pPr>
        <w:pStyle w:val="Heading2"/>
        <w:keepNext/>
      </w:pPr>
      <w:r>
        <w:t>Performance et SEO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Images WebP/AVIF responsives, chargement différé sous la ligne de flottaison.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Objectifs : LCP &lt; 2,5 s, INP &lt; 200 ms, CLS &lt; 0,1 sur mobile au 75e percentile.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Titre et description uniques, données structurées Organization et JobPosting si pertinentes.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Plan de site XML, robots.txt, URLs canoniques et partage social configurés.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14 / DOCUMENTATION ADC</w:t>
      </w:r>
    </w:p>
    <w:p>
      <w:pPr>
        <w:pStyle w:val="Heading1"/>
        <w:keepNext/>
      </w:pPr>
      <w:r>
        <w:t>Gestion de contenu et données</w:t>
      </w:r>
    </w:p>
    <w:p>
      <w:pPr>
        <w:pStyle w:val="Heading2"/>
        <w:keepNext/>
      </w:pPr>
      <w:r>
        <w:t>Contenus administrables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2880"/>
      </w:tblGrid>
      <w:tr>
        <w:trPr>
          <w:tblHeader w:val="true"/>
        </w:trPr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Champs principaux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Cycle de vie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Page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Titre, slug, sections, SEO, statut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Brouillon &gt; validation &gt; publication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Solution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Nom, promesse, description, visuel, CTA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Active / archivée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Étude de cas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Client/secteur, défi, réponse, impact, médias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Brouillon &gt; validée &gt; publiée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Offre d’emploi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Contrat, lieu, mission, profil, date de clôture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Ouverte &gt; suspendue &gt; clôturée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Partenaire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Nom, logo, URL, texte alternatif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Actif / inactif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Équipe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Nom, fonction, bio, photo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Publié / masqué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Gouvernance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Propriétaire éditorial identifié pour chaque type de contenu.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Validation systématique des chiffres, noms, coordonnées et liens avant publication.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Journal des modifications et possibilité de restaurer une version précédente.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Revue trimestrielle des pages institutionnelles et mensuelle des offres d’emploi.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15 / DOCUMENTATION ADC</w:t>
      </w:r>
    </w:p>
    <w:p>
      <w:pPr>
        <w:pStyle w:val="Heading1"/>
        <w:keepNext/>
      </w:pPr>
      <w:r>
        <w:t>Recette et critères d’acceptation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984"/>
      </w:tblGrid>
      <w:tr>
        <w:trPr>
          <w:tblHeader w:val="true"/>
        </w:trPr>
        <w:tc>
          <w:tcPr>
            <w:tcW w:type="dxa" w:w="493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Domaine</w:t>
            </w:r>
          </w:p>
        </w:tc>
        <w:tc>
          <w:tcPr>
            <w:tcW w:type="dxa" w:w="4939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Critère de réussite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Navigation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Tous les liens mènent à la bonne destination ; état actif et menu mobile validés.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Contenu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Aucun texte factice, doublon, faute bloquante ou donnée non vérifiée.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Formulaires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Validation, consentement, anti-spam, confirmation et notification testés.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Responsive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Aucun débordement horizontal entre 320 px et 1920 px.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Accessibilité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Parcours clavier complet, focus visible, labels et contrastes conformes.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Performance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Objectifs Core Web Vitals atteints sur pages représentatives.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SEO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Métadonnées, canonical, indexation, sitemap et données structurées validés.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Sécurité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HTTPS, en-têtes, limitation des soumissions, fichiers contrôlés et secrets protégés.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Analytics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Événements CTA, formulaires et candidatures documentés sans données sensibles.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Priorités avant développement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P0 - Valider la version canonique de l’accueil et l’arborescence.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P0 - Remplacer les contenus génériques et confirmer les chiffres clés.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P0 - Définir le fonctionnement réel des demandes de démo et candidatures.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P1 - Produire les maquettes tablette/mobile et les états focus/erreur/succès.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P1 - Normaliser le footer, les cartes et les composants de formulaire.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72B3A"/>
          <w:sz w:val="20"/>
        </w:rPr>
        <w:t>P2 - Préparer le modèle de gestion de contenu et le plan de mesure.</w:t>
      </w:r>
    </w:p>
    <w:p>
      <w:r>
        <w:br w:type="page"/>
      </w:r>
    </w:p>
    <w:p>
      <w:pPr>
        <w:keepNext/>
        <w:spacing w:before="0" w:after="60" w:line="269" w:lineRule="auto"/>
        <w:jc w:val="left"/>
      </w:pPr>
      <w:r>
        <w:rPr>
          <w:rFonts w:ascii="Aptos" w:hAnsi="Aptos"/>
          <w:b/>
          <w:i w:val="0"/>
          <w:color w:val="42BEE3"/>
          <w:sz w:val="17"/>
        </w:rPr>
        <w:t>16 / DOCUMENTATION ADC</w:t>
      </w:r>
    </w:p>
    <w:p>
      <w:pPr>
        <w:pStyle w:val="Heading1"/>
        <w:keepNext/>
      </w:pPr>
      <w:r>
        <w:t>Inventaire des maquettes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256"/>
        <w:gridCol w:w="1224"/>
      </w:tblGrid>
      <w:tr>
        <w:trPr>
          <w:tblHeader w:val="true"/>
        </w:trPr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Écran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Fichier source</w:t>
            </w:r>
          </w:p>
        </w:tc>
        <w:tc>
          <w:tcPr>
            <w:tcW w:type="dxa" w:w="3293"/>
            <w:shd w:fill="0E2A3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Dimensions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Accueil - version principale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01 — Accueil · Version principale.png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7250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Accueil - alternative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01B — Accueil · Proposition alternative.png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5800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Accueil - classique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01C — Accueil · Proposition classique.png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5800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Contact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02 — Contact.png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1816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Solutions - vue principale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03 — Solutions · Vue principale.png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2774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Solutions - hover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03A — Solutions · État hover.png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2774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À propos d’ADC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04 — À propos d’ADC.png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4356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Approche - Former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05A — Notre approche · Former.png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4856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Approche - Équiper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05B — Notre approche · Équiper.png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3852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Approche - Accompagner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05C — Notre approche · Accompagner.png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3652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Carrières - liste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06 — Carrières · Liste des postes.png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2050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Carrières - détail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06 — Carrières · Offres et détail.png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1817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Études de cas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07 — Études de cas · Détails.png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2850 px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2B3A"/>
                <w:sz w:val="17"/>
              </w:rPr>
              <w:t>Concept hero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CONCEPT — Hero et première impression.png</w:t>
            </w:r>
          </w:p>
        </w:tc>
        <w:tc>
          <w:tcPr>
            <w:tcW w:type="dxa" w:w="1224"/>
            <w:tcMar>
              <w:top w:w="100" w:type="dxa"/>
              <w:start w:w="140" w:type="dxa"/>
              <w:bottom w:w="100" w:type="dxa"/>
              <w:end w:w="14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1440 × 1060 px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type="dxa" w:w="9878"/>
            <w:shd w:fill="EA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58E"/>
                <w:sz w:val="21"/>
              </w:rPr>
              <w:t>Statut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B3A"/>
                <w:sz w:val="19"/>
              </w:rPr>
              <w:t>Cette documentation est fondée sur les quatorze maquettes fournies. Les comportements non visibles ont été formulés comme recommandations fonctionnelles à valider avec l’équipe projet.</w:t>
            </w:r>
          </w:p>
        </w:tc>
      </w:tr>
    </w:tbl>
    <w:p>
      <w:pPr>
        <w:spacing w:after="20"/>
      </w:pPr>
    </w:p>
    <w:p>
      <w:pPr>
        <w:keepNext w:val="0"/>
        <w:spacing w:before="360" w:after="120" w:line="269" w:lineRule="auto"/>
        <w:jc w:val="center"/>
      </w:pPr>
      <w:r>
        <w:rPr>
          <w:rFonts w:ascii="Aptos" w:hAnsi="Aptos"/>
          <w:b w:val="0"/>
          <w:i/>
          <w:color w:val="627487"/>
          <w:sz w:val="18"/>
        </w:rPr>
        <w:t>Fin du document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Aptos" w:hAnsi="Aptos"/>
        <w:b w:val="0"/>
        <w:i w:val="0"/>
        <w:color w:val="627487"/>
        <w:sz w:val="16"/>
      </w:rPr>
      <w:t>AFRICA DIGITAL CONNECT  |  Documentation du site web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A3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5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2A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fonctionnelle et UI - Site web ADC</dc:title>
  <dc:subject>Spécification des maquettes Africa Digital Connect</dc:subject>
  <dc:creator>Africa Digital Connect</dc:creator>
  <cp:keywords>ADC, site web, UX, UI, documentation fonctionnelle</cp:keywords>
  <dc:description>Document généré à partir des maquettes fournies.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