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73.33333333333337" w:lineRule="auto"/>
        <w:rPr>
          <w:rFonts w:ascii="Jost" w:cs="Jost" w:eastAsia="Jost" w:hAnsi="Jost"/>
          <w:sz w:val="54"/>
          <w:szCs w:val="54"/>
        </w:rPr>
      </w:pPr>
      <w:bookmarkStart w:colFirst="0" w:colLast="0" w:name="_evy0g8kcmni2" w:id="0"/>
      <w:bookmarkEnd w:id="0"/>
      <w:r w:rsidDel="00000000" w:rsidR="00000000" w:rsidRPr="00000000">
        <w:rPr>
          <w:rFonts w:ascii="Jost" w:cs="Jost" w:eastAsia="Jost" w:hAnsi="Jost"/>
          <w:sz w:val="54"/>
          <w:szCs w:val="54"/>
          <w:rtl w:val="0"/>
        </w:rPr>
        <w:t xml:space="preserve">The objectives of PR in data breaches</w:t>
      </w:r>
    </w:p>
    <w:p w:rsidR="00000000" w:rsidDel="00000000" w:rsidP="00000000" w:rsidRDefault="00000000" w:rsidRPr="00000000" w14:paraId="00000002">
      <w:pPr>
        <w:pBdr>
          <w:top w:color="auto" w:space="0" w:sz="0" w:val="none"/>
          <w:left w:color="auto" w:space="0" w:sz="0" w:val="none"/>
          <w:bottom w:color="auto" w:space="16" w:sz="0" w:val="none"/>
          <w:right w:color="auto" w:space="0" w:sz="0" w:val="none"/>
        </w:pBdr>
        <w:shd w:fill="ffffff" w:val="clear"/>
        <w:rPr>
          <w:rFonts w:ascii="Jost" w:cs="Jost" w:eastAsia="Jost" w:hAnsi="Jost"/>
          <w:sz w:val="26"/>
          <w:szCs w:val="26"/>
        </w:rPr>
      </w:pPr>
      <w:r w:rsidDel="00000000" w:rsidR="00000000" w:rsidRPr="00000000">
        <w:rPr>
          <w:rFonts w:ascii="Jost" w:cs="Jost" w:eastAsia="Jost" w:hAnsi="Jost"/>
          <w:sz w:val="26"/>
          <w:szCs w:val="26"/>
          <w:rtl w:val="0"/>
        </w:rPr>
        <w:t xml:space="preserve">The primary goal of PR services in a data breach is to mitigate reputational damage, reassure stakeholders, and ensure transparency while complying with legal obligations. An effective PR strategy can:</w:t>
      </w:r>
    </w:p>
    <w:p w:rsidR="00000000" w:rsidDel="00000000" w:rsidP="00000000" w:rsidRDefault="00000000" w:rsidRPr="00000000" w14:paraId="00000003">
      <w:pPr>
        <w:pBdr>
          <w:top w:color="auto" w:space="0" w:sz="0" w:val="none"/>
          <w:left w:color="auto" w:space="0" w:sz="0" w:val="none"/>
          <w:bottom w:color="auto" w:space="16" w:sz="0" w:val="none"/>
          <w:right w:color="auto" w:space="0" w:sz="0" w:val="none"/>
        </w:pBdr>
        <w:shd w:fill="ffffff" w:val="clear"/>
        <w:rPr>
          <w:rFonts w:ascii="Jost" w:cs="Jost" w:eastAsia="Jost" w:hAnsi="Jost"/>
          <w:sz w:val="26"/>
          <w:szCs w:val="26"/>
        </w:rPr>
      </w:pPr>
      <w:r w:rsidDel="00000000" w:rsidR="00000000" w:rsidRPr="00000000">
        <w:rPr>
          <w:rtl w:val="0"/>
        </w:rPr>
      </w:r>
    </w:p>
    <w:tbl>
      <w:tblPr>
        <w:tblStyle w:val="Table1"/>
        <w:tblW w:w="9360.000000000002" w:type="dxa"/>
        <w:jc w:val="left"/>
        <w:tblBorders>
          <w:top w:color="ececec" w:space="0" w:sz="4" w:val="single"/>
          <w:left w:color="000000" w:space="0" w:sz="0" w:val="nil"/>
          <w:bottom w:color="000000" w:space="0" w:sz="0" w:val="nil"/>
          <w:right w:color="000000" w:space="0" w:sz="0" w:val="nil"/>
          <w:insideH w:color="ececec" w:space="0" w:sz="4" w:val="single"/>
          <w:insideV w:color="000000" w:space="0" w:sz="0" w:val="nil"/>
        </w:tblBorders>
        <w:tblLayout w:type="fixed"/>
        <w:tblLook w:val="0600"/>
      </w:tblPr>
      <w:tblGrid>
        <w:gridCol w:w="2637.93991416309"/>
        <w:gridCol w:w="6722.060085836911"/>
        <w:tblGridChange w:id="0">
          <w:tblGrid>
            <w:gridCol w:w="2637.93991416309"/>
            <w:gridCol w:w="6722.060085836911"/>
          </w:tblGrid>
        </w:tblGridChange>
      </w:tblGrid>
      <w:tr>
        <w:trPr>
          <w:cantSplit w:val="0"/>
          <w:trHeight w:val="705" w:hRule="atLeast"/>
          <w:tblHeader w:val="0"/>
        </w:trPr>
        <w:tc>
          <w:tcPr>
            <w:tcBorders>
              <w:top w:color="000000" w:space="0" w:sz="0" w:val="nil"/>
              <w:left w:color="ececec" w:space="0" w:sz="4" w:val="single"/>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4">
            <w:pPr>
              <w:spacing w:after="300" w:line="360" w:lineRule="auto"/>
              <w:jc w:val="center"/>
              <w:rPr>
                <w:rFonts w:ascii="Jost" w:cs="Jost" w:eastAsia="Jost" w:hAnsi="Jost"/>
                <w:sz w:val="26"/>
                <w:szCs w:val="26"/>
              </w:rPr>
            </w:pPr>
            <w:r w:rsidDel="00000000" w:rsidR="00000000" w:rsidRPr="00000000">
              <w:rPr>
                <w:rFonts w:ascii="Jost" w:cs="Jost" w:eastAsia="Jost" w:hAnsi="Jost"/>
                <w:b w:val="1"/>
                <w:bCs w:val="1"/>
                <w:sz w:val="26"/>
                <w:szCs w:val="26"/>
                <w:rtl w:val="0"/>
              </w:rPr>
              <w:t xml:space="preserve">Objective</w:t>
            </w:r>
            <w:r w:rsidDel="00000000" w:rsidR="00000000" w:rsidRPr="00000000">
              <w:rPr>
                <w:rtl w:val="0"/>
              </w:rPr>
            </w:r>
          </w:p>
        </w:tc>
        <w:tc>
          <w:tcPr>
            <w:tcBorders>
              <w:top w:color="000000" w:space="0" w:sz="0" w:val="nil"/>
              <w:left w:color="000000" w:space="0" w:sz="0" w:val="nil"/>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5">
            <w:pPr>
              <w:spacing w:after="300" w:line="360" w:lineRule="auto"/>
              <w:jc w:val="center"/>
              <w:rPr>
                <w:rFonts w:ascii="Jost" w:cs="Jost" w:eastAsia="Jost" w:hAnsi="Jost"/>
                <w:sz w:val="26"/>
                <w:szCs w:val="26"/>
              </w:rPr>
            </w:pPr>
            <w:r w:rsidDel="00000000" w:rsidR="00000000" w:rsidRPr="00000000">
              <w:rPr>
                <w:rFonts w:ascii="Jost" w:cs="Jost" w:eastAsia="Jost" w:hAnsi="Jost"/>
                <w:b w:val="1"/>
                <w:bCs w:val="1"/>
                <w:sz w:val="26"/>
                <w:szCs w:val="26"/>
                <w:rtl w:val="0"/>
              </w:rPr>
              <w:t xml:space="preserve">Benefit</w:t>
            </w:r>
            <w:r w:rsidDel="00000000" w:rsidR="00000000" w:rsidRPr="00000000">
              <w:rPr>
                <w:rtl w:val="0"/>
              </w:rPr>
            </w:r>
          </w:p>
        </w:tc>
      </w:tr>
      <w:tr>
        <w:trPr>
          <w:cantSplit w:val="0"/>
          <w:trHeight w:val="705" w:hRule="atLeast"/>
          <w:tblHeader w:val="0"/>
        </w:trPr>
        <w:tc>
          <w:tcPr>
            <w:tcBorders>
              <w:top w:color="000000" w:space="0" w:sz="0" w:val="nil"/>
              <w:left w:color="ececec" w:space="0" w:sz="4" w:val="single"/>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6">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Minimise customer churn</w:t>
            </w:r>
            <w:r w:rsidDel="00000000" w:rsidR="00000000" w:rsidRPr="00000000">
              <w:rPr>
                <w:rtl w:val="0"/>
              </w:rPr>
            </w:r>
          </w:p>
        </w:tc>
        <w:tc>
          <w:tcPr>
            <w:tcBorders>
              <w:top w:color="000000" w:space="0" w:sz="0" w:val="nil"/>
              <w:left w:color="000000" w:space="0" w:sz="0" w:val="nil"/>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7">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Retain trust and prevent loss of business</w:t>
            </w:r>
            <w:r w:rsidDel="00000000" w:rsidR="00000000" w:rsidRPr="00000000">
              <w:rPr>
                <w:rtl w:val="0"/>
              </w:rPr>
            </w:r>
          </w:p>
        </w:tc>
      </w:tr>
      <w:tr>
        <w:trPr>
          <w:cantSplit w:val="0"/>
          <w:trHeight w:val="705" w:hRule="atLeast"/>
          <w:tblHeader w:val="0"/>
        </w:trPr>
        <w:tc>
          <w:tcPr>
            <w:tcBorders>
              <w:top w:color="000000" w:space="0" w:sz="0" w:val="nil"/>
              <w:left w:color="ececec" w:space="0" w:sz="4" w:val="single"/>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8">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Mitigate financial risks</w:t>
            </w:r>
            <w:r w:rsidDel="00000000" w:rsidR="00000000" w:rsidRPr="00000000">
              <w:rPr>
                <w:rtl w:val="0"/>
              </w:rPr>
            </w:r>
          </w:p>
        </w:tc>
        <w:tc>
          <w:tcPr>
            <w:tcBorders>
              <w:top w:color="000000" w:space="0" w:sz="0" w:val="nil"/>
              <w:left w:color="000000" w:space="0" w:sz="0" w:val="nil"/>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9">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Reduce exposure to fines, legal costs, and revenue losses</w:t>
            </w:r>
            <w:r w:rsidDel="00000000" w:rsidR="00000000" w:rsidRPr="00000000">
              <w:rPr>
                <w:rtl w:val="0"/>
              </w:rPr>
            </w:r>
          </w:p>
        </w:tc>
      </w:tr>
      <w:tr>
        <w:trPr>
          <w:cantSplit w:val="0"/>
          <w:trHeight w:val="705" w:hRule="atLeast"/>
          <w:tblHeader w:val="0"/>
        </w:trPr>
        <w:tc>
          <w:tcPr>
            <w:tcBorders>
              <w:top w:color="000000" w:space="0" w:sz="0" w:val="nil"/>
              <w:left w:color="ececec" w:space="0" w:sz="4" w:val="single"/>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A">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Address public concerns</w:t>
            </w:r>
            <w:r w:rsidDel="00000000" w:rsidR="00000000" w:rsidRPr="00000000">
              <w:rPr>
                <w:rtl w:val="0"/>
              </w:rPr>
            </w:r>
          </w:p>
        </w:tc>
        <w:tc>
          <w:tcPr>
            <w:tcBorders>
              <w:top w:color="000000" w:space="0" w:sz="0" w:val="nil"/>
              <w:left w:color="000000" w:space="0" w:sz="0" w:val="nil"/>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B">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Provide clarity, empathy, and actionable solutions</w:t>
            </w:r>
            <w:r w:rsidDel="00000000" w:rsidR="00000000" w:rsidRPr="00000000">
              <w:rPr>
                <w:rtl w:val="0"/>
              </w:rPr>
            </w:r>
          </w:p>
        </w:tc>
      </w:tr>
      <w:tr>
        <w:trPr>
          <w:cantSplit w:val="0"/>
          <w:trHeight w:val="1095" w:hRule="atLeast"/>
          <w:tblHeader w:val="0"/>
        </w:trPr>
        <w:tc>
          <w:tcPr>
            <w:tcBorders>
              <w:top w:color="000000" w:space="0" w:sz="0" w:val="nil"/>
              <w:left w:color="ececec" w:space="0" w:sz="4" w:val="single"/>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C">
            <w:pPr>
              <w:spacing w:after="300" w:line="360" w:lineRule="auto"/>
              <w:jc w:val="center"/>
              <w:rPr>
                <w:rFonts w:ascii="Jost" w:cs="Jost" w:eastAsia="Jost" w:hAnsi="Jost"/>
                <w:sz w:val="26"/>
                <w:szCs w:val="26"/>
              </w:rPr>
            </w:pPr>
            <w:r w:rsidDel="00000000" w:rsidR="00000000" w:rsidRPr="00000000">
              <w:rPr>
                <w:rFonts w:ascii="Jost" w:cs="Jost" w:eastAsia="Jost" w:hAnsi="Jost"/>
                <w:sz w:val="21"/>
                <w:szCs w:val="21"/>
                <w:rtl w:val="0"/>
              </w:rPr>
              <w:t xml:space="preserve">Rebuild trust</w:t>
            </w:r>
            <w:r w:rsidDel="00000000" w:rsidR="00000000" w:rsidRPr="00000000">
              <w:rPr>
                <w:rtl w:val="0"/>
              </w:rPr>
            </w:r>
          </w:p>
        </w:tc>
        <w:tc>
          <w:tcPr>
            <w:tcBorders>
              <w:top w:color="000000" w:space="0" w:sz="0" w:val="nil"/>
              <w:left w:color="000000" w:space="0" w:sz="0" w:val="nil"/>
              <w:bottom w:color="ececec" w:space="0" w:sz="4" w:val="single"/>
              <w:right w:color="ececec" w:space="0" w:sz="4" w:val="single"/>
            </w:tcBorders>
            <w:tcMar>
              <w:top w:w="160.0" w:type="dxa"/>
              <w:left w:w="160.0" w:type="dxa"/>
              <w:bottom w:w="160.0" w:type="dxa"/>
              <w:right w:w="160.0" w:type="dxa"/>
            </w:tcMar>
            <w:vAlign w:val="center"/>
          </w:tcPr>
          <w:p w:rsidR="00000000" w:rsidDel="00000000" w:rsidP="00000000" w:rsidRDefault="00000000" w:rsidRPr="00000000" w14:paraId="0000000D">
            <w:pPr>
              <w:spacing w:after="300" w:line="360" w:lineRule="auto"/>
              <w:jc w:val="center"/>
              <w:rPr>
                <w:rFonts w:ascii="Jost" w:cs="Jost" w:eastAsia="Jost" w:hAnsi="Jost"/>
                <w:sz w:val="21"/>
                <w:szCs w:val="21"/>
              </w:rPr>
            </w:pPr>
            <w:r w:rsidDel="00000000" w:rsidR="00000000" w:rsidRPr="00000000">
              <w:rPr>
                <w:rFonts w:ascii="Jost" w:cs="Jost" w:eastAsia="Jost" w:hAnsi="Jost"/>
                <w:sz w:val="21"/>
                <w:szCs w:val="21"/>
                <w:rtl w:val="0"/>
              </w:rPr>
              <w:t xml:space="preserve">Demonstrate accountability and long-term commitment to stakeholders</w:t>
            </w:r>
          </w:p>
        </w:tc>
      </w:tr>
    </w:tbl>
    <w:p w:rsidR="00000000" w:rsidDel="00000000" w:rsidP="00000000" w:rsidRDefault="00000000" w:rsidRPr="00000000" w14:paraId="0000000E">
      <w:pPr>
        <w:rPr>
          <w:rFonts w:ascii="Jost" w:cs="Jost" w:eastAsia="Jost" w:hAnsi="Jost"/>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60" w:line="360" w:lineRule="auto"/>
        <w:rPr>
          <w:rFonts w:ascii="Jost" w:cs="Jost" w:eastAsia="Jost" w:hAnsi="Jost"/>
          <w:color w:val="000000"/>
          <w:sz w:val="38"/>
          <w:szCs w:val="38"/>
        </w:rPr>
      </w:pPr>
      <w:bookmarkStart w:colFirst="0" w:colLast="0" w:name="_tlv5ozaoo9br" w:id="1"/>
      <w:bookmarkEnd w:id="1"/>
      <w:r w:rsidDel="00000000" w:rsidR="00000000" w:rsidRPr="00000000">
        <w:rPr>
          <w:rFonts w:ascii="Jost" w:cs="Jost" w:eastAsia="Jost" w:hAnsi="Jost"/>
          <w:color w:val="000000"/>
          <w:sz w:val="38"/>
          <w:szCs w:val="38"/>
          <w:rtl w:val="0"/>
        </w:rPr>
        <w:t xml:space="preserve">Key steps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rPr>
      </w:pPr>
      <w:r w:rsidDel="00000000" w:rsidR="00000000" w:rsidRPr="00000000">
        <w:rPr>
          <w:rFonts w:ascii="Jost" w:cs="Jost" w:eastAsia="Jost" w:hAnsi="Jost"/>
          <w:sz w:val="26"/>
          <w:szCs w:val="26"/>
          <w:rtl w:val="0"/>
        </w:rPr>
        <w:t xml:space="preserve">Crisis communication planning: Develop a detailed playbook that defines roles, messaging protocols, and communication channels.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pPr>
      <w:r w:rsidDel="00000000" w:rsidR="00000000" w:rsidRPr="00000000">
        <w:rPr>
          <w:rFonts w:ascii="Jost" w:cs="Jost" w:eastAsia="Jost" w:hAnsi="Jost"/>
          <w:sz w:val="26"/>
          <w:szCs w:val="26"/>
          <w:rtl w:val="0"/>
        </w:rPr>
        <w:t xml:space="preserve">Stakeholder mapping: </w:t>
      </w:r>
      <w:r w:rsidDel="00000000" w:rsidR="00000000" w:rsidRPr="00000000">
        <w:rPr>
          <w:rFonts w:ascii="Jost" w:cs="Jost" w:eastAsia="Jost" w:hAnsi="Jost"/>
          <w:b w:val="1"/>
          <w:bCs w:val="1"/>
          <w:sz w:val="26"/>
          <w:szCs w:val="26"/>
          <w:rtl w:val="0"/>
        </w:rPr>
        <w:t xml:space="preserve">Identify and prioritise key audiences</w:t>
      </w:r>
      <w:r w:rsidDel="00000000" w:rsidR="00000000" w:rsidRPr="00000000">
        <w:rPr>
          <w:rFonts w:ascii="Jost" w:cs="Jost" w:eastAsia="Jost" w:hAnsi="Jost"/>
          <w:sz w:val="26"/>
          <w:szCs w:val="26"/>
          <w:rtl w:val="0"/>
        </w:rPr>
        <w:t xml:space="preserve">, from customers and employees to regulators and investors.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rPr>
      </w:pPr>
      <w:r w:rsidDel="00000000" w:rsidR="00000000" w:rsidRPr="00000000">
        <w:rPr>
          <w:rFonts w:ascii="Jost" w:cs="Jost" w:eastAsia="Jost" w:hAnsi="Jost"/>
          <w:sz w:val="26"/>
          <w:szCs w:val="26"/>
          <w:rtl w:val="0"/>
        </w:rPr>
        <w:t xml:space="preserve">Tabletop exercises: Simulate breach scenarios to test and refine communication strategies.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460" w:lineRule="auto"/>
        <w:ind w:left="1180" w:hanging="360"/>
      </w:pPr>
      <w:r w:rsidDel="00000000" w:rsidR="00000000" w:rsidRPr="00000000">
        <w:rPr>
          <w:rFonts w:ascii="Jost" w:cs="Jost" w:eastAsia="Jost" w:hAnsi="Jost"/>
          <w:sz w:val="26"/>
          <w:szCs w:val="26"/>
          <w:rtl w:val="0"/>
        </w:rPr>
        <w:t xml:space="preserve">Media training: </w:t>
      </w:r>
      <w:r w:rsidDel="00000000" w:rsidR="00000000" w:rsidRPr="00000000">
        <w:rPr>
          <w:rFonts w:ascii="Jost" w:cs="Jost" w:eastAsia="Jost" w:hAnsi="Jost"/>
          <w:b w:val="1"/>
          <w:bCs w:val="1"/>
          <w:sz w:val="26"/>
          <w:szCs w:val="26"/>
          <w:rtl w:val="0"/>
        </w:rPr>
        <w:t xml:space="preserve">Equip executives</w:t>
      </w:r>
      <w:r w:rsidDel="00000000" w:rsidR="00000000" w:rsidRPr="00000000">
        <w:rPr>
          <w:rFonts w:ascii="Jost" w:cs="Jost" w:eastAsia="Jost" w:hAnsi="Jost"/>
          <w:sz w:val="26"/>
          <w:szCs w:val="26"/>
          <w:rtl w:val="0"/>
        </w:rPr>
        <w:t xml:space="preserve"> with the skills to handle media inquiries confidently.</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60" w:line="360" w:lineRule="auto"/>
        <w:rPr>
          <w:rFonts w:ascii="Jost" w:cs="Jost" w:eastAsia="Jost" w:hAnsi="Jost"/>
          <w:color w:val="000000"/>
          <w:sz w:val="38"/>
          <w:szCs w:val="38"/>
        </w:rPr>
      </w:pPr>
      <w:bookmarkStart w:colFirst="0" w:colLast="0" w:name="_89y9to1aezdy" w:id="2"/>
      <w:bookmarkEnd w:id="2"/>
      <w:r w:rsidDel="00000000" w:rsidR="00000000" w:rsidRPr="00000000">
        <w:rPr>
          <w:rFonts w:ascii="Jost" w:cs="Jost" w:eastAsia="Jost" w:hAnsi="Jost"/>
          <w:color w:val="000000"/>
          <w:sz w:val="38"/>
          <w:szCs w:val="38"/>
          <w:rtl w:val="0"/>
        </w:rPr>
        <w:t xml:space="preserve">Example playbook contents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rPr>
      </w:pPr>
      <w:r w:rsidDel="00000000" w:rsidR="00000000" w:rsidRPr="00000000">
        <w:rPr>
          <w:rFonts w:ascii="Jost" w:cs="Jost" w:eastAsia="Jost" w:hAnsi="Jost"/>
          <w:sz w:val="26"/>
          <w:szCs w:val="26"/>
          <w:rtl w:val="0"/>
        </w:rPr>
        <w:t xml:space="preserve">Contact details of the crisis team (internal and external).</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rPr>
      </w:pPr>
      <w:r w:rsidDel="00000000" w:rsidR="00000000" w:rsidRPr="00000000">
        <w:rPr>
          <w:rFonts w:ascii="Jost" w:cs="Jost" w:eastAsia="Jost" w:hAnsi="Jost"/>
          <w:sz w:val="26"/>
          <w:szCs w:val="26"/>
          <w:rtl w:val="0"/>
        </w:rPr>
        <w:t xml:space="preserve">Protocols for media engagement.</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rPr>
      </w:pPr>
      <w:r w:rsidDel="00000000" w:rsidR="00000000" w:rsidRPr="00000000">
        <w:rPr>
          <w:rFonts w:ascii="Jost" w:cs="Jost" w:eastAsia="Jost" w:hAnsi="Jost"/>
          <w:sz w:val="26"/>
          <w:szCs w:val="26"/>
          <w:rtl w:val="0"/>
        </w:rPr>
        <w:t xml:space="preserve">Draft templates for initial communication.</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hd w:fill="ffffff" w:val="clear"/>
        <w:spacing w:after="460" w:lineRule="auto"/>
        <w:ind w:left="1180" w:hanging="360"/>
        <w:rPr>
          <w:rFonts w:ascii="Jost" w:cs="Jost" w:eastAsia="Jost" w:hAnsi="Jost"/>
        </w:rPr>
      </w:pPr>
      <w:r w:rsidDel="00000000" w:rsidR="00000000" w:rsidRPr="00000000">
        <w:rPr>
          <w:rFonts w:ascii="Jost" w:cs="Jost" w:eastAsia="Jost" w:hAnsi="Jost"/>
          <w:sz w:val="26"/>
          <w:szCs w:val="26"/>
          <w:rtl w:val="0"/>
        </w:rPr>
        <w:t xml:space="preserve">Guidelines for updating stakeholders regularly.</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73.33333333333337" w:lineRule="auto"/>
        <w:rPr>
          <w:rFonts w:ascii="Jost" w:cs="Jost" w:eastAsia="Jost" w:hAnsi="Jost"/>
          <w:sz w:val="36"/>
          <w:szCs w:val="36"/>
        </w:rPr>
      </w:pPr>
      <w:bookmarkStart w:colFirst="0" w:colLast="0" w:name="_m94ogoe1gkk0" w:id="3"/>
      <w:bookmarkEnd w:id="3"/>
      <w:r w:rsidDel="00000000" w:rsidR="00000000" w:rsidRPr="00000000">
        <w:rPr>
          <w:rFonts w:ascii="Jost" w:cs="Jost" w:eastAsia="Jost" w:hAnsi="Jost"/>
          <w:sz w:val="36"/>
          <w:szCs w:val="36"/>
          <w:rtl w:val="0"/>
        </w:rPr>
        <w:t xml:space="preserve">Immediate response during a breach</w:t>
      </w:r>
    </w:p>
    <w:p w:rsidR="00000000" w:rsidDel="00000000" w:rsidP="00000000" w:rsidRDefault="00000000" w:rsidRPr="00000000" w14:paraId="0000001A">
      <w:pPr>
        <w:pBdr>
          <w:top w:color="auto" w:space="0" w:sz="0" w:val="none"/>
          <w:left w:color="auto" w:space="0" w:sz="0" w:val="none"/>
          <w:bottom w:color="auto" w:space="16" w:sz="0" w:val="none"/>
          <w:right w:color="auto" w:space="0" w:sz="0" w:val="none"/>
        </w:pBdr>
        <w:shd w:fill="ffffff" w:val="clear"/>
        <w:rPr>
          <w:rFonts w:ascii="Jost" w:cs="Jost" w:eastAsia="Jost" w:hAnsi="Jost"/>
        </w:rPr>
      </w:pPr>
      <w:r w:rsidDel="00000000" w:rsidR="00000000" w:rsidRPr="00000000">
        <w:rPr>
          <w:rFonts w:ascii="Jost" w:cs="Jost" w:eastAsia="Jost" w:hAnsi="Jost"/>
          <w:rtl w:val="0"/>
        </w:rPr>
        <w:t xml:space="preserve">When a breach occurs, time is of the essence. PR teams play a critical role in managing the crisis by:</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sz w:val="22"/>
          <w:szCs w:val="22"/>
        </w:rPr>
      </w:pPr>
      <w:r w:rsidDel="00000000" w:rsidR="00000000" w:rsidRPr="00000000">
        <w:rPr>
          <w:rFonts w:ascii="Jost" w:cs="Jost" w:eastAsia="Jost" w:hAnsi="Jost"/>
          <w:rtl w:val="0"/>
        </w:rPr>
        <w:t xml:space="preserve">Assessing the situation: Understanding the scope and media landscape of the breach.</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sz w:val="22"/>
          <w:szCs w:val="22"/>
        </w:rPr>
      </w:pPr>
      <w:r w:rsidDel="00000000" w:rsidR="00000000" w:rsidRPr="00000000">
        <w:rPr>
          <w:rFonts w:ascii="Jost" w:cs="Jost" w:eastAsia="Jost" w:hAnsi="Jost"/>
          <w:rtl w:val="0"/>
        </w:rPr>
        <w:t xml:space="preserve">Crafting key messages: Communicating what happened, the impact, and immediate steps being taken.</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Jost" w:cs="Jost" w:eastAsia="Jost" w:hAnsi="Jost"/>
          <w:sz w:val="22"/>
          <w:szCs w:val="22"/>
        </w:rPr>
      </w:pPr>
      <w:r w:rsidDel="00000000" w:rsidR="00000000" w:rsidRPr="00000000">
        <w:rPr>
          <w:rFonts w:ascii="Jost" w:cs="Jost" w:eastAsia="Jost" w:hAnsi="Jost"/>
          <w:rtl w:val="0"/>
        </w:rPr>
        <w:t xml:space="preserve">Stakeholder outreach: Tailoring messages for affected parties, including customers, partners, and regulators.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after="460" w:lineRule="auto"/>
        <w:ind w:left="1180" w:hanging="360"/>
        <w:rPr>
          <w:rFonts w:ascii="Jost" w:cs="Jost" w:eastAsia="Jost" w:hAnsi="Jost"/>
          <w:sz w:val="22"/>
          <w:szCs w:val="22"/>
        </w:rPr>
      </w:pPr>
      <w:r w:rsidDel="00000000" w:rsidR="00000000" w:rsidRPr="00000000">
        <w:rPr>
          <w:rFonts w:ascii="Jost" w:cs="Jost" w:eastAsia="Jost" w:hAnsi="Jost"/>
          <w:rtl w:val="0"/>
        </w:rPr>
        <w:t xml:space="preserve">Leveraging communication channels: Using social media, press releases, emails, and dedicated web pages to inform and reassure.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460" w:lineRule="auto"/>
        <w:ind w:left="0" w:firstLine="0"/>
        <w:rPr>
          <w:rFonts w:ascii="Jost" w:cs="Jost" w:eastAsia="Jost" w:hAnsi="Jost"/>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460" w:lineRule="auto"/>
        <w:ind w:left="0" w:firstLine="0"/>
        <w:rPr>
          <w:b w:val="1"/>
          <w:bCs w:val="1"/>
        </w:rPr>
      </w:pPr>
      <w:r w:rsidDel="00000000" w:rsidR="00000000" w:rsidRPr="00000000">
        <w:rPr>
          <w:rtl w:val="0"/>
        </w:rPr>
        <w:t xml:space="preserve">“PR for Data Breach Management.” ITLawCo, 21 Jan. 2025, </w:t>
      </w:r>
      <w:hyperlink r:id="rId6">
        <w:r w:rsidDel="00000000" w:rsidR="00000000" w:rsidRPr="00000000">
          <w:rPr>
            <w:color w:val="1155cc"/>
            <w:u w:val="single"/>
            <w:rtl w:val="0"/>
          </w:rPr>
          <w:t xml:space="preserve">https://itlawco.com/pr-for-data-breach-management/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460" w:lineRule="auto"/>
        <w:ind w:left="0" w:firstLine="0"/>
        <w:rPr>
          <w:rFonts w:ascii="Jost" w:cs="Jost" w:eastAsia="Jost" w:hAnsi="Jost"/>
        </w:rPr>
      </w:pPr>
      <w:r w:rsidDel="00000000" w:rsidR="00000000" w:rsidRPr="00000000">
        <w:rPr>
          <w:rtl w:val="0"/>
        </w:rPr>
      </w:r>
    </w:p>
    <w:p w:rsidR="00000000" w:rsidDel="00000000" w:rsidP="00000000" w:rsidRDefault="00000000" w:rsidRPr="00000000" w14:paraId="00000022">
      <w:pPr>
        <w:pStyle w:val="Subtitle"/>
        <w:rPr>
          <w:rFonts w:ascii="Jost" w:cs="Jost" w:eastAsia="Jost" w:hAnsi="Jost"/>
        </w:rPr>
      </w:pPr>
      <w:bookmarkStart w:colFirst="0" w:colLast="0" w:name="_cx3w3wsmwnvk" w:id="4"/>
      <w:bookmarkEnd w:id="4"/>
      <w:r w:rsidDel="00000000" w:rsidR="00000000" w:rsidRPr="00000000">
        <w:rPr>
          <w:rFonts w:ascii="Jost" w:cs="Jost" w:eastAsia="Jost" w:hAnsi="Jost"/>
          <w:rtl w:val="0"/>
        </w:rPr>
        <w:t xml:space="preserve">E</w:t>
      </w:r>
      <w:r w:rsidDel="00000000" w:rsidR="00000000" w:rsidRPr="00000000">
        <w:rPr>
          <w:rFonts w:ascii="Jost" w:cs="Jost" w:eastAsia="Jost" w:hAnsi="Jost"/>
          <w:rtl w:val="0"/>
        </w:rPr>
        <w:t xml:space="preserve">xamples of past data breaches, PR statements/efforts, and response</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504825</wp:posOffset>
            </wp:positionV>
            <wp:extent cx="2414283" cy="479761"/>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4283" cy="479761"/>
                    </a:xfrm>
                    <a:prstGeom prst="rect"/>
                    <a:ln/>
                  </pic:spPr>
                </pic:pic>
              </a:graphicData>
            </a:graphic>
          </wp:anchor>
        </w:drawing>
      </w:r>
    </w:p>
    <w:p w:rsidR="00000000" w:rsidDel="00000000" w:rsidP="00000000" w:rsidRDefault="00000000" w:rsidRPr="00000000" w14:paraId="00000023">
      <w:pPr>
        <w:rPr>
          <w:rFonts w:ascii="Jost" w:cs="Jost" w:eastAsia="Jost" w:hAnsi="Jost"/>
          <w:b w:val="1"/>
          <w:bCs w:val="1"/>
        </w:rPr>
      </w:pPr>
      <w:r w:rsidDel="00000000" w:rsidR="00000000" w:rsidRPr="00000000">
        <w:rPr>
          <w:rFonts w:ascii="Jost" w:cs="Jost" w:eastAsia="Jost" w:hAnsi="Jost"/>
          <w:b w:val="1"/>
          <w:bCs w:val="1"/>
          <w:rtl w:val="0"/>
        </w:rPr>
        <w:t xml:space="preserve">  </w:t>
      </w:r>
    </w:p>
    <w:p w:rsidR="00000000" w:rsidDel="00000000" w:rsidP="00000000" w:rsidRDefault="00000000" w:rsidRPr="00000000" w14:paraId="00000024">
      <w:pPr>
        <w:rPr>
          <w:rFonts w:ascii="Jost" w:cs="Jost" w:eastAsia="Jost" w:hAnsi="Jost"/>
          <w:b w:val="1"/>
          <w:bCs w:val="1"/>
        </w:rPr>
      </w:pPr>
      <w:r w:rsidDel="00000000" w:rsidR="00000000" w:rsidRPr="00000000">
        <w:rPr>
          <w:rtl w:val="0"/>
        </w:rPr>
      </w:r>
    </w:p>
    <w:p w:rsidR="00000000" w:rsidDel="00000000" w:rsidP="00000000" w:rsidRDefault="00000000" w:rsidRPr="00000000" w14:paraId="00000025">
      <w:pPr>
        <w:rPr>
          <w:rFonts w:ascii="Jost" w:cs="Jost" w:eastAsia="Jost" w:hAnsi="Jost"/>
          <w:b w:val="1"/>
          <w:bCs w:val="1"/>
        </w:rPr>
      </w:pPr>
      <w:r w:rsidDel="00000000" w:rsidR="00000000" w:rsidRPr="00000000">
        <w:rPr>
          <w:rFonts w:ascii="Jost" w:cs="Jost" w:eastAsia="Jost" w:hAnsi="Jost"/>
          <w:b w:val="1"/>
          <w:bCs w:val="1"/>
          <w:rtl w:val="0"/>
        </w:rPr>
        <w:t xml:space="preserve"> </w:t>
      </w:r>
    </w:p>
    <w:p w:rsidR="00000000" w:rsidDel="00000000" w:rsidP="00000000" w:rsidRDefault="00000000" w:rsidRPr="00000000" w14:paraId="00000026">
      <w:pPr>
        <w:ind w:left="2880" w:firstLine="0"/>
        <w:rPr>
          <w:rFonts w:ascii="Jost" w:cs="Jost" w:eastAsia="Jost" w:hAnsi="Jost"/>
          <w:b w:val="1"/>
          <w:bCs w:val="1"/>
        </w:rPr>
      </w:pPr>
      <w:r w:rsidDel="00000000" w:rsidR="00000000" w:rsidRPr="00000000">
        <w:rPr>
          <w:rFonts w:ascii="Jost" w:cs="Jost" w:eastAsia="Jost" w:hAnsi="Jost"/>
          <w:b w:val="1"/>
          <w:bCs w:val="1"/>
          <w:rtl w:val="0"/>
        </w:rPr>
        <w:t xml:space="preserve">     2017 Equifax Breach </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428908</wp:posOffset>
            </wp:positionV>
            <wp:extent cx="5943600" cy="359410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94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2638425</wp:posOffset>
            </wp:positionH>
            <wp:positionV relativeFrom="paragraph">
              <wp:posOffset>4219575</wp:posOffset>
            </wp:positionV>
            <wp:extent cx="3724275" cy="353718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24275" cy="3537181"/>
                    </a:xfrm>
                    <a:prstGeom prst="rect"/>
                    <a:ln/>
                  </pic:spPr>
                </pic:pic>
              </a:graphicData>
            </a:graphic>
          </wp:anchor>
        </w:drawing>
      </w:r>
    </w:p>
    <w:p w:rsidR="00000000" w:rsidDel="00000000" w:rsidP="00000000" w:rsidRDefault="00000000" w:rsidRPr="00000000" w14:paraId="00000027">
      <w:pPr>
        <w:rPr>
          <w:rFonts w:ascii="Jost" w:cs="Jost" w:eastAsia="Jost" w:hAnsi="Jost"/>
          <w:b w:val="1"/>
          <w:bCs w:val="1"/>
        </w:rPr>
      </w:pPr>
      <w:r w:rsidDel="00000000" w:rsidR="00000000" w:rsidRPr="00000000">
        <w:rPr>
          <w:rFonts w:ascii="Jost" w:cs="Jost" w:eastAsia="Jost" w:hAnsi="Jost"/>
          <w:b w:val="1"/>
          <w:bCs w:val="1"/>
          <w:rtl w:val="0"/>
        </w:rPr>
        <w:t xml:space="preserve"> </w:t>
      </w:r>
      <w:r w:rsidDel="00000000" w:rsidR="00000000" w:rsidRPr="00000000">
        <w:rPr>
          <w:rFonts w:ascii="Jost" w:cs="Jost" w:eastAsia="Jost" w:hAnsi="Jost"/>
          <w:rtl w:val="0"/>
        </w:rPr>
        <w:t xml:space="preserve">In 2017, credit reporting agency Equifax suffered a massive data breach, exposing the sensitive personal information of approximately 147 million consumers, including Social Security numbers, birth dates, and addresses. Hackers exploited a known security vulnerability in the company's website that went unpatched, leading to one of the largest data thefts in history and resulting in over $575 million in settlements.</w:t>
      </w:r>
      <w:r w:rsidDel="00000000" w:rsidR="00000000" w:rsidRPr="00000000">
        <w:rPr>
          <w:rtl w:val="0"/>
        </w:rPr>
      </w:r>
    </w:p>
    <w:p w:rsidR="00000000" w:rsidDel="00000000" w:rsidP="00000000" w:rsidRDefault="00000000" w:rsidRPr="00000000" w14:paraId="00000028">
      <w:pPr>
        <w:rPr>
          <w:rFonts w:ascii="Jost" w:cs="Jost" w:eastAsia="Jost" w:hAnsi="Jost"/>
          <w:b w:val="1"/>
          <w:bCs w:val="1"/>
        </w:rPr>
      </w:pPr>
      <w:r w:rsidDel="00000000" w:rsidR="00000000" w:rsidRPr="00000000">
        <w:rPr>
          <w:rtl w:val="0"/>
        </w:rPr>
      </w:r>
    </w:p>
    <w:p w:rsidR="00000000" w:rsidDel="00000000" w:rsidP="00000000" w:rsidRDefault="00000000" w:rsidRPr="00000000" w14:paraId="00000029">
      <w:pPr>
        <w:rPr>
          <w:rFonts w:ascii="Jost" w:cs="Jost" w:eastAsia="Jost" w:hAnsi="Jost"/>
        </w:rPr>
      </w:pPr>
      <w:r w:rsidDel="00000000" w:rsidR="00000000" w:rsidRPr="00000000">
        <w:rPr>
          <w:rFonts w:ascii="Jost" w:cs="Jost" w:eastAsia="Jost" w:hAnsi="Jost"/>
          <w:rtl w:val="0"/>
        </w:rPr>
        <w:t xml:space="preserve">After the announcement, the initial reaction was one of outrage.</w:t>
      </w:r>
    </w:p>
    <w:p w:rsidR="00000000" w:rsidDel="00000000" w:rsidP="00000000" w:rsidRDefault="00000000" w:rsidRPr="00000000" w14:paraId="0000002A">
      <w:pPr>
        <w:rPr>
          <w:rFonts w:ascii="Jost" w:cs="Jost" w:eastAsia="Jost" w:hAnsi="Jost"/>
        </w:rPr>
      </w:pPr>
      <w:r w:rsidDel="00000000" w:rsidR="00000000" w:rsidRPr="00000000">
        <w:rPr>
          <w:rFonts w:ascii="Jost" w:cs="Jost" w:eastAsia="Jost" w:hAnsi="Jost"/>
          <w:rtl w:val="0"/>
        </w:rPr>
        <w:t xml:space="preserve">News segments were overwhelmingly critical of Equifax, and social media users were dismayed by the one-way nature of Equifax’s messages (Novak, 2019). While Equifax addressed concerns on social media, people were frustrated by responses that simply</w:t>
      </w:r>
    </w:p>
    <w:p w:rsidR="00000000" w:rsidDel="00000000" w:rsidP="00000000" w:rsidRDefault="00000000" w:rsidRPr="00000000" w14:paraId="0000002B">
      <w:pPr>
        <w:rPr>
          <w:rFonts w:ascii="Jost" w:cs="Jost" w:eastAsia="Jost" w:hAnsi="Jost"/>
        </w:rPr>
      </w:pPr>
      <w:r w:rsidDel="00000000" w:rsidR="00000000" w:rsidRPr="00000000">
        <w:rPr>
          <w:rFonts w:ascii="Jost" w:cs="Jost" w:eastAsia="Jost" w:hAnsi="Jost"/>
          <w:rtl w:val="0"/>
        </w:rPr>
        <w:t xml:space="preserve">redirected them to the crisis website. The website, however, also received widespread criticism. The online form prompted users to input their last name and six digits of their social security numbers to find out whether they were affected by the data breach. </w:t>
      </w:r>
    </w:p>
    <w:p w:rsidR="00000000" w:rsidDel="00000000" w:rsidP="00000000" w:rsidRDefault="00000000" w:rsidRPr="00000000" w14:paraId="0000002C">
      <w:pPr>
        <w:rPr>
          <w:rFonts w:ascii="Jost" w:cs="Jost" w:eastAsia="Jost" w:hAnsi="Jost"/>
        </w:rPr>
      </w:pPr>
      <w:r w:rsidDel="00000000" w:rsidR="00000000" w:rsidRPr="00000000">
        <w:rPr>
          <w:rtl w:val="0"/>
        </w:rPr>
      </w:r>
    </w:p>
    <w:p w:rsidR="00000000" w:rsidDel="00000000" w:rsidP="00000000" w:rsidRDefault="00000000" w:rsidRPr="00000000" w14:paraId="0000002D">
      <w:pPr>
        <w:rPr>
          <w:rFonts w:ascii="Jost" w:cs="Jost" w:eastAsia="Jost" w:hAnsi="Jost"/>
          <w:b w:val="1"/>
          <w:bCs w:val="1"/>
        </w:rPr>
      </w:pPr>
      <w:r w:rsidDel="00000000" w:rsidR="00000000" w:rsidRPr="00000000">
        <w:rPr>
          <w:rFonts w:ascii="Jost" w:cs="Jost" w:eastAsia="Jost" w:hAnsi="Jost"/>
          <w:b w:val="1"/>
          <w:bCs w:val="1"/>
          <w:rtl w:val="0"/>
        </w:rPr>
        <w:t xml:space="preserve">Electronic Privacy Information Center (EPIC). </w:t>
      </w:r>
      <w:r w:rsidDel="00000000" w:rsidR="00000000" w:rsidRPr="00000000">
        <w:rPr>
          <w:rFonts w:ascii="Jost" w:cs="Jost" w:eastAsia="Jost" w:hAnsi="Jost"/>
          <w:b w:val="1"/>
          <w:bCs w:val="1"/>
          <w:i w:val="1"/>
          <w:iCs w:val="1"/>
          <w:rtl w:val="0"/>
        </w:rPr>
        <w:t xml:space="preserve">“Equifax Data Breach.”</w:t>
      </w:r>
      <w:r w:rsidDel="00000000" w:rsidR="00000000" w:rsidRPr="00000000">
        <w:rPr>
          <w:rFonts w:ascii="Jost" w:cs="Jost" w:eastAsia="Jost" w:hAnsi="Jost"/>
          <w:b w:val="1"/>
          <w:bCs w:val="1"/>
          <w:rtl w:val="0"/>
        </w:rPr>
        <w:t xml:space="preserve"> EPIC, </w:t>
      </w:r>
      <w:hyperlink r:id="rId10">
        <w:r w:rsidDel="00000000" w:rsidR="00000000" w:rsidRPr="00000000">
          <w:rPr>
            <w:rFonts w:ascii="Jost" w:cs="Jost" w:eastAsia="Jost" w:hAnsi="Jost"/>
            <w:b w:val="1"/>
            <w:bCs w:val="1"/>
            <w:color w:val="1155cc"/>
            <w:u w:val="single"/>
            <w:rtl w:val="0"/>
          </w:rPr>
          <w:t xml:space="preserve">archive.epic.org/privacy/data-breach/equifax/</w:t>
        </w:r>
      </w:hyperlink>
      <w:r w:rsidDel="00000000" w:rsidR="00000000" w:rsidRPr="00000000">
        <w:rPr>
          <w:rFonts w:ascii="Jost" w:cs="Jost" w:eastAsia="Jost" w:hAnsi="Jost"/>
          <w:b w:val="1"/>
          <w:bCs w:val="1"/>
          <w:rtl w:val="0"/>
        </w:rPr>
        <w:t xml:space="preserve">. </w:t>
      </w:r>
    </w:p>
    <w:p w:rsidR="00000000" w:rsidDel="00000000" w:rsidP="00000000" w:rsidRDefault="00000000" w:rsidRPr="00000000" w14:paraId="0000002E">
      <w:pPr>
        <w:rPr>
          <w:rFonts w:ascii="Jost" w:cs="Jost" w:eastAsia="Jost" w:hAnsi="Jost"/>
          <w:b w:val="1"/>
          <w:bCs w:val="1"/>
        </w:rPr>
      </w:pPr>
      <w:r w:rsidDel="00000000" w:rsidR="00000000" w:rsidRPr="00000000">
        <w:rPr>
          <w:rtl w:val="0"/>
        </w:rPr>
      </w:r>
    </w:p>
    <w:p w:rsidR="00000000" w:rsidDel="00000000" w:rsidP="00000000" w:rsidRDefault="00000000" w:rsidRPr="00000000" w14:paraId="0000002F">
      <w:pPr>
        <w:rPr>
          <w:rFonts w:ascii="Jost" w:cs="Jost" w:eastAsia="Jost" w:hAnsi="Jost"/>
          <w:b w:val="1"/>
          <w:bCs w:val="1"/>
        </w:rPr>
      </w:pPr>
      <w:r w:rsidDel="00000000" w:rsidR="00000000" w:rsidRPr="00000000">
        <w:rPr>
          <w:rtl w:val="0"/>
        </w:rPr>
      </w:r>
    </w:p>
    <w:p w:rsidR="00000000" w:rsidDel="00000000" w:rsidP="00000000" w:rsidRDefault="00000000" w:rsidRPr="00000000" w14:paraId="00000030">
      <w:pPr>
        <w:rPr>
          <w:rFonts w:ascii="Jost" w:cs="Jost" w:eastAsia="Jost" w:hAnsi="Jos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rFonts w:ascii="Jost" w:cs="Jost" w:eastAsia="Jost" w:hAnsi="Jost"/>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248289</wp:posOffset>
            </wp:positionV>
            <wp:extent cx="2857500" cy="160020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032">
      <w:pPr>
        <w:rPr>
          <w:rFonts w:ascii="Jost" w:cs="Jost" w:eastAsia="Jost" w:hAnsi="Jost"/>
          <w:b w:val="1"/>
          <w:bCs w:val="1"/>
        </w:rPr>
      </w:pPr>
      <w:r w:rsidDel="00000000" w:rsidR="00000000" w:rsidRPr="00000000">
        <w:rPr>
          <w:rtl w:val="0"/>
        </w:rPr>
      </w:r>
    </w:p>
    <w:p w:rsidR="00000000" w:rsidDel="00000000" w:rsidP="00000000" w:rsidRDefault="00000000" w:rsidRPr="00000000" w14:paraId="00000033">
      <w:pPr>
        <w:rPr>
          <w:rFonts w:ascii="Jost" w:cs="Jost" w:eastAsia="Jost" w:hAnsi="Jost"/>
          <w:b w:val="1"/>
          <w:bCs w:val="1"/>
        </w:rPr>
      </w:pPr>
      <w:r w:rsidDel="00000000" w:rsidR="00000000" w:rsidRPr="00000000">
        <w:rPr>
          <w:rFonts w:ascii="Jost" w:cs="Jost" w:eastAsia="Jost" w:hAnsi="Jost"/>
          <w:b w:val="1"/>
          <w:bCs w:val="1"/>
          <w:rtl w:val="0"/>
        </w:rPr>
        <w:t xml:space="preserve">2013 Target breach</w:t>
      </w:r>
    </w:p>
    <w:p w:rsidR="00000000" w:rsidDel="00000000" w:rsidP="00000000" w:rsidRDefault="00000000" w:rsidRPr="00000000" w14:paraId="00000034">
      <w:pPr>
        <w:rPr>
          <w:rFonts w:ascii="Jost" w:cs="Jost" w:eastAsia="Jost" w:hAnsi="Jost"/>
        </w:rPr>
      </w:pPr>
      <w:r w:rsidDel="00000000" w:rsidR="00000000" w:rsidRPr="00000000">
        <w:rPr>
          <w:rFonts w:ascii="Jost" w:cs="Jost" w:eastAsia="Jost" w:hAnsi="Jost"/>
          <w:rtl w:val="0"/>
        </w:rPr>
        <w:t xml:space="preserve">The breach unfolded during the 2013 holiday shopping season. Attackers first compromised Fazio Mechanical Services, a small HVAC vendor with remote access to Target’s network. Using the vendor’s stolen credentials, they entered Target’s internal systems and moved laterally until they reached point‑of‑sale (POS) terminals. There, they deployed BlackPOS RAM‑scraping malware, which captured payment card data from in‑store transactions.</w:t>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1257300</wp:posOffset>
            </wp:positionV>
            <wp:extent cx="4319625" cy="3749613"/>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2"/>
                    <a:srcRect b="0" l="0" r="0" t="11371"/>
                    <a:stretch>
                      <a:fillRect/>
                    </a:stretch>
                  </pic:blipFill>
                  <pic:spPr>
                    <a:xfrm>
                      <a:off x="0" y="0"/>
                      <a:ext cx="4319625" cy="3749613"/>
                    </a:xfrm>
                    <a:prstGeom prst="rect"/>
                    <a:ln/>
                  </pic:spPr>
                </pic:pic>
              </a:graphicData>
            </a:graphic>
          </wp:anchor>
        </w:drawing>
      </w:r>
    </w:p>
    <w:p w:rsidR="00000000" w:rsidDel="00000000" w:rsidP="00000000" w:rsidRDefault="00000000" w:rsidRPr="00000000" w14:paraId="00000035">
      <w:pPr>
        <w:rPr>
          <w:rFonts w:ascii="Jost" w:cs="Jost" w:eastAsia="Jost" w:hAnsi="Jost"/>
        </w:rPr>
      </w:pPr>
      <w:r w:rsidDel="00000000" w:rsidR="00000000" w:rsidRPr="00000000">
        <w:rPr>
          <w:rtl w:val="0"/>
        </w:rPr>
      </w:r>
    </w:p>
    <w:p w:rsidR="00000000" w:rsidDel="00000000" w:rsidP="00000000" w:rsidRDefault="00000000" w:rsidRPr="00000000" w14:paraId="00000036">
      <w:pPr>
        <w:rPr>
          <w:rFonts w:ascii="Jost" w:cs="Jost" w:eastAsia="Jost" w:hAnsi="Jost"/>
        </w:rPr>
      </w:pPr>
      <w:r w:rsidDel="00000000" w:rsidR="00000000" w:rsidRPr="00000000">
        <w:rPr>
          <w:rtl w:val="0"/>
        </w:rPr>
      </w:r>
    </w:p>
    <w:p w:rsidR="00000000" w:rsidDel="00000000" w:rsidP="00000000" w:rsidRDefault="00000000" w:rsidRPr="00000000" w14:paraId="00000037">
      <w:pPr>
        <w:rPr>
          <w:rFonts w:ascii="Jost" w:cs="Jost" w:eastAsia="Jost" w:hAnsi="Jost"/>
        </w:rPr>
      </w:pPr>
      <w:r w:rsidDel="00000000" w:rsidR="00000000" w:rsidRPr="00000000">
        <w:rPr>
          <w:rFonts w:ascii="Jost" w:cs="Jost" w:eastAsia="Jost" w:hAnsi="Jost"/>
          <w:rtl w:val="0"/>
        </w:rPr>
        <w:t xml:space="preserve">When Target suffered its major 2013 data breach, the company demonstrated several strong incident‑response practices that organizations can learn from. They communicated openly once the breach was confirmed, offered free credit‑monitoring services, and launched a broad internal investigation to show accountability and support for affected customers. Target also committed to long‑term security improvements, investing heavily in better monitoring, vendor‑risk controls, and overall cybersecurity. However, the company was criticized for not acting sooner on early security alerts and for initially responding more slowly than customers expected, which contributed to frustration and loss of trust. Together, these strengths and shortcomings illustrate how transparency, customer support, and timely action are essential for rebuilding confidence after a security incident.</w:t>
      </w:r>
    </w:p>
    <w:p w:rsidR="00000000" w:rsidDel="00000000" w:rsidP="00000000" w:rsidRDefault="00000000" w:rsidRPr="00000000" w14:paraId="00000038">
      <w:pPr>
        <w:rPr>
          <w:rFonts w:ascii="Jost" w:cs="Jost" w:eastAsia="Jost" w:hAnsi="Jost"/>
        </w:rPr>
      </w:pPr>
      <w:r w:rsidDel="00000000" w:rsidR="00000000" w:rsidRPr="00000000">
        <w:rPr>
          <w:rtl w:val="0"/>
        </w:rPr>
      </w:r>
    </w:p>
    <w:p w:rsidR="00000000" w:rsidDel="00000000" w:rsidP="00000000" w:rsidRDefault="00000000" w:rsidRPr="00000000" w14:paraId="00000039">
      <w:pPr>
        <w:rPr>
          <w:rFonts w:ascii="Jost" w:cs="Jost" w:eastAsia="Jost" w:hAnsi="Jost"/>
        </w:rPr>
      </w:pPr>
      <w:r w:rsidDel="00000000" w:rsidR="00000000" w:rsidRPr="00000000">
        <w:rPr>
          <w:rtl w:val="0"/>
        </w:rPr>
      </w:r>
    </w:p>
    <w:p w:rsidR="00000000" w:rsidDel="00000000" w:rsidP="00000000" w:rsidRDefault="00000000" w:rsidRPr="00000000" w14:paraId="0000003A">
      <w:pPr>
        <w:rPr>
          <w:rFonts w:ascii="Jost" w:cs="Jost" w:eastAsia="Jost" w:hAnsi="Jost"/>
          <w:b w:val="1"/>
          <w:bCs w:val="1"/>
        </w:rPr>
      </w:pPr>
      <w:r w:rsidDel="00000000" w:rsidR="00000000" w:rsidRPr="00000000">
        <w:rPr>
          <w:rtl w:val="0"/>
        </w:rPr>
      </w:r>
    </w:p>
    <w:p w:rsidR="00000000" w:rsidDel="00000000" w:rsidP="00000000" w:rsidRDefault="00000000" w:rsidRPr="00000000" w14:paraId="0000003B">
      <w:pPr>
        <w:rPr>
          <w:rFonts w:ascii="Jost" w:cs="Jost" w:eastAsia="Jost" w:hAnsi="Jost"/>
          <w:b w:val="1"/>
          <w:bCs w:val="1"/>
        </w:rPr>
      </w:pPr>
      <w:r w:rsidDel="00000000" w:rsidR="00000000" w:rsidRPr="00000000">
        <w:rPr>
          <w:rFonts w:ascii="Jost" w:cs="Jost" w:eastAsia="Jost" w:hAnsi="Jost"/>
          <w:b w:val="1"/>
          <w:bCs w:val="1"/>
          <w:rtl w:val="0"/>
        </w:rPr>
        <w:t xml:space="preserve">Steinberg, Sean, Adam Stepan, and Kyle Neary. Target Cyber Attack: A Columbia University Case Study. Columbia University School of International and Public Affairs, 2021.</w:t>
      </w:r>
    </w:p>
    <w:p w:rsidR="00000000" w:rsidDel="00000000" w:rsidP="00000000" w:rsidRDefault="00000000" w:rsidRPr="00000000" w14:paraId="0000003C">
      <w:pPr>
        <w:rPr>
          <w:rFonts w:ascii="Jost" w:cs="Jost" w:eastAsia="Jost" w:hAnsi="Jost"/>
        </w:rPr>
      </w:pPr>
      <w:hyperlink r:id="rId13">
        <w:r w:rsidDel="00000000" w:rsidR="00000000" w:rsidRPr="00000000">
          <w:rPr>
            <w:rFonts w:ascii="Jost" w:cs="Jost" w:eastAsia="Jost" w:hAnsi="Jost"/>
            <w:b w:val="1"/>
            <w:bCs w:val="1"/>
            <w:color w:val="1155cc"/>
            <w:u w:val="single"/>
            <w:rtl w:val="0"/>
          </w:rPr>
          <w:t xml:space="preserve">www.sipa.columbia.edu/sites/def</w:t>
        </w:r>
      </w:hyperlink>
      <w:hyperlink r:id="rId14">
        <w:r w:rsidDel="00000000" w:rsidR="00000000" w:rsidRPr="00000000">
          <w:rPr>
            <w:rFonts w:ascii="Jost" w:cs="Jost" w:eastAsia="Jost" w:hAnsi="Jost"/>
            <w:color w:val="1155cc"/>
            <w:u w:val="single"/>
            <w:rtl w:val="0"/>
          </w:rPr>
          <w:t xml:space="preserve">ault/files/2022-11/Target%20Final.pdf</w:t>
        </w:r>
      </w:hyperlink>
      <w:r w:rsidDel="00000000" w:rsidR="00000000" w:rsidRPr="00000000">
        <w:rPr>
          <w:rFonts w:ascii="Jost" w:cs="Jost" w:eastAsia="Jost" w:hAnsi="Jost"/>
          <w:rtl w:val="0"/>
        </w:rPr>
        <w:t xml:space="preserve"> </w:t>
      </w:r>
    </w:p>
    <w:p w:rsidR="00000000" w:rsidDel="00000000" w:rsidP="00000000" w:rsidRDefault="00000000" w:rsidRPr="00000000" w14:paraId="0000003D">
      <w:pPr>
        <w:rPr>
          <w:rFonts w:ascii="Jost" w:cs="Jost" w:eastAsia="Jost" w:hAnsi="Jost"/>
        </w:rPr>
      </w:pPr>
      <w:r w:rsidDel="00000000" w:rsidR="00000000" w:rsidRPr="00000000">
        <w:rPr>
          <w:rtl w:val="0"/>
        </w:rPr>
      </w:r>
    </w:p>
    <w:p w:rsidR="00000000" w:rsidDel="00000000" w:rsidP="00000000" w:rsidRDefault="00000000" w:rsidRPr="00000000" w14:paraId="0000003E">
      <w:pPr>
        <w:rPr>
          <w:rFonts w:ascii="Jost" w:cs="Jost" w:eastAsia="Jost" w:hAnsi="Jost"/>
          <w:b w:val="1"/>
          <w:bCs w:val="1"/>
        </w:rPr>
      </w:pPr>
      <w:r w:rsidDel="00000000" w:rsidR="00000000" w:rsidRPr="00000000">
        <w:rPr>
          <w:rtl w:val="0"/>
        </w:rPr>
      </w:r>
    </w:p>
    <w:p w:rsidR="00000000" w:rsidDel="00000000" w:rsidP="00000000" w:rsidRDefault="00000000" w:rsidRPr="00000000" w14:paraId="0000003F">
      <w:pPr>
        <w:rPr>
          <w:rFonts w:ascii="Jost" w:cs="Jost" w:eastAsia="Jost" w:hAnsi="Jost"/>
          <w:b w:val="1"/>
          <w:bCs w:val="1"/>
        </w:rPr>
      </w:pPr>
      <w:r w:rsidDel="00000000" w:rsidR="00000000" w:rsidRPr="00000000">
        <w:rPr>
          <w:rtl w:val="0"/>
        </w:rPr>
      </w:r>
    </w:p>
    <w:p w:rsidR="00000000" w:rsidDel="00000000" w:rsidP="00000000" w:rsidRDefault="00000000" w:rsidRPr="00000000" w14:paraId="00000040">
      <w:pPr>
        <w:rPr>
          <w:rFonts w:ascii="Jost" w:cs="Jost" w:eastAsia="Jost" w:hAnsi="Jost"/>
          <w:b w:val="1"/>
          <w:bCs w:val="1"/>
        </w:rPr>
      </w:pPr>
      <w:r w:rsidDel="00000000" w:rsidR="00000000" w:rsidRPr="00000000">
        <w:rPr>
          <w:rtl w:val="0"/>
        </w:rPr>
      </w:r>
    </w:p>
    <w:p w:rsidR="00000000" w:rsidDel="00000000" w:rsidP="00000000" w:rsidRDefault="00000000" w:rsidRPr="00000000" w14:paraId="00000041">
      <w:pPr>
        <w:rPr>
          <w:rFonts w:ascii="Jost" w:cs="Jost" w:eastAsia="Jost" w:hAnsi="Jost"/>
          <w:b w:val="1"/>
          <w:bCs w:val="1"/>
        </w:rPr>
      </w:pPr>
      <w:r w:rsidDel="00000000" w:rsidR="00000000" w:rsidRPr="00000000">
        <w:rPr>
          <w:rtl w:val="0"/>
        </w:rPr>
      </w:r>
    </w:p>
    <w:p w:rsidR="00000000" w:rsidDel="00000000" w:rsidP="00000000" w:rsidRDefault="00000000" w:rsidRPr="00000000" w14:paraId="00000042">
      <w:pPr>
        <w:rPr>
          <w:rFonts w:ascii="Jost" w:cs="Jost" w:eastAsia="Jost" w:hAnsi="Jost"/>
          <w:b w:val="1"/>
          <w:bCs w:val="1"/>
        </w:rPr>
      </w:pPr>
      <w:r w:rsidDel="00000000" w:rsidR="00000000" w:rsidRPr="00000000">
        <w:rPr>
          <w:rtl w:val="0"/>
        </w:rPr>
      </w:r>
    </w:p>
    <w:p w:rsidR="00000000" w:rsidDel="00000000" w:rsidP="00000000" w:rsidRDefault="00000000" w:rsidRPr="00000000" w14:paraId="00000043">
      <w:pPr>
        <w:rPr>
          <w:rFonts w:ascii="Jost" w:cs="Jost" w:eastAsia="Jost" w:hAnsi="Jost"/>
          <w:b w:val="1"/>
          <w:bCs w:val="1"/>
        </w:rPr>
      </w:pPr>
      <w:r w:rsidDel="00000000" w:rsidR="00000000" w:rsidRPr="00000000">
        <w:rPr>
          <w:rtl w:val="0"/>
        </w:rPr>
      </w:r>
    </w:p>
    <w:p w:rsidR="00000000" w:rsidDel="00000000" w:rsidP="00000000" w:rsidRDefault="00000000" w:rsidRPr="00000000" w14:paraId="00000044">
      <w:pPr>
        <w:rPr>
          <w:rFonts w:ascii="Jost" w:cs="Jost" w:eastAsia="Jost" w:hAnsi="Jost"/>
          <w:b w:val="1"/>
          <w:bCs w:val="1"/>
        </w:rPr>
      </w:pPr>
      <w:r w:rsidDel="00000000" w:rsidR="00000000" w:rsidRPr="00000000">
        <w:rPr>
          <w:rtl w:val="0"/>
        </w:rPr>
      </w:r>
    </w:p>
    <w:p w:rsidR="00000000" w:rsidDel="00000000" w:rsidP="00000000" w:rsidRDefault="00000000" w:rsidRPr="00000000" w14:paraId="00000045">
      <w:pPr>
        <w:rPr>
          <w:rFonts w:ascii="Jost" w:cs="Jost" w:eastAsia="Jost" w:hAnsi="Jost"/>
          <w:b w:val="1"/>
          <w:bCs w:val="1"/>
        </w:rPr>
      </w:pPr>
      <w:r w:rsidDel="00000000" w:rsidR="00000000" w:rsidRPr="00000000">
        <w:rPr>
          <w:rtl w:val="0"/>
        </w:rPr>
      </w:r>
    </w:p>
    <w:p w:rsidR="00000000" w:rsidDel="00000000" w:rsidP="00000000" w:rsidRDefault="00000000" w:rsidRPr="00000000" w14:paraId="00000046">
      <w:pPr>
        <w:rPr>
          <w:rFonts w:ascii="Jost" w:cs="Jost" w:eastAsia="Jost" w:hAnsi="Jost"/>
          <w:b w:val="1"/>
          <w:bCs w:val="1"/>
        </w:rPr>
      </w:pPr>
      <w:r w:rsidDel="00000000" w:rsidR="00000000" w:rsidRPr="00000000">
        <w:rPr>
          <w:rtl w:val="0"/>
        </w:rPr>
      </w:r>
    </w:p>
    <w:p w:rsidR="00000000" w:rsidDel="00000000" w:rsidP="00000000" w:rsidRDefault="00000000" w:rsidRPr="00000000" w14:paraId="00000047">
      <w:pPr>
        <w:rPr>
          <w:rFonts w:ascii="Jost" w:cs="Jost" w:eastAsia="Jost" w:hAnsi="Jost"/>
          <w:b w:val="1"/>
          <w:bCs w:val="1"/>
        </w:rPr>
      </w:pPr>
      <w:r w:rsidDel="00000000" w:rsidR="00000000" w:rsidRPr="00000000">
        <w:rPr>
          <w:rtl w:val="0"/>
        </w:rPr>
      </w:r>
    </w:p>
    <w:p w:rsidR="00000000" w:rsidDel="00000000" w:rsidP="00000000" w:rsidRDefault="00000000" w:rsidRPr="00000000" w14:paraId="00000048">
      <w:pPr>
        <w:rPr>
          <w:rFonts w:ascii="Jost" w:cs="Jost" w:eastAsia="Jost" w:hAnsi="Jost"/>
          <w:b w:val="1"/>
          <w:bCs w:val="1"/>
        </w:rPr>
      </w:pPr>
      <w:r w:rsidDel="00000000" w:rsidR="00000000" w:rsidRPr="00000000">
        <w:rPr>
          <w:rtl w:val="0"/>
        </w:rPr>
      </w:r>
    </w:p>
    <w:p w:rsidR="00000000" w:rsidDel="00000000" w:rsidP="00000000" w:rsidRDefault="00000000" w:rsidRPr="00000000" w14:paraId="00000049">
      <w:pPr>
        <w:rPr>
          <w:rFonts w:ascii="Jost" w:cs="Jost" w:eastAsia="Jost" w:hAnsi="Jost"/>
          <w:b w:val="1"/>
          <w:bCs w:val="1"/>
        </w:rPr>
      </w:pPr>
      <w:r w:rsidDel="00000000" w:rsidR="00000000" w:rsidRPr="00000000">
        <w:rPr>
          <w:rtl w:val="0"/>
        </w:rPr>
      </w:r>
    </w:p>
    <w:p w:rsidR="00000000" w:rsidDel="00000000" w:rsidP="00000000" w:rsidRDefault="00000000" w:rsidRPr="00000000" w14:paraId="0000004A">
      <w:pPr>
        <w:rPr>
          <w:rFonts w:ascii="Jost" w:cs="Jost" w:eastAsia="Jost" w:hAnsi="Jost"/>
          <w:b w:val="1"/>
          <w:bCs w:val="1"/>
        </w:rPr>
      </w:pPr>
      <w:r w:rsidDel="00000000" w:rsidR="00000000" w:rsidRPr="00000000">
        <w:rPr>
          <w:rtl w:val="0"/>
        </w:rPr>
      </w:r>
    </w:p>
    <w:p w:rsidR="00000000" w:rsidDel="00000000" w:rsidP="00000000" w:rsidRDefault="00000000" w:rsidRPr="00000000" w14:paraId="0000004B">
      <w:pPr>
        <w:rPr>
          <w:rFonts w:ascii="Jost" w:cs="Jost" w:eastAsia="Jost" w:hAnsi="Jost"/>
          <w:b w:val="1"/>
          <w:bCs w:val="1"/>
        </w:rPr>
      </w:pPr>
      <w:r w:rsidDel="00000000" w:rsidR="00000000" w:rsidRPr="00000000">
        <w:rPr>
          <w:rtl w:val="0"/>
        </w:rPr>
      </w:r>
    </w:p>
    <w:p w:rsidR="00000000" w:rsidDel="00000000" w:rsidP="00000000" w:rsidRDefault="00000000" w:rsidRPr="00000000" w14:paraId="0000004C">
      <w:pPr>
        <w:rPr>
          <w:rFonts w:ascii="Jost" w:cs="Jost" w:eastAsia="Jost" w:hAnsi="Jost"/>
          <w:b w:val="1"/>
          <w:bCs w:val="1"/>
        </w:rPr>
      </w:pPr>
      <w:r w:rsidDel="00000000" w:rsidR="00000000" w:rsidRPr="00000000">
        <w:rPr>
          <w:rtl w:val="0"/>
        </w:rPr>
      </w:r>
    </w:p>
    <w:p w:rsidR="00000000" w:rsidDel="00000000" w:rsidP="00000000" w:rsidRDefault="00000000" w:rsidRPr="00000000" w14:paraId="0000004D">
      <w:pPr>
        <w:rPr>
          <w:rFonts w:ascii="Jost" w:cs="Jost" w:eastAsia="Jost" w:hAnsi="Jost"/>
          <w:b w:val="1"/>
          <w:bCs w:val="1"/>
        </w:rPr>
      </w:pPr>
      <w:r w:rsidDel="00000000" w:rsidR="00000000" w:rsidRPr="00000000">
        <w:rPr>
          <w:rtl w:val="0"/>
        </w:rPr>
      </w:r>
    </w:p>
    <w:p w:rsidR="00000000" w:rsidDel="00000000" w:rsidP="00000000" w:rsidRDefault="00000000" w:rsidRPr="00000000" w14:paraId="0000004E">
      <w:pPr>
        <w:rPr>
          <w:rFonts w:ascii="Jost" w:cs="Jost" w:eastAsia="Jost" w:hAnsi="Jost"/>
          <w:b w:val="1"/>
          <w:bCs w:val="1"/>
        </w:rPr>
      </w:pPr>
      <w:r w:rsidDel="00000000" w:rsidR="00000000" w:rsidRPr="00000000">
        <w:rPr>
          <w:rtl w:val="0"/>
        </w:rPr>
      </w:r>
    </w:p>
    <w:p w:rsidR="00000000" w:rsidDel="00000000" w:rsidP="00000000" w:rsidRDefault="00000000" w:rsidRPr="00000000" w14:paraId="0000004F">
      <w:pPr>
        <w:rPr>
          <w:rFonts w:ascii="Jost" w:cs="Jost" w:eastAsia="Jost" w:hAnsi="Jost"/>
          <w:b w:val="1"/>
          <w:bCs w:val="1"/>
        </w:rPr>
      </w:pPr>
      <w:r w:rsidDel="00000000" w:rsidR="00000000" w:rsidRPr="00000000">
        <w:rPr>
          <w:rtl w:val="0"/>
        </w:rPr>
      </w:r>
    </w:p>
    <w:p w:rsidR="00000000" w:rsidDel="00000000" w:rsidP="00000000" w:rsidRDefault="00000000" w:rsidRPr="00000000" w14:paraId="00000050">
      <w:pPr>
        <w:rPr>
          <w:rFonts w:ascii="Jost" w:cs="Jost" w:eastAsia="Jost" w:hAnsi="Jost"/>
          <w:b w:val="1"/>
          <w:bCs w:val="1"/>
        </w:rPr>
      </w:pPr>
      <w:r w:rsidDel="00000000" w:rsidR="00000000" w:rsidRPr="00000000">
        <w:rPr>
          <w:rtl w:val="0"/>
        </w:rPr>
      </w:r>
    </w:p>
    <w:p w:rsidR="00000000" w:rsidDel="00000000" w:rsidP="00000000" w:rsidRDefault="00000000" w:rsidRPr="00000000" w14:paraId="00000051">
      <w:pPr>
        <w:rPr>
          <w:rFonts w:ascii="Jost" w:cs="Jost" w:eastAsia="Jost" w:hAnsi="Jost"/>
          <w:b w:val="1"/>
          <w:bCs w:val="1"/>
        </w:rPr>
      </w:pPr>
      <w:r w:rsidDel="00000000" w:rsidR="00000000" w:rsidRPr="00000000">
        <w:rPr>
          <w:rtl w:val="0"/>
        </w:rPr>
      </w:r>
    </w:p>
    <w:p w:rsidR="00000000" w:rsidDel="00000000" w:rsidP="00000000" w:rsidRDefault="00000000" w:rsidRPr="00000000" w14:paraId="00000052">
      <w:pPr>
        <w:ind w:left="2160" w:firstLine="0"/>
        <w:jc w:val="left"/>
        <w:rPr>
          <w:rFonts w:ascii="Jost" w:cs="Jost" w:eastAsia="Jost" w:hAnsi="Jost"/>
          <w:b w:val="1"/>
          <w:bCs w:val="1"/>
        </w:rPr>
      </w:pPr>
      <w:r w:rsidDel="00000000" w:rsidR="00000000" w:rsidRPr="00000000">
        <w:rPr>
          <w:rFonts w:ascii="Jost" w:cs="Jost" w:eastAsia="Jost" w:hAnsi="Jost"/>
          <w:b w:val="1"/>
          <w:bCs w:val="1"/>
          <w:rtl w:val="0"/>
        </w:rPr>
        <w:t xml:space="preserve">      Other examples of company responses </w:t>
      </w:r>
    </w:p>
    <w:p w:rsidR="00000000" w:rsidDel="00000000" w:rsidP="00000000" w:rsidRDefault="00000000" w:rsidRPr="00000000" w14:paraId="00000053">
      <w:pPr>
        <w:ind w:left="720" w:firstLine="0"/>
        <w:jc w:val="center"/>
        <w:rPr>
          <w:rFonts w:ascii="Jost" w:cs="Jost" w:eastAsia="Jost" w:hAnsi="Jost"/>
          <w:b w:val="1"/>
          <w:bCs w:val="1"/>
        </w:rPr>
      </w:pPr>
      <w:r w:rsidDel="00000000" w:rsidR="00000000" w:rsidRPr="00000000">
        <w:rPr>
          <w:rtl w:val="0"/>
        </w:rPr>
      </w:r>
    </w:p>
    <w:p w:rsidR="00000000" w:rsidDel="00000000" w:rsidP="00000000" w:rsidRDefault="00000000" w:rsidRPr="00000000" w14:paraId="00000054">
      <w:pPr>
        <w:ind w:left="0" w:firstLine="0"/>
        <w:jc w:val="left"/>
        <w:rPr>
          <w:rFonts w:ascii="Jost" w:cs="Jost" w:eastAsia="Jost" w:hAnsi="Jost"/>
          <w:b w:val="1"/>
          <w:bCs w:val="1"/>
        </w:rPr>
      </w:pPr>
      <w:r w:rsidDel="00000000" w:rsidR="00000000" w:rsidRPr="00000000">
        <w:rPr>
          <w:rFonts w:ascii="Jost" w:cs="Jost" w:eastAsia="Jost" w:hAnsi="Jost"/>
          <w:rtl w:val="0"/>
        </w:rPr>
        <w:t xml:space="preserve">Context.ai</w:t>
      </w:r>
      <w:r w:rsidDel="00000000" w:rsidR="00000000" w:rsidRPr="00000000">
        <w:rPr>
          <w:rtl w:val="0"/>
        </w:rPr>
      </w:r>
    </w:p>
    <w:p w:rsidR="00000000" w:rsidDel="00000000" w:rsidP="00000000" w:rsidRDefault="00000000" w:rsidRPr="00000000" w14:paraId="00000055">
      <w:pPr>
        <w:rPr>
          <w:rFonts w:ascii="Jost" w:cs="Jost" w:eastAsia="Jost" w:hAnsi="Jost"/>
          <w:b w:val="1"/>
          <w:bCs w:val="1"/>
        </w:rPr>
      </w:pPr>
      <w:r w:rsidDel="00000000" w:rsidR="00000000" w:rsidRPr="00000000">
        <w:rPr>
          <w:rFonts w:ascii="Jost" w:cs="Jost" w:eastAsia="Jost" w:hAnsi="Jost"/>
          <w:b w:val="1"/>
          <w:bCs w:val="1"/>
        </w:rPr>
        <w:drawing>
          <wp:inline distB="114300" distT="114300" distL="114300" distR="114300">
            <wp:extent cx="4995863" cy="4235274"/>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95863" cy="423527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Jost" w:cs="Jost" w:eastAsia="Jost" w:hAnsi="Jost"/>
          <w:b w:val="1"/>
          <w:bCs w:val="1"/>
        </w:rPr>
      </w:pPr>
      <w:r w:rsidDel="00000000" w:rsidR="00000000" w:rsidRPr="00000000">
        <w:rPr>
          <w:rtl w:val="0"/>
        </w:rPr>
      </w:r>
    </w:p>
    <w:p w:rsidR="00000000" w:rsidDel="00000000" w:rsidP="00000000" w:rsidRDefault="00000000" w:rsidRPr="00000000" w14:paraId="00000057">
      <w:pPr>
        <w:rPr>
          <w:rFonts w:ascii="Jost" w:cs="Jost" w:eastAsia="Jost" w:hAnsi="Jost"/>
          <w:b w:val="1"/>
          <w:bCs w:val="1"/>
        </w:rPr>
      </w:pPr>
      <w:r w:rsidDel="00000000" w:rsidR="00000000" w:rsidRPr="00000000">
        <w:rPr>
          <w:rFonts w:ascii="Jost" w:cs="Jost" w:eastAsia="Jost" w:hAnsi="Jost"/>
          <w:rtl w:val="0"/>
        </w:rPr>
        <w:t xml:space="preserve">Full response here: </w:t>
      </w:r>
      <w:hyperlink r:id="rId16">
        <w:r w:rsidDel="00000000" w:rsidR="00000000" w:rsidRPr="00000000">
          <w:rPr>
            <w:rFonts w:ascii="Jost" w:cs="Jost" w:eastAsia="Jost" w:hAnsi="Jost"/>
            <w:color w:val="1155cc"/>
            <w:u w:val="single"/>
            <w:rtl w:val="0"/>
          </w:rPr>
          <w:t xml:space="preserve">https://context.ai/security-update</w:t>
        </w:r>
      </w:hyperlink>
      <w:r w:rsidDel="00000000" w:rsidR="00000000" w:rsidRPr="00000000">
        <w:rPr>
          <w:rFonts w:ascii="Jost" w:cs="Jost" w:eastAsia="Jost" w:hAnsi="Jost"/>
          <w:rtl w:val="0"/>
        </w:rPr>
        <w:t xml:space="preserve"> </w:t>
      </w:r>
      <w:r w:rsidDel="00000000" w:rsidR="00000000" w:rsidRPr="00000000">
        <w:rPr>
          <w:rtl w:val="0"/>
        </w:rPr>
      </w:r>
    </w:p>
    <w:p w:rsidR="00000000" w:rsidDel="00000000" w:rsidP="00000000" w:rsidRDefault="00000000" w:rsidRPr="00000000" w14:paraId="00000058">
      <w:pPr>
        <w:rPr>
          <w:rFonts w:ascii="Jost" w:cs="Jost" w:eastAsia="Jost" w:hAnsi="Jost"/>
        </w:rPr>
      </w:pPr>
      <w:r w:rsidDel="00000000" w:rsidR="00000000" w:rsidRPr="00000000">
        <w:rPr>
          <w:rtl w:val="0"/>
        </w:rPr>
      </w:r>
    </w:p>
    <w:p w:rsidR="00000000" w:rsidDel="00000000" w:rsidP="00000000" w:rsidRDefault="00000000" w:rsidRPr="00000000" w14:paraId="00000059">
      <w:pPr>
        <w:rPr>
          <w:rFonts w:ascii="Jost" w:cs="Jost" w:eastAsia="Jost" w:hAnsi="Jost"/>
        </w:rPr>
      </w:pPr>
      <w:r w:rsidDel="00000000" w:rsidR="00000000" w:rsidRPr="00000000">
        <w:rPr>
          <w:rtl w:val="0"/>
        </w:rPr>
      </w:r>
    </w:p>
    <w:p w:rsidR="00000000" w:rsidDel="00000000" w:rsidP="00000000" w:rsidRDefault="00000000" w:rsidRPr="00000000" w14:paraId="0000005A">
      <w:pPr>
        <w:rPr>
          <w:rFonts w:ascii="Jost" w:cs="Jost" w:eastAsia="Jost" w:hAnsi="Jost"/>
        </w:rPr>
      </w:pPr>
      <w:r w:rsidDel="00000000" w:rsidR="00000000" w:rsidRPr="00000000">
        <w:rPr>
          <w:rtl w:val="0"/>
        </w:rPr>
      </w:r>
    </w:p>
    <w:p w:rsidR="00000000" w:rsidDel="00000000" w:rsidP="00000000" w:rsidRDefault="00000000" w:rsidRPr="00000000" w14:paraId="0000005B">
      <w:pPr>
        <w:rPr>
          <w:rFonts w:ascii="Jost" w:cs="Jost" w:eastAsia="Jost" w:hAnsi="Jost"/>
        </w:rPr>
      </w:pPr>
      <w:r w:rsidDel="00000000" w:rsidR="00000000" w:rsidRPr="00000000">
        <w:rPr>
          <w:rtl w:val="0"/>
        </w:rPr>
      </w:r>
    </w:p>
    <w:p w:rsidR="00000000" w:rsidDel="00000000" w:rsidP="00000000" w:rsidRDefault="00000000" w:rsidRPr="00000000" w14:paraId="0000005C">
      <w:pPr>
        <w:rPr>
          <w:rFonts w:ascii="Jost" w:cs="Jost" w:eastAsia="Jost" w:hAnsi="Jost"/>
        </w:rPr>
      </w:pPr>
      <w:r w:rsidDel="00000000" w:rsidR="00000000" w:rsidRPr="00000000">
        <w:rPr>
          <w:rtl w:val="0"/>
        </w:rPr>
      </w:r>
    </w:p>
    <w:p w:rsidR="00000000" w:rsidDel="00000000" w:rsidP="00000000" w:rsidRDefault="00000000" w:rsidRPr="00000000" w14:paraId="0000005D">
      <w:pPr>
        <w:rPr>
          <w:rFonts w:ascii="Jost" w:cs="Jost" w:eastAsia="Jost" w:hAnsi="Jost"/>
        </w:rPr>
      </w:pPr>
      <w:r w:rsidDel="00000000" w:rsidR="00000000" w:rsidRPr="00000000">
        <w:rPr>
          <w:rtl w:val="0"/>
        </w:rPr>
      </w:r>
    </w:p>
    <w:p w:rsidR="00000000" w:rsidDel="00000000" w:rsidP="00000000" w:rsidRDefault="00000000" w:rsidRPr="00000000" w14:paraId="0000005E">
      <w:pPr>
        <w:rPr>
          <w:rFonts w:ascii="Jost" w:cs="Jost" w:eastAsia="Jost" w:hAnsi="Jost"/>
        </w:rPr>
      </w:pPr>
      <w:r w:rsidDel="00000000" w:rsidR="00000000" w:rsidRPr="00000000">
        <w:rPr>
          <w:rtl w:val="0"/>
        </w:rPr>
      </w:r>
    </w:p>
    <w:p w:rsidR="00000000" w:rsidDel="00000000" w:rsidP="00000000" w:rsidRDefault="00000000" w:rsidRPr="00000000" w14:paraId="0000005F">
      <w:pPr>
        <w:rPr>
          <w:rFonts w:ascii="Jost" w:cs="Jost" w:eastAsia="Jost" w:hAnsi="Jost"/>
        </w:rPr>
      </w:pPr>
      <w:r w:rsidDel="00000000" w:rsidR="00000000" w:rsidRPr="00000000">
        <w:rPr>
          <w:rtl w:val="0"/>
        </w:rPr>
      </w:r>
    </w:p>
    <w:p w:rsidR="00000000" w:rsidDel="00000000" w:rsidP="00000000" w:rsidRDefault="00000000" w:rsidRPr="00000000" w14:paraId="00000060">
      <w:pPr>
        <w:rPr>
          <w:rFonts w:ascii="Jost" w:cs="Jost" w:eastAsia="Jost" w:hAnsi="Jost"/>
        </w:rPr>
      </w:pPr>
      <w:r w:rsidDel="00000000" w:rsidR="00000000" w:rsidRPr="00000000">
        <w:rPr>
          <w:rtl w:val="0"/>
        </w:rPr>
      </w:r>
    </w:p>
    <w:p w:rsidR="00000000" w:rsidDel="00000000" w:rsidP="00000000" w:rsidRDefault="00000000" w:rsidRPr="00000000" w14:paraId="00000061">
      <w:pPr>
        <w:rPr>
          <w:rFonts w:ascii="Jost" w:cs="Jost" w:eastAsia="Jost" w:hAnsi="Jost"/>
        </w:rPr>
      </w:pPr>
      <w:r w:rsidDel="00000000" w:rsidR="00000000" w:rsidRPr="00000000">
        <w:rPr>
          <w:rtl w:val="0"/>
        </w:rPr>
      </w:r>
    </w:p>
    <w:p w:rsidR="00000000" w:rsidDel="00000000" w:rsidP="00000000" w:rsidRDefault="00000000" w:rsidRPr="00000000" w14:paraId="00000062">
      <w:pPr>
        <w:rPr>
          <w:rFonts w:ascii="Jost" w:cs="Jost" w:eastAsia="Jost" w:hAnsi="Jost"/>
        </w:rPr>
      </w:pPr>
      <w:r w:rsidDel="00000000" w:rsidR="00000000" w:rsidRPr="00000000">
        <w:rPr>
          <w:rFonts w:ascii="Jost" w:cs="Jost" w:eastAsia="Jost" w:hAnsi="Jost"/>
          <w:rtl w:val="0"/>
        </w:rPr>
        <w:t xml:space="preserve">Vercel </w:t>
      </w:r>
    </w:p>
    <w:p w:rsidR="00000000" w:rsidDel="00000000" w:rsidP="00000000" w:rsidRDefault="00000000" w:rsidRPr="00000000" w14:paraId="00000063">
      <w:pPr>
        <w:rPr>
          <w:rFonts w:ascii="Jost" w:cs="Jost" w:eastAsia="Jost" w:hAnsi="Jost"/>
        </w:rPr>
      </w:pPr>
      <w:r w:rsidDel="00000000" w:rsidR="00000000" w:rsidRPr="00000000">
        <w:rPr>
          <w:rFonts w:ascii="Jost" w:cs="Jost" w:eastAsia="Jost" w:hAnsi="Jost"/>
          <w:rtl w:val="0"/>
        </w:rPr>
        <w:t xml:space="preserve">Email sent to costumers </w:t>
      </w:r>
    </w:p>
    <w:p w:rsidR="00000000" w:rsidDel="00000000" w:rsidP="00000000" w:rsidRDefault="00000000" w:rsidRPr="00000000" w14:paraId="00000064">
      <w:pPr>
        <w:rPr>
          <w:rFonts w:ascii="Jost" w:cs="Jost" w:eastAsia="Jost" w:hAnsi="Jost"/>
        </w:rPr>
      </w:pPr>
      <w:r w:rsidDel="00000000" w:rsidR="00000000" w:rsidRPr="00000000">
        <w:rPr>
          <w:rtl w:val="0"/>
        </w:rPr>
      </w:r>
    </w:p>
    <w:p w:rsidR="00000000" w:rsidDel="00000000" w:rsidP="00000000" w:rsidRDefault="00000000" w:rsidRPr="00000000" w14:paraId="00000065">
      <w:pPr>
        <w:rPr>
          <w:rFonts w:ascii="Jost" w:cs="Jost" w:eastAsia="Jost" w:hAnsi="Jost"/>
          <w:b w:val="1"/>
          <w:bCs w:val="1"/>
        </w:rPr>
      </w:pPr>
      <w:r w:rsidDel="00000000" w:rsidR="00000000" w:rsidRPr="00000000">
        <w:rPr>
          <w:rFonts w:ascii="Jost" w:cs="Jost" w:eastAsia="Jost" w:hAnsi="Jost"/>
          <w:b w:val="1"/>
          <w:bCs w:val="1"/>
        </w:rPr>
        <w:drawing>
          <wp:inline distB="114300" distT="114300" distL="114300" distR="114300">
            <wp:extent cx="5186363" cy="5311035"/>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86363" cy="531103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Jost" w:cs="Jost" w:eastAsia="Jost" w:hAnsi="Jost"/>
          <w:b w:val="1"/>
          <w:bCs w:val="1"/>
        </w:rPr>
      </w:pPr>
      <w:r w:rsidDel="00000000" w:rsidR="00000000" w:rsidRPr="00000000">
        <w:rPr>
          <w:rtl w:val="0"/>
        </w:rPr>
      </w:r>
    </w:p>
    <w:p w:rsidR="00000000" w:rsidDel="00000000" w:rsidP="00000000" w:rsidRDefault="00000000" w:rsidRPr="00000000" w14:paraId="00000067">
      <w:pPr>
        <w:rPr>
          <w:rFonts w:ascii="Jost" w:cs="Jost" w:eastAsia="Jost" w:hAnsi="Jost"/>
        </w:rPr>
      </w:pPr>
      <w:r w:rsidDel="00000000" w:rsidR="00000000" w:rsidRPr="00000000">
        <w:rPr>
          <w:rFonts w:ascii="Jost" w:cs="Jost" w:eastAsia="Jost" w:hAnsi="Jost"/>
          <w:rtl w:val="0"/>
        </w:rPr>
        <w:t xml:space="preserve">Full company response: </w:t>
      </w:r>
      <w:hyperlink r:id="rId18">
        <w:r w:rsidDel="00000000" w:rsidR="00000000" w:rsidRPr="00000000">
          <w:rPr>
            <w:rFonts w:ascii="Jost" w:cs="Jost" w:eastAsia="Jost" w:hAnsi="Jost"/>
            <w:color w:val="1155cc"/>
            <w:u w:val="single"/>
            <w:rtl w:val="0"/>
          </w:rPr>
          <w:t xml:space="preserve">https://vercel.com/kb/bulletin/vercel-april-2026-security-incident</w:t>
        </w:r>
      </w:hyperlink>
      <w:r w:rsidDel="00000000" w:rsidR="00000000" w:rsidRPr="00000000">
        <w:rPr>
          <w:rFonts w:ascii="Jost" w:cs="Jost" w:eastAsia="Jost" w:hAnsi="Jost"/>
          <w:rtl w:val="0"/>
        </w:rPr>
        <w:t xml:space="preserve"> </w:t>
      </w:r>
    </w:p>
    <w:p w:rsidR="00000000" w:rsidDel="00000000" w:rsidP="00000000" w:rsidRDefault="00000000" w:rsidRPr="00000000" w14:paraId="00000068">
      <w:pPr>
        <w:rPr>
          <w:rFonts w:ascii="Jost" w:cs="Jost" w:eastAsia="Jost" w:hAnsi="Jost"/>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center"/>
        <w:rPr>
          <w:b w:val="1"/>
          <w:bCs w:val="1"/>
        </w:rPr>
      </w:pPr>
      <w:r w:rsidDel="00000000" w:rsidR="00000000" w:rsidRPr="00000000">
        <w:rPr>
          <w:rtl w:val="0"/>
        </w:rPr>
      </w:r>
    </w:p>
    <w:p w:rsidR="00000000" w:rsidDel="00000000" w:rsidP="00000000" w:rsidRDefault="00000000" w:rsidRPr="00000000" w14:paraId="00000079">
      <w:pPr>
        <w:jc w:val="cente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sectPr>
      <w:headerReference r:id="rId19" w:type="first"/>
      <w:footerReference r:id="rId20" w:type="defaul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ublic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Public Sans" w:cs="Public Sans" w:eastAsia="Public Sans" w:hAnsi="Public Sans"/>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Public Sans" w:cs="Public Sans" w:eastAsia="Public Sans" w:hAnsi="Public Sans"/>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Public Sans" w:cs="Public Sans" w:eastAsia="Public Sans" w:hAnsi="Public Sans"/>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hyperlink" Target="http://archive.epic.org/privacy/data-breach/equifax/" TargetMode="External"/><Relationship Id="rId21" Type="http://schemas.openxmlformats.org/officeDocument/2006/relationships/footer" Target="footer2.xml"/><Relationship Id="rId13" Type="http://schemas.openxmlformats.org/officeDocument/2006/relationships/hyperlink" Target="http://www.sipa.columbia.edu/sites/default/files/2022-11/Target%20Final.pdf"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hyperlink" Target="http://www.sipa.columbia.edu/sites/default/files/2022-11/Target%20Final.pdf" TargetMode="External"/><Relationship Id="rId17" Type="http://schemas.openxmlformats.org/officeDocument/2006/relationships/image" Target="media/image5.png"/><Relationship Id="rId16" Type="http://schemas.openxmlformats.org/officeDocument/2006/relationships/hyperlink" Target="https://context.ai/security-updat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itlawco.com/pr-for-data-breach-management/" TargetMode="External"/><Relationship Id="rId18" Type="http://schemas.openxmlformats.org/officeDocument/2006/relationships/hyperlink" Target="https://vercel.com/kb/bulletin/vercel-april-2026-security-incident" TargetMode="Externa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PublicSans-regular.ttf"/><Relationship Id="rId6" Type="http://schemas.openxmlformats.org/officeDocument/2006/relationships/font" Target="fonts/PublicSans-bold.ttf"/><Relationship Id="rId7" Type="http://schemas.openxmlformats.org/officeDocument/2006/relationships/font" Target="fonts/PublicSans-italic.ttf"/><Relationship Id="rId8"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