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问题描述"/>
    <w:p>
      <w:pPr>
        <w:pStyle w:val="Heading2"/>
      </w:pPr>
      <w:r>
        <w:t xml:space="preserve">问题描述</w:t>
      </w:r>
    </w:p>
    <w:p>
      <w:pPr>
        <w:pStyle w:val="FirstParagraph"/>
      </w:pPr>
      <w:r>
        <w:t xml:space="preserve">    挖掘机在建筑、施工等领域有着重要的地位，被广泛应用于采矿、勘探、环境恢复、考古调查、建筑和应急救援等不同应用。挖掘机被认为是用途最广泛的重型设备，拥有广阔的市场。 2018 年全球挖掘机市场规模为 441.2 亿美元，预计到 2026 年将增长到 631.4 亿美元。在中国，2018 年约有 160 万台挖掘机在运行，预计 2024 年将销售 38 万台新挖掘机。然而，挖掘被认为是最危险的作业之一，每年都会导致大量伤亡。在美国，每年大约有 200 人因塌方、地面坍塌或其他挖掘事件造成伤亡。随着更多挖掘机的使用，受伤和死亡的人数会越来越多。</w:t>
      </w:r>
      <w:r>
        <w:t xml:space="preserve"> </w:t>
      </w:r>
      <w:r>
        <w:t xml:space="preserve">    目前，挖掘机由经过特定培训的操作员控制。这种长期培训不仅包括学习挖掘机动技术，还包括学习安全法规和标准。除了危及生命的事件外，操作员可能不得不在极端工作条件下操作挖掘机。例如，矿场通常位于偏远地区甚至沙漠中，那里的条件包括大量灰尘和极高或极低的温度。此外，地处偏远和远离城市导致现场挖掘机操作员的可用性有限。因此，工人的工作时间和负荷延长，这可能导致更高的疲劳和更多的伤害。在全球范围内，采矿和建筑劳动力面临着操作重型设备（包括挖掘机）的老龄化问题和劳动力短缺问题。</w:t>
      </w:r>
    </w:p>
    <w:bookmarkEnd w:id="20"/>
    <w:bookmarkStart w:id="21" w:name="问题分析"/>
    <w:p>
      <w:pPr>
        <w:pStyle w:val="Heading2"/>
      </w:pPr>
      <w:r>
        <w:t xml:space="preserve">问题分析</w:t>
      </w:r>
    </w:p>
    <w:p>
      <w:pPr>
        <w:pStyle w:val="FirstParagraph"/>
      </w:pPr>
      <w:r>
        <w:t xml:space="preserve">    一种解决方案是开发远程通过5G信号传输现场画面，由驾驶员远程对挖掘机进行操作控制，无法实现智能无人化控制液态挖掘机机械臂，增高了矿业挖掘人力成本，以及矿业生产效率增长速度受到了极大的限制。另一种解决方案是开发自动挖掘机，无需任何人工操作员即可在具有挑战性和危险的条件下运行。无人挖掘系统可以大大减少挖掘作业期间的伤亡人数。此外，这样的挖掘机可以长时间执行繁琐且重复的任务，从而提高整体吞吐量。</w:t>
      </w:r>
    </w:p>
    <w:bookmarkEnd w:id="21"/>
    <w:bookmarkStart w:id="25" w:name="问题抽象"/>
    <w:p>
      <w:pPr>
        <w:pStyle w:val="Heading2"/>
      </w:pPr>
      <w:r>
        <w:t xml:space="preserve">问题抽象</w:t>
      </w:r>
    </w:p>
    <w:p>
      <w:pPr>
        <w:pStyle w:val="FirstParagraph"/>
      </w:pPr>
      <w:r>
        <w:t xml:space="preserve">    首先将问题抽象出挖掘区域，挖掘动作，挖掘点三个方面。</w:t>
      </w:r>
      <w:r>
        <w:t xml:space="preserve"> </w:t>
      </w:r>
      <w:r>
        <w:t xml:space="preserve">为更加清楚叙述问题，以挖掘机所在位置为原点，我们建立一个三维坐标系。z轴为垂直地面向下为正，y轴为挖掘机面向方向为正，x轴已与y轴垂直，挖掘机右手方向为正。</w:t>
      </w:r>
      <w:r>
        <w:t xml:space="preserve"> </w:t>
      </w:r>
      <w:r>
        <w:drawing>
          <wp:inline>
            <wp:extent cx="5334000" cy="4572000"/>
            <wp:effectExtent b="0" l="0" r="0" t="0"/>
            <wp:docPr descr="坐标示意图" title="" id="1" name="Picture"/>
            <a:graphic>
              <a:graphicData uri="http://schemas.openxmlformats.org/drawingml/2006/picture">
                <pic:pic>
                  <pic:nvPicPr>
                    <pic:cNvPr descr="./%E5%9D%90%E6%A0%87%E7%A4%BA%E6%84%8F%E5%9B%BE.png" id="0" name="Picture"/>
                    <pic:cNvPicPr>
                      <a:picLocks noChangeArrowheads="1" noChangeAspect="1"/>
                    </pic:cNvPicPr>
                  </pic:nvPicPr>
                  <pic:blipFill>
                    <a:blip r:embed="rId22"/>
                    <a:stretch>
                      <a:fillRect/>
                    </a:stretch>
                  </pic:blipFill>
                  <pic:spPr bwMode="auto">
                    <a:xfrm>
                      <a:off x="0" y="0"/>
                      <a:ext cx="5334000" cy="4572000"/>
                    </a:xfrm>
                    <a:prstGeom prst="rect">
                      <a:avLst/>
                    </a:prstGeom>
                    <a:noFill/>
                    <a:ln w="9525">
                      <a:noFill/>
                      <a:headEnd/>
                      <a:tailEnd/>
                    </a:ln>
                  </pic:spPr>
                </pic:pic>
              </a:graphicData>
            </a:graphic>
          </wp:inline>
        </w:drawing>
      </w:r>
      <w:r>
        <w:t xml:space="preserve"> </w:t>
      </w:r>
      <w:r>
        <w:drawing>
          <wp:inline>
            <wp:extent cx="5334000" cy="5221705"/>
            <wp:effectExtent b="0" l="0" r="0" t="0"/>
            <wp:docPr descr="立体示意图" title="" id="1" name="Picture"/>
            <a:graphic>
              <a:graphicData uri="http://schemas.openxmlformats.org/drawingml/2006/picture">
                <pic:pic>
                  <pic:nvPicPr>
                    <pic:cNvPr descr="./立体示意图.png" id="0" name="Picture"/>
                    <pic:cNvPicPr>
                      <a:picLocks noChangeArrowheads="1" noChangeAspect="1"/>
                    </pic:cNvPicPr>
                  </pic:nvPicPr>
                  <pic:blipFill>
                    <a:blip r:embed="rId23"/>
                    <a:stretch>
                      <a:fillRect/>
                    </a:stretch>
                  </pic:blipFill>
                  <pic:spPr bwMode="auto">
                    <a:xfrm>
                      <a:off x="0" y="0"/>
                      <a:ext cx="5334000" cy="5221705"/>
                    </a:xfrm>
                    <a:prstGeom prst="rect">
                      <a:avLst/>
                    </a:prstGeom>
                    <a:noFill/>
                    <a:ln w="9525">
                      <a:noFill/>
                      <a:headEnd/>
                      <a:tailEnd/>
                    </a:ln>
                  </pic:spPr>
                </pic:pic>
              </a:graphicData>
            </a:graphic>
          </wp:inline>
        </w:drawing>
      </w:r>
    </w:p>
    <w:p>
      <w:pPr>
        <w:numPr>
          <w:ilvl w:val="0"/>
          <w:numId w:val="1001"/>
        </w:numPr>
        <w:pStyle w:val="Compact"/>
      </w:pPr>
      <w:r>
        <w:t xml:space="preserve">挖掘区域</w:t>
      </w:r>
    </w:p>
    <w:p>
      <w:pPr>
        <w:pStyle w:val="FirstParagraph"/>
      </w:pPr>
      <w:r>
        <w:t xml:space="preserve">    </w:t>
      </w:r>
      <w:r>
        <w:t xml:space="preserve"> </w:t>
      </w:r>
      <w:r>
        <w:t xml:space="preserve">挖掘区域是一个长度，宽度，深度的立方区域，我们使用一个三维矩阵来表示挖掘区域。</w:t>
      </w:r>
      <w:r>
        <w:t xml:space="preserve"> </w:t>
      </w:r>
      <w:r>
        <w:t xml:space="preserve">第一维是z轴信息，即深度信息。</w:t>
      </w:r>
      <w:r>
        <w:t xml:space="preserve"> </w:t>
      </w:r>
      <w:r>
        <w:t xml:space="preserve">第二维是y轴信息，即挖掘机面向方向信息。</w:t>
      </w:r>
      <w:r>
        <w:t xml:space="preserve"> </w:t>
      </w:r>
      <w:r>
        <w:t xml:space="preserve">第三维是x轴信息，即挖掘机右手方向，与x轴垂直。</w:t>
      </w:r>
      <w:r>
        <w:t xml:space="preserve"> </w:t>
      </w:r>
      <w:r>
        <w:t xml:space="preserve">设矩阵一个单位表示20cm，如坐标[5,3,4]即表示深100cm，挖掘机面向方向60cm，右手边80cm一个20</w:t>
      </w:r>
      <w:r>
        <w:rPr>
          <w:i/>
        </w:rPr>
        <w:t xml:space="preserve">20</w:t>
      </w:r>
      <w:r>
        <w:t xml:space="preserve">20cm立方体。</w:t>
      </w:r>
      <w:r>
        <w:t xml:space="preserve"> </w:t>
      </w:r>
      <w:r>
        <w:t xml:space="preserve">在矩阵中，尚待被挖掘的点我们在矩阵中的元素使用数字</w:t>
      </w:r>
      <w:r>
        <w:rPr>
          <w:i/>
        </w:rPr>
        <w:t xml:space="preserve">1</w:t>
      </w:r>
      <w:r>
        <w:t xml:space="preserve">来表示，已经被挖掘的点我们使用数字</w:t>
      </w:r>
      <w:r>
        <w:rPr>
          <w:i/>
        </w:rPr>
        <w:t xml:space="preserve">0</w:t>
      </w:r>
      <w:r>
        <w:t xml:space="preserve">来表示。</w:t>
      </w:r>
      <w:r>
        <w:t xml:space="preserve"> </w:t>
      </w:r>
      <w:r>
        <w:drawing>
          <wp:inline>
            <wp:extent cx="5334000" cy="4823080"/>
            <wp:effectExtent b="0" l="0" r="0" t="0"/>
            <wp:docPr descr="位置坐标示意图" title="" id="1" name="Picture"/>
            <a:graphic>
              <a:graphicData uri="http://schemas.openxmlformats.org/drawingml/2006/picture">
                <pic:pic>
                  <pic:nvPicPr>
                    <pic:cNvPr descr="./位置坐标示意图.png" id="0" name="Picture"/>
                    <pic:cNvPicPr>
                      <a:picLocks noChangeArrowheads="1" noChangeAspect="1"/>
                    </pic:cNvPicPr>
                  </pic:nvPicPr>
                  <pic:blipFill>
                    <a:blip r:embed="rId24"/>
                    <a:stretch>
                      <a:fillRect/>
                    </a:stretch>
                  </pic:blipFill>
                  <pic:spPr bwMode="auto">
                    <a:xfrm>
                      <a:off x="0" y="0"/>
                      <a:ext cx="5334000" cy="4823080"/>
                    </a:xfrm>
                    <a:prstGeom prst="rect">
                      <a:avLst/>
                    </a:prstGeom>
                    <a:noFill/>
                    <a:ln w="9525">
                      <a:noFill/>
                      <a:headEnd/>
                      <a:tailEnd/>
                    </a:ln>
                  </pic:spPr>
                </pic:pic>
              </a:graphicData>
            </a:graphic>
          </wp:inline>
        </w:drawing>
      </w:r>
    </w:p>
    <w:p>
      <w:pPr>
        <w:numPr>
          <w:ilvl w:val="0"/>
          <w:numId w:val="1002"/>
        </w:numPr>
        <w:pStyle w:val="Compact"/>
      </w:pPr>
      <w:r>
        <w:t xml:space="preserve">挖掘动作</w:t>
      </w:r>
    </w:p>
    <w:p>
      <w:pPr>
        <w:pStyle w:val="FirstParagraph"/>
      </w:pPr>
      <w:r>
        <w:t xml:space="preserve">    </w:t>
      </w:r>
      <w:r>
        <w:t xml:space="preserve"> </w:t>
      </w:r>
      <w:r>
        <w:t xml:space="preserve">挖掘动作设计使用</w:t>
      </w:r>
      <w:r>
        <w:rPr>
          <w:b/>
        </w:rPr>
        <w:t xml:space="preserve">三次插值法</w:t>
      </w:r>
      <w:r>
        <w:t xml:space="preserve">来确定挖掘轨迹，使挖掘轨迹更加平滑，确定轨迹内的矩阵元素，将轨迹所含元素值在矩阵内全部更改为</w:t>
      </w:r>
      <w:r>
        <w:rPr>
          <w:i/>
        </w:rPr>
        <w:t xml:space="preserve">0</w:t>
      </w:r>
      <w:r>
        <w:t xml:space="preserve">。</w:t>
      </w:r>
      <w:r>
        <w:t xml:space="preserve"> </w:t>
      </w:r>
      <w:r>
        <w:t xml:space="preserve">目前使用三种经典动作来进行挖掘。</w:t>
      </w:r>
    </w:p>
    <w:p>
      <w:pPr>
        <w:numPr>
          <w:ilvl w:val="0"/>
          <w:numId w:val="1003"/>
        </w:numPr>
        <w:pStyle w:val="Compact"/>
      </w:pPr>
      <w:r>
        <w:t xml:space="preserve">挖掘点设计</w:t>
      </w:r>
    </w:p>
    <w:p>
      <w:pPr>
        <w:pStyle w:val="FirstParagraph"/>
      </w:pPr>
      <w:r>
        <w:t xml:space="preserve">    </w:t>
      </w:r>
      <w:r>
        <w:t xml:space="preserve"> </w:t>
      </w:r>
      <w:r>
        <w:t xml:space="preserve">矩阵内所有元素都可作为入铲点。</w:t>
      </w:r>
      <w:r>
        <w:t xml:space="preserve"> </w:t>
      </w:r>
      <w:r>
        <w:t xml:space="preserve">但需符合物理逻辑，当某元素点上方有未挖掘点时，不可将此点作为入铲点。</w:t>
      </w:r>
    </w:p>
    <w:bookmarkEnd w:id="25"/>
    <w:bookmarkStart w:id="26" w:name="解决方法"/>
    <w:p>
      <w:pPr>
        <w:pStyle w:val="Heading2"/>
      </w:pPr>
      <w:r>
        <w:t xml:space="preserve">解决方法</w:t>
      </w:r>
    </w:p>
    <w:p>
      <w:pPr>
        <w:pStyle w:val="FirstParagraph"/>
      </w:pPr>
      <w:r>
        <w:t xml:space="preserve">    </w:t>
      </w:r>
      <w:r>
        <w:t xml:space="preserve"> </w:t>
      </w:r>
      <w:r>
        <w:t xml:space="preserve">基于优化挖掘路径规划及降低劳动成本方面考虑，我们使用深度强化学习算法</w:t>
      </w:r>
      <w:r>
        <w:rPr>
          <w:b/>
        </w:rPr>
        <w:t xml:space="preserve">Deep Q Learning</w:t>
      </w:r>
      <w:r>
        <w:t xml:space="preserve">来实现挖掘机无人自动化挖掘。</w:t>
      </w:r>
      <w:r>
        <w:t xml:space="preserve"> </w:t>
      </w:r>
      <w:r>
        <w:rPr>
          <w:b/>
        </w:rPr>
        <w:t xml:space="preserve">Deep Q Learning</w:t>
      </w:r>
      <w:r>
        <w:t xml:space="preserve">算法基于强化学习算法</w:t>
      </w:r>
      <w:r>
        <w:rPr>
          <w:b/>
        </w:rPr>
        <w:t xml:space="preserve">Q-Learning</w:t>
      </w:r>
      <w:r>
        <w:t xml:space="preserve">。</w:t>
      </w:r>
      <w:r>
        <w:t xml:space="preserve"> </w:t>
      </w:r>
      <w:r>
        <w:rPr>
          <w:b/>
        </w:rPr>
        <w:t xml:space="preserve">Q-Learning</w:t>
      </w:r>
      <w:r>
        <w:t xml:space="preserve">是强化学习算法中</w:t>
      </w:r>
      <w:r>
        <w:rPr>
          <w:b/>
        </w:rPr>
        <w:t xml:space="preserve">value-based</w:t>
      </w:r>
      <w:r>
        <w:t xml:space="preserve">的算法，</w:t>
      </w:r>
      <w:r>
        <w:rPr>
          <w:b/>
        </w:rPr>
        <w:t xml:space="preserve">Q</w:t>
      </w:r>
      <w:r>
        <w:t xml:space="preserve">即为</w:t>
      </w:r>
      <w:r>
        <w:rPr>
          <w:b/>
        </w:rPr>
        <w:t xml:space="preserve">Q(s,a)</w:t>
      </w:r>
      <w:r>
        <w:t xml:space="preserve">就是在某一时刻的</w:t>
      </w:r>
      <w:r>
        <w:t xml:space="preserve"> </w:t>
      </w:r>
      <w:r>
        <w:rPr>
          <w:b/>
        </w:rPr>
        <w:t xml:space="preserve">s</w:t>
      </w:r>
      <w:r>
        <w:t xml:space="preserve"> </w:t>
      </w:r>
      <w:r>
        <w:t xml:space="preserve">状态下</w:t>
      </w:r>
      <m:oMath>
        <m:r>
          <m:t>(</m:t>
        </m:r>
        <m:r>
          <m:t>s</m:t>
        </m:r>
        <m:r>
          <m:t>∈</m:t>
        </m:r>
        <m:r>
          <m:t>S</m:t>
        </m:r>
        <m:r>
          <m:t>)</m:t>
        </m:r>
      </m:oMath>
      <w:r>
        <w:t xml:space="preserve">，</w:t>
      </w:r>
      <w:r>
        <w:t xml:space="preserve"> </w:t>
      </w:r>
      <w:r>
        <w:t xml:space="preserve">采取动作</w:t>
      </w:r>
      <w:r>
        <w:rPr>
          <w:b/>
        </w:rPr>
        <w:t xml:space="preserve">a</w:t>
      </w:r>
      <w:r>
        <w:t xml:space="preserve"> </w:t>
      </w:r>
      <m:oMath>
        <m:r>
          <m:t>(</m:t>
        </m:r>
        <m:r>
          <m:t>a</m:t>
        </m:r>
        <m:r>
          <m:t>∈</m:t>
        </m:r>
        <m:r>
          <m:t>A</m:t>
        </m:r>
        <m:r>
          <m:t>)</m:t>
        </m:r>
      </m:oMath>
      <w:r>
        <w:t xml:space="preserve">动作能够获得收益的期望，环境会根据</w:t>
      </w:r>
      <w:r>
        <w:rPr>
          <w:b/>
        </w:rPr>
        <w:t xml:space="preserve">agent</w:t>
      </w:r>
      <w:r>
        <w:t xml:space="preserve">的动作反馈相应的回报</w:t>
      </w:r>
      <w:r>
        <w:rPr>
          <w:b/>
        </w:rPr>
        <w:t xml:space="preserve">reward r</w:t>
      </w:r>
      <w:r>
        <w:t xml:space="preserve">，所以算法的主要思想就是将</w:t>
      </w:r>
      <w:r>
        <w:rPr>
          <w:b/>
        </w:rPr>
        <w:t xml:space="preserve">State</w:t>
      </w:r>
      <w:r>
        <w:t xml:space="preserve">与Action构建成一张</w:t>
      </w:r>
      <w:r>
        <w:rPr>
          <w:b/>
        </w:rPr>
        <w:t xml:space="preserve">Q-table</w:t>
      </w:r>
      <w:r>
        <w:t xml:space="preserve">来存储</w:t>
      </w:r>
      <w:r>
        <w:rPr>
          <w:b/>
        </w:rPr>
        <w:t xml:space="preserve">Q</w:t>
      </w:r>
      <w:r>
        <w:t xml:space="preserve">值，然后根据</w:t>
      </w:r>
      <w:r>
        <w:rPr>
          <w:b/>
        </w:rPr>
        <w:t xml:space="preserve">Q</w:t>
      </w:r>
      <w:r>
        <w:t xml:space="preserve">值来选取能够获得最大的收益的动作。</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rPr>
                <w:b/>
              </w:rPr>
              <w:t xml:space="preserve">Q-Table</w:t>
            </w:r>
          </w:p>
        </w:tc>
        <w:tc>
          <w:tcPr>
            <w:tcBorders>
              <w:bottom w:val="single"/>
            </w:tcBorders>
            <w:vAlign w:val="bottom"/>
          </w:tcPr>
          <w:p>
            <w:pPr>
              <w:pStyle w:val="Compact"/>
              <w:jc w:val="center"/>
            </w:pPr>
            <w:r>
              <w:rPr>
                <w:b/>
              </w:rPr>
              <w:t xml:space="preserve">a1</w:t>
            </w:r>
          </w:p>
        </w:tc>
        <w:tc>
          <w:tcPr>
            <w:tcBorders>
              <w:bottom w:val="single"/>
            </w:tcBorders>
            <w:vAlign w:val="bottom"/>
          </w:tcPr>
          <w:p>
            <w:pPr>
              <w:pStyle w:val="Compact"/>
              <w:jc w:val="center"/>
            </w:pPr>
            <w:r>
              <w:rPr>
                <w:b/>
              </w:rPr>
              <w:t xml:space="preserve">a2</w:t>
            </w:r>
          </w:p>
        </w:tc>
      </w:tr>
      <w:tr>
        <w:tc>
          <w:p>
            <w:pPr>
              <w:pStyle w:val="Compact"/>
              <w:jc w:val="center"/>
            </w:pPr>
            <w:r>
              <w:t xml:space="preserve">s1</w:t>
            </w:r>
          </w:p>
        </w:tc>
        <w:tc>
          <w:p>
            <w:pPr>
              <w:pStyle w:val="Compact"/>
              <w:jc w:val="center"/>
            </w:pPr>
            <w:r>
              <w:t xml:space="preserve">q(s1,a1)</w:t>
            </w:r>
          </w:p>
        </w:tc>
        <w:tc>
          <w:p>
            <w:pPr>
              <w:pStyle w:val="Compact"/>
              <w:jc w:val="center"/>
            </w:pPr>
            <w:r>
              <w:t xml:space="preserve">q(s1,a2)</w:t>
            </w:r>
          </w:p>
        </w:tc>
      </w:tr>
      <w:tr>
        <w:tc>
          <w:p>
            <w:pPr>
              <w:pStyle w:val="Compact"/>
              <w:jc w:val="center"/>
            </w:pPr>
            <w:r>
              <w:t xml:space="preserve">s2</w:t>
            </w:r>
          </w:p>
        </w:tc>
        <w:tc>
          <w:p>
            <w:pPr>
              <w:pStyle w:val="Compact"/>
              <w:jc w:val="center"/>
            </w:pPr>
            <w:r>
              <w:t xml:space="preserve">q(s2,a1)</w:t>
            </w:r>
          </w:p>
        </w:tc>
        <w:tc>
          <w:p>
            <w:pPr>
              <w:pStyle w:val="Compact"/>
              <w:jc w:val="center"/>
            </w:pPr>
            <w:r>
              <w:t xml:space="preserve">q(s2,a2)</w:t>
            </w:r>
          </w:p>
        </w:tc>
      </w:tr>
      <w:tr>
        <w:tc>
          <w:p>
            <w:pPr>
              <w:pStyle w:val="Compact"/>
              <w:jc w:val="center"/>
            </w:pPr>
            <w:r>
              <w:t xml:space="preserve">s3</w:t>
            </w:r>
          </w:p>
        </w:tc>
        <w:tc>
          <w:p>
            <w:pPr>
              <w:pStyle w:val="Compact"/>
              <w:jc w:val="center"/>
            </w:pPr>
            <w:r>
              <w:t xml:space="preserve">q(s3,a1)</w:t>
            </w:r>
          </w:p>
        </w:tc>
        <w:tc>
          <w:p>
            <w:pPr>
              <w:pStyle w:val="Compact"/>
              <w:jc w:val="center"/>
            </w:pPr>
            <w:r>
              <w:t xml:space="preserve">q(s3,a2)</w:t>
            </w:r>
          </w:p>
        </w:tc>
      </w:tr>
    </w:tbl>
    <w:p>
      <w:pPr>
        <w:pStyle w:val="BodyText"/>
      </w:pPr>
      <w:r>
        <w:t xml:space="preserve">    </w:t>
      </w:r>
      <w:r>
        <w:t xml:space="preserve"> </w:t>
      </w:r>
      <w:r>
        <w:t xml:space="preserve">当我们使用训练好的智能体时，使智能体处在某环境s时，使用</w:t>
      </w:r>
      <w:r>
        <w:rPr>
          <w:b/>
        </w:rPr>
        <w:t xml:space="preserve">Q-table</w:t>
      </w:r>
      <w:r>
        <w:t xml:space="preserve">比较得到回报最高的值。</w:t>
      </w:r>
    </w:p>
    <w:p>
      <w:pPr>
        <w:pStyle w:val="BodyText"/>
      </w:pPr>
      <m:oMathPara>
        <m:oMathParaPr>
          <m:jc m:val="center"/>
        </m:oMathParaPr>
        <m:oMath>
          <m:r>
            <m:t>a</m:t>
          </m:r>
          <m:r>
            <m:t>=</m:t>
          </m:r>
          <m:r>
            <m:t>m</m:t>
          </m:r>
          <m:r>
            <m:t>a</m:t>
          </m:r>
          <m:r>
            <m:t>x</m:t>
          </m:r>
          <m:sSub>
            <m:e>
              <m:r>
                <m:t>Q</m:t>
              </m:r>
            </m:e>
            <m:sub>
              <m:r>
                <m:t>π</m:t>
              </m:r>
            </m:sub>
          </m:sSub>
          <m:r>
            <m:t>(</m:t>
          </m:r>
          <m:r>
            <m:t>s</m:t>
          </m:r>
          <m:r>
            <m:t>,</m:t>
          </m:r>
          <m:r>
            <m:t>a</m:t>
          </m:r>
          <m:r>
            <m:t>)</m:t>
          </m:r>
        </m:oMath>
      </m:oMathPara>
    </w:p>
    <w:p>
      <w:pPr>
        <w:pStyle w:val="FirstParagraph"/>
      </w:pPr>
      <w:r>
        <w:t xml:space="preserve">其中</w:t>
      </w:r>
      <m:oMath>
        <m:r>
          <m:t>a</m:t>
        </m:r>
        <m:r>
          <m:t>∈</m:t>
        </m:r>
        <m:r>
          <m:t>A</m:t>
        </m:r>
      </m:oMath>
      <w:r>
        <w:t xml:space="preserve">,</w:t>
      </w:r>
      <m:oMath>
        <m:r>
          <m:t>π</m:t>
        </m:r>
      </m:oMath>
      <w:r>
        <w:t xml:space="preserve">是我们的策略,而我们最终目的是当我们完成目标时所得到的累积奖赏值达到最大化。</w:t>
      </w:r>
    </w:p>
    <w:p>
      <w:pPr>
        <w:pStyle w:val="BodyText"/>
      </w:pPr>
      <m:oMathPara>
        <m:oMathParaPr>
          <m:jc m:val="center"/>
        </m:oMathParaPr>
        <m:oMath>
          <m:sSub>
            <m:e>
              <m:r>
                <m:t>R</m:t>
              </m:r>
            </m:e>
            <m:sub>
              <m:r>
                <m:t>s</m:t>
              </m:r>
              <m:r>
                <m:t>u</m:t>
              </m:r>
              <m:r>
                <m:t>m</m:t>
              </m:r>
            </m:sub>
          </m:sSub>
          <m:r>
            <m:t>=</m:t>
          </m:r>
          <m:nary>
            <m:naryPr>
              <m:chr m:val="∑"/>
              <m:limLoc m:val="undOvr"/>
              <m:subHide m:val="0"/>
              <m:supHide m:val="0"/>
            </m:naryPr>
            <m:sub>
              <m:r>
                <m:t>0</m:t>
              </m:r>
            </m:sub>
            <m:sup>
              <m:r>
                <m:t>s</m:t>
              </m:r>
              <m:r>
                <m:t>t</m:t>
              </m:r>
              <m:r>
                <m:t>e</m:t>
              </m:r>
              <m:r>
                <m:t>p</m:t>
              </m:r>
            </m:sup>
            <m:e>
              <m:sSub>
                <m:e>
                  <m:r>
                    <m:t>R</m:t>
                  </m:r>
                </m:e>
                <m:sub>
                  <m:r>
                    <m:t>m</m:t>
                  </m:r>
                  <m:r>
                    <m:t>a</m:t>
                  </m:r>
                  <m:r>
                    <m:t>x</m:t>
                  </m:r>
                </m:sub>
              </m:sSub>
              <m:r>
                <m:t>(</m:t>
              </m:r>
              <m:sSub>
                <m:e>
                  <m:r>
                    <m:t>S</m:t>
                  </m:r>
                </m:e>
                <m:sub>
                  <m:r>
                    <m:t>t</m:t>
                  </m:r>
                </m:sub>
              </m:sSub>
              <m:r>
                <m:t>,</m:t>
              </m:r>
              <m:sSub>
                <m:e>
                  <m:r>
                    <m:t>A</m:t>
                  </m:r>
                </m:e>
                <m:sub>
                  <m:r>
                    <m:t>t</m:t>
                  </m:r>
                </m:sub>
              </m:sSub>
              <m:r>
                <m:t>,</m:t>
              </m:r>
              <m:sSub>
                <m:e>
                  <m:r>
                    <m:t>S</m:t>
                  </m:r>
                </m:e>
                <m:sub>
                  <m:r>
                    <m:t>t</m:t>
                  </m:r>
                </m:sub>
              </m:sSub>
              <m:r>
                <m:t>+</m:t>
              </m:r>
              <m:r>
                <m:t>1</m:t>
              </m:r>
              <m:r>
                <m:t>)</m:t>
              </m:r>
            </m:e>
          </m:nary>
        </m:oMath>
      </m:oMathPara>
    </w:p>
    <w:p>
      <w:pPr>
        <w:pStyle w:val="FirstParagraph"/>
      </w:pPr>
      <w:r>
        <w:t xml:space="preserve">在DQN中，最重要的问题是Q值更改的公式，这里我们使用的公式是</w:t>
      </w:r>
    </w:p>
    <w:p>
      <w:pPr>
        <w:pStyle w:val="BodyText"/>
      </w:pPr>
      <m:oMathPara>
        <m:oMathParaPr>
          <m:jc m:val="center"/>
        </m:oMathParaPr>
        <m:oMath>
          <m:sSup>
            <m:e>
              <m:r>
                <m:t>Q</m:t>
              </m:r>
            </m:e>
            <m:sup>
              <m:r>
                <m:t>*</m:t>
              </m:r>
            </m:sup>
          </m:sSup>
          <m:r>
            <m:t>(</m:t>
          </m:r>
          <m:r>
            <m:t>s</m:t>
          </m:r>
          <m:r>
            <m:t>,</m:t>
          </m:r>
          <m:r>
            <m:t>a</m:t>
          </m:r>
          <m:r>
            <m:t>)</m:t>
          </m:r>
          <m:r>
            <m:t>=</m:t>
          </m:r>
          <m:limLow>
            <m:e>
              <m:r>
                <m:rPr>
                  <m:nor/>
                  <m:sty m:val="p"/>
                </m:rPr>
                <m:t>max</m:t>
              </m:r>
            </m:e>
            <m:lim>
              <m:r>
                <m:t>π</m:t>
              </m:r>
            </m:lim>
          </m:limLow>
          <m:r>
            <m:rPr>
              <m:sty m:val="p"/>
              <m:scr m:val="double-struck"/>
            </m:rPr>
            <m:t>E</m:t>
          </m:r>
          <m:d>
            <m:dPr>
              <m:begChr m:val="["/>
              <m:endChr m:val="]"/>
              <m:grow/>
            </m:dPr>
            <m:e>
              <m:sSub>
                <m:e>
                  <m:r>
                    <m:t>r</m:t>
                  </m:r>
                </m:e>
                <m:sub>
                  <m:r>
                    <m:t>t</m:t>
                  </m:r>
                </m:sub>
              </m:sSub>
              <m:r>
                <m:t>+</m:t>
              </m:r>
              <m:r>
                <m:t>γ</m:t>
              </m:r>
              <m:sSub>
                <m:e>
                  <m:r>
                    <m:t>r</m:t>
                  </m:r>
                </m:e>
                <m:sub>
                  <m:r>
                    <m:t>t</m:t>
                  </m:r>
                  <m:r>
                    <m:t>+</m:t>
                  </m:r>
                  <m:r>
                    <m:t>1</m:t>
                  </m:r>
                </m:sub>
              </m:sSub>
              <m:r>
                <m:t>+</m:t>
              </m:r>
              <m:sSup>
                <m:e>
                  <m:r>
                    <m:t>γ</m:t>
                  </m:r>
                </m:e>
                <m:sup>
                  <m:r>
                    <m:t>2</m:t>
                  </m:r>
                </m:sup>
              </m:sSup>
              <m:sSub>
                <m:e>
                  <m:r>
                    <m:t>r</m:t>
                  </m:r>
                </m:e>
                <m:sub>
                  <m:r>
                    <m:t>t</m:t>
                  </m:r>
                  <m:r>
                    <m:t>+</m:t>
                  </m:r>
                  <m:r>
                    <m:t>2</m:t>
                  </m:r>
                </m:sub>
              </m:sSub>
              <m:r>
                <m:t>+</m:t>
              </m:r>
              <m:r>
                <m:t>…</m:t>
              </m:r>
              <m:r>
                <m:t>∣</m:t>
              </m:r>
              <m:sSub>
                <m:e>
                  <m:r>
                    <m:t>s</m:t>
                  </m:r>
                </m:e>
                <m:sub>
                  <m:r>
                    <m:t>t</m:t>
                  </m:r>
                </m:sub>
              </m:sSub>
              <m:r>
                <m:t>=</m:t>
              </m:r>
              <m:r>
                <m:t>s</m:t>
              </m:r>
              <m:r>
                <m:t>,</m:t>
              </m:r>
              <m:sSub>
                <m:e>
                  <m:r>
                    <m:t>a</m:t>
                  </m:r>
                </m:e>
                <m:sub>
                  <m:r>
                    <m:t>t</m:t>
                  </m:r>
                </m:sub>
              </m:sSub>
              <m:r>
                <m:t>=</m:t>
              </m:r>
              <m:r>
                <m:t>a</m:t>
              </m:r>
              <m:r>
                <m:t>,</m:t>
              </m:r>
              <m:r>
                <m:t>π</m:t>
              </m:r>
            </m:e>
          </m:d>
        </m:oMath>
      </m:oMathPara>
    </w:p>
    <w:p>
      <w:pPr>
        <w:pStyle w:val="FirstParagraph"/>
      </w:pPr>
      <w:r>
        <w:t xml:space="preserve">其实指的就是智能体在当前状态s下，选择动作</w:t>
      </w:r>
      <w:r>
        <w:rPr>
          <w:i/>
        </w:rPr>
        <w:t xml:space="preserve">a</w:t>
      </w:r>
      <w:r>
        <w:t xml:space="preserve">时所对应的</w:t>
      </w:r>
      <w:r>
        <w:rPr>
          <w:i/>
        </w:rPr>
        <w:t xml:space="preserve">Q(s,a)</w:t>
      </w:r>
      <w:r>
        <w:t xml:space="preserve">等于当前时刻所取得的奖励</w:t>
      </w:r>
      <w:r>
        <w:t xml:space="preserve"> </w:t>
      </w:r>
      <m:oMath>
        <m:sSub>
          <m:e>
            <m:r>
              <m:t>r</m:t>
            </m:r>
          </m:e>
          <m:sub>
            <m:r>
              <m:t>t</m:t>
            </m:r>
          </m:sub>
        </m:sSub>
      </m:oMath>
      <w:r>
        <w:t xml:space="preserve">加上之后所能取得的最大奖励。</w:t>
      </w:r>
    </w:p>
    <w:p>
      <w:pPr>
        <w:pStyle w:val="BodyText"/>
      </w:pPr>
      <w:r>
        <w:t xml:space="preserve">对于将挖掘区域全部挖掘的好坏进行评价，我们采用了两个评价标准。</w:t>
      </w:r>
      <w:r>
        <w:t xml:space="preserve"> </w:t>
      </w:r>
      <w:r>
        <w:t xml:space="preserve">一个是挖掘的速度，与人工挖掘进行对比。</w:t>
      </w:r>
      <w:r>
        <w:t xml:space="preserve"> </w:t>
      </w:r>
      <w:r>
        <w:t xml:space="preserve">一个是挖掘的效率，即每铲下去的满斗率（满斗率指一个挖掘动作内铲斗挖掘土块体积所占铲斗体积比例）。</w:t>
      </w:r>
    </w:p>
    <w:p>
      <w:pPr>
        <w:pStyle w:val="BodyText"/>
      </w:pPr>
      <w:r>
        <w:rPr>
          <w:rStyle w:val="VerbatimChar"/>
        </w:rPr>
        <w:t xml:space="preserve">pandoc excavator.md -o re.docx</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2022-06-30T12:08:45Z</dcterms:created>
  <dcterms:modified xsi:type="dcterms:W3CDTF">2022-06-30T12:08:45Z</dcterms:modified>
</cp:coreProperties>
</file>

<file path=docProps/custom.xml><?xml version="1.0" encoding="utf-8"?>
<Properties xmlns="http://schemas.openxmlformats.org/officeDocument/2006/custom-properties" xmlns:vt="http://schemas.openxmlformats.org/officeDocument/2006/docPropsVTypes"/>
</file>