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9AC40" w14:textId="77777777" w:rsidR="006D7EED" w:rsidRDefault="00E778F2" w:rsidP="00025DA1">
      <w:pPr>
        <w:pStyle w:val="Ttulo4"/>
      </w:pPr>
      <w:r>
        <w:t>Mathematics of Structural Entropy: an operational model of sustainability, fragmentation and systemic risk in coupled human–environment systems</w:t>
      </w:r>
    </w:p>
    <w:p w14:paraId="0CDB7FA8" w14:textId="77777777" w:rsidR="00025DA1" w:rsidRDefault="00025DA1">
      <w:pPr>
        <w:ind w:firstLine="0"/>
      </w:pPr>
    </w:p>
    <w:p w14:paraId="7F3EECBF" w14:textId="77777777" w:rsidR="00025DA1" w:rsidRDefault="00025DA1">
      <w:pPr>
        <w:ind w:firstLine="0"/>
      </w:pPr>
    </w:p>
    <w:p w14:paraId="6DC1CAD8" w14:textId="5BBD10EB" w:rsidR="006D7EED" w:rsidRDefault="00E778F2">
      <w:pPr>
        <w:ind w:firstLine="0"/>
      </w:pPr>
      <w:r>
        <w:t>Author: Charles de Paula Eugenio</w:t>
      </w:r>
    </w:p>
    <w:p w14:paraId="3E8FB821" w14:textId="77777777" w:rsidR="006D7EED" w:rsidRDefault="00E778F2">
      <w:pPr>
        <w:ind w:firstLine="0"/>
      </w:pPr>
      <w:r>
        <w:t>Abstract</w:t>
      </w:r>
    </w:p>
    <w:p w14:paraId="2A97A6FA" w14:textId="77777777" w:rsidR="006D7EED" w:rsidRDefault="00E778F2">
      <w:pPr>
        <w:jc w:val="both"/>
      </w:pPr>
      <w:r>
        <w:t xml:space="preserve">In this article, I present the Mathematics of Structural Entropy as a dynamic modeling proposal designed to investigate the progressive loss of functional coherence in coupled human–environment systems. I start from the hypothesis that complex societies may enter persistent instability regimes when the accumulated pressure of population, consumption, environmental degradation, climate change, institutional fragility, and low resilience exceeds the system’s effective carrying and recovery capacity. To avoid </w:t>
      </w:r>
      <w:r>
        <w:t>a merely essayistic or deterministic formulation, I organize the proposal into four layers: a minimum publishable model, an empirical calibration strategy, a robustness and sensitivity protocol, and a theoretical discussion on sustainability and fragmentation. I define structural entropy as a dimensionless index of systemic pressure, not as classical thermodynamic entropy. The model includes variables such as population or equivalent demand N(t), effective carrying capacity K_eff(t), environmental degradati</w:t>
      </w:r>
      <w:r>
        <w:t>on D(t), effective technology T(t), governance G(t), resilience R(t), and structural entropic pressure λ(t). Rather than asserting fixed collapse dates, I treat events such as τ₁, τ₂, and τ₃ as conditional outputs of scenarios and simulations. I conclude that the scientific contribution of the proposal depends on its ability to be calibrated, reproduced, falsified, and compared with historical data and recognized projections.</w:t>
      </w:r>
    </w:p>
    <w:p w14:paraId="16ED8842" w14:textId="77777777" w:rsidR="006D7EED" w:rsidRDefault="00E778F2">
      <w:pPr>
        <w:ind w:firstLine="0"/>
      </w:pPr>
      <w:r>
        <w:t>Keywords: structural entropy; sustainability; carrying capacity; complex systems; planetary boundaries; tipping points; resilience; system dynamics; systemic fragmentation.</w:t>
      </w:r>
    </w:p>
    <w:p w14:paraId="319111BC" w14:textId="5EAFB05D" w:rsidR="006D7EED" w:rsidRDefault="00336D4D">
      <w:pPr>
        <w:pStyle w:val="Ttulo1"/>
      </w:pPr>
      <w:r>
        <w:t>I- Introduction</w:t>
      </w:r>
    </w:p>
    <w:p w14:paraId="25623742" w14:textId="77777777" w:rsidR="006D7EED" w:rsidRDefault="00E778F2">
      <w:pPr>
        <w:jc w:val="both"/>
      </w:pPr>
      <w:r>
        <w:t xml:space="preserve">In this work, I propose a mathematical formulation for a problem I consider central in contemporary sustainability analysis: the progressive loss of structural coherence in coupled human–environment systems. My starting point is the observation that demographic, ecological, </w:t>
      </w:r>
      <w:r>
        <w:lastRenderedPageBreak/>
        <w:t>technological, economic and institutional processes do not operate in isolation. They combine through feedbacks, delays, thresholds and nonlinear effects, so that a change in one block of the system can amplify instabilities in other blocks.</w:t>
      </w:r>
    </w:p>
    <w:p w14:paraId="43EEB046" w14:textId="77777777" w:rsidR="006D7EED" w:rsidRDefault="00E778F2">
      <w:pPr>
        <w:jc w:val="both"/>
      </w:pPr>
      <w:r>
        <w:t>The literature on planetary boundaries offers a relevant basis for this formulation, because it proposes that humanity operates within a safe space conditioned by critical Earth system processes. The 2023 update of that framework indicates that six of the nine assessed boundaries had already been transgressed, which reinforces the need for integrated socioecological risk models. Likewise, studies on tipping points show that components of the Earth system can exhibit abrupt changes, hysteresis and potentiall</w:t>
      </w:r>
      <w:r>
        <w:t>y irreversible transitions under persistent pressures.</w:t>
      </w:r>
    </w:p>
    <w:p w14:paraId="36ED4A57" w14:textId="77777777" w:rsidR="006D7EED" w:rsidRDefault="00E778F2">
      <w:pPr>
        <w:jc w:val="both"/>
      </w:pPr>
      <w:r>
        <w:t>In this article, I do not seek to construct a prophecy of collapse. On the contrary, I seek to replace deterministic language with a conditional, auditable and refutable structure. When I use expressions such as instability, fragmentation or critical regime, I refer to model states defined by equations, variables, thresholds and temporal persistence. Thus, the question guiding this study is not “in what year will civilization collapse?”, but rather: under which mathematically specifiable conditions does a h</w:t>
      </w:r>
      <w:r>
        <w:t>uman–environment system lose its capacity for recomposition and enter a regime of persistent instability?</w:t>
      </w:r>
    </w:p>
    <w:p w14:paraId="4849CE70" w14:textId="77777777" w:rsidR="006D7EED" w:rsidRDefault="00E778F2">
      <w:pPr>
        <w:jc w:val="both"/>
      </w:pPr>
      <w:r>
        <w:t>In this article, I use “structural entropy” as an operational index of loss of functional coherence. I do not treat it as a direct equivalent of classical thermodynamic entropy, but as a dimensionless systemic measure of the relationship among accumulated pressure, carrying capacity, governance, technology and resilience.</w:t>
      </w:r>
    </w:p>
    <w:p w14:paraId="52816891" w14:textId="77777777" w:rsidR="006D7EED" w:rsidRDefault="00E778F2">
      <w:pPr>
        <w:jc w:val="both"/>
      </w:pPr>
      <w:r>
        <w:t>The distinction is important. If I used “entropy” as a free comparison, the proposal would be fragile before mathematical and physical critique. Therefore, I delimit its use: structural entropy is an index of pressure and functional disorganization in complex socioecological systems. It measures the tendency of a system to operate with accumulated deficits when its recomposition mechanisms become inferior to degradation mechanisms.</w:t>
      </w:r>
    </w:p>
    <w:p w14:paraId="49956043" w14:textId="2590A97D" w:rsidR="006D7EED" w:rsidRDefault="00336D4D">
      <w:pPr>
        <w:pStyle w:val="Ttulo1"/>
      </w:pPr>
      <w:r>
        <w:t>II- Research problem and central hypothesis</w:t>
      </w:r>
    </w:p>
    <w:p w14:paraId="029ABF2A" w14:textId="77777777" w:rsidR="006D7EED" w:rsidRDefault="00E778F2">
      <w:pPr>
        <w:jc w:val="both"/>
      </w:pPr>
      <w:r>
        <w:t xml:space="preserve">The problem I formulate is the following: is it possible to mathematically model the loss of structural coherence of coupled human–environment systems through a dynamic index that </w:t>
      </w:r>
      <w:r>
        <w:lastRenderedPageBreak/>
        <w:t>integrates human or material demand, carrying capacity, environmental degradation, technology, governance and resilience?</w:t>
      </w:r>
    </w:p>
    <w:p w14:paraId="05A4530D" w14:textId="77777777" w:rsidR="006D7EED" w:rsidRDefault="00E778F2">
      <w:pPr>
        <w:jc w:val="both"/>
      </w:pPr>
      <w:r>
        <w:t>My central hypothesis is that there exists a critical region in which the aggregated pressure on the system persistently exceeds its capacity for support and recovery. When this region is reached, the system ceases to respond as a resilient system and begins to accumulate deficits. These deficits can manifest as loss of ecosystem services, food insecurity, urban crisis, institutional instability, fragmentation of supply chains, forced migration, demographic decline or social reorganization at a smaller scal</w:t>
      </w:r>
      <w:r>
        <w:t>e.</w:t>
      </w:r>
    </w:p>
    <w:tbl>
      <w:tblPr>
        <w:tblStyle w:val="Tabelacomgrade"/>
        <w:tblW w:w="0" w:type="auto"/>
        <w:jc w:val="center"/>
        <w:tblLook w:val="04A0" w:firstRow="1" w:lastRow="0" w:firstColumn="1" w:lastColumn="0" w:noHBand="0" w:noVBand="1"/>
      </w:tblPr>
      <w:tblGrid>
        <w:gridCol w:w="3131"/>
        <w:gridCol w:w="3132"/>
        <w:gridCol w:w="3132"/>
      </w:tblGrid>
      <w:tr w:rsidR="006D7EED" w14:paraId="31DE0811" w14:textId="77777777">
        <w:trPr>
          <w:jc w:val="center"/>
        </w:trPr>
        <w:tc>
          <w:tcPr>
            <w:tcW w:w="3135" w:type="dxa"/>
            <w:shd w:val="clear" w:color="auto" w:fill="D9EAF7"/>
            <w:vAlign w:val="center"/>
          </w:tcPr>
          <w:p w14:paraId="0C12D453" w14:textId="77777777" w:rsidR="006D7EED" w:rsidRDefault="00E778F2">
            <w:pPr>
              <w:spacing w:line="240" w:lineRule="auto"/>
              <w:ind w:firstLine="0"/>
            </w:pPr>
            <w:r>
              <w:rPr>
                <w:b/>
                <w:sz w:val="18"/>
              </w:rPr>
              <w:t>Dimension of the problem</w:t>
            </w:r>
          </w:p>
        </w:tc>
        <w:tc>
          <w:tcPr>
            <w:tcW w:w="3135" w:type="dxa"/>
            <w:shd w:val="clear" w:color="auto" w:fill="D9EAF7"/>
            <w:vAlign w:val="center"/>
          </w:tcPr>
          <w:p w14:paraId="496819E8" w14:textId="77777777" w:rsidR="006D7EED" w:rsidRDefault="00E778F2">
            <w:pPr>
              <w:spacing w:line="240" w:lineRule="auto"/>
              <w:ind w:firstLine="0"/>
            </w:pPr>
            <w:r>
              <w:rPr>
                <w:b/>
                <w:sz w:val="18"/>
              </w:rPr>
              <w:t>Operational question</w:t>
            </w:r>
          </w:p>
        </w:tc>
        <w:tc>
          <w:tcPr>
            <w:tcW w:w="3135" w:type="dxa"/>
            <w:shd w:val="clear" w:color="auto" w:fill="D9EAF7"/>
            <w:vAlign w:val="center"/>
          </w:tcPr>
          <w:p w14:paraId="39B6B8D8" w14:textId="77777777" w:rsidR="006D7EED" w:rsidRDefault="00E778F2">
            <w:pPr>
              <w:spacing w:line="240" w:lineRule="auto"/>
              <w:ind w:firstLine="0"/>
            </w:pPr>
            <w:r>
              <w:rPr>
                <w:b/>
                <w:sz w:val="18"/>
              </w:rPr>
              <w:t>Representation in the model</w:t>
            </w:r>
          </w:p>
        </w:tc>
      </w:tr>
      <w:tr w:rsidR="006D7EED" w14:paraId="6F72DD9A" w14:textId="77777777">
        <w:trPr>
          <w:jc w:val="center"/>
        </w:trPr>
        <w:tc>
          <w:tcPr>
            <w:tcW w:w="3135" w:type="dxa"/>
            <w:vAlign w:val="center"/>
          </w:tcPr>
          <w:p w14:paraId="2DE84699" w14:textId="77777777" w:rsidR="006D7EED" w:rsidRDefault="00E778F2">
            <w:pPr>
              <w:spacing w:line="240" w:lineRule="auto"/>
              <w:ind w:firstLine="0"/>
            </w:pPr>
            <w:r>
              <w:rPr>
                <w:sz w:val="18"/>
              </w:rPr>
              <w:t>Demography and demand</w:t>
            </w:r>
          </w:p>
        </w:tc>
        <w:tc>
          <w:tcPr>
            <w:tcW w:w="3135" w:type="dxa"/>
            <w:vAlign w:val="center"/>
          </w:tcPr>
          <w:p w14:paraId="42E92DEE" w14:textId="77777777" w:rsidR="006D7EED" w:rsidRDefault="00E778F2">
            <w:pPr>
              <w:spacing w:line="240" w:lineRule="auto"/>
              <w:ind w:firstLine="0"/>
            </w:pPr>
            <w:r>
              <w:rPr>
                <w:sz w:val="18"/>
              </w:rPr>
              <w:t>Does human demand exceed carrying capacity?</w:t>
            </w:r>
          </w:p>
        </w:tc>
        <w:tc>
          <w:tcPr>
            <w:tcW w:w="3135" w:type="dxa"/>
            <w:vAlign w:val="center"/>
          </w:tcPr>
          <w:p w14:paraId="0693CED8" w14:textId="77777777" w:rsidR="006D7EED" w:rsidRDefault="00E778F2">
            <w:pPr>
              <w:spacing w:line="240" w:lineRule="auto"/>
              <w:ind w:firstLine="0"/>
            </w:pPr>
            <w:r>
              <w:rPr>
                <w:sz w:val="18"/>
              </w:rPr>
              <w:t>N(t)/K_eff(t)</w:t>
            </w:r>
          </w:p>
        </w:tc>
      </w:tr>
      <w:tr w:rsidR="006D7EED" w14:paraId="6D01F059" w14:textId="77777777">
        <w:trPr>
          <w:jc w:val="center"/>
        </w:trPr>
        <w:tc>
          <w:tcPr>
            <w:tcW w:w="3135" w:type="dxa"/>
            <w:vAlign w:val="center"/>
          </w:tcPr>
          <w:p w14:paraId="24AC526F" w14:textId="77777777" w:rsidR="006D7EED" w:rsidRDefault="00E778F2">
            <w:pPr>
              <w:spacing w:line="240" w:lineRule="auto"/>
              <w:ind w:firstLine="0"/>
            </w:pPr>
            <w:r>
              <w:rPr>
                <w:sz w:val="18"/>
              </w:rPr>
              <w:t>Ecology</w:t>
            </w:r>
          </w:p>
        </w:tc>
        <w:tc>
          <w:tcPr>
            <w:tcW w:w="3135" w:type="dxa"/>
            <w:vAlign w:val="center"/>
          </w:tcPr>
          <w:p w14:paraId="01E33EF9" w14:textId="77777777" w:rsidR="006D7EED" w:rsidRDefault="00E778F2">
            <w:pPr>
              <w:spacing w:line="240" w:lineRule="auto"/>
              <w:ind w:firstLine="0"/>
            </w:pPr>
            <w:r>
              <w:rPr>
                <w:sz w:val="18"/>
              </w:rPr>
              <w:t>Does degradation reduce stocks and essential services?</w:t>
            </w:r>
          </w:p>
        </w:tc>
        <w:tc>
          <w:tcPr>
            <w:tcW w:w="3135" w:type="dxa"/>
            <w:vAlign w:val="center"/>
          </w:tcPr>
          <w:p w14:paraId="05F39759" w14:textId="77777777" w:rsidR="006D7EED" w:rsidRDefault="00E778F2">
            <w:pPr>
              <w:spacing w:line="240" w:lineRule="auto"/>
              <w:ind w:firstLine="0"/>
            </w:pPr>
            <w:r>
              <w:rPr>
                <w:sz w:val="18"/>
              </w:rPr>
              <w:t>D(t)</w:t>
            </w:r>
          </w:p>
        </w:tc>
      </w:tr>
      <w:tr w:rsidR="006D7EED" w14:paraId="311A79DF" w14:textId="77777777">
        <w:trPr>
          <w:jc w:val="center"/>
        </w:trPr>
        <w:tc>
          <w:tcPr>
            <w:tcW w:w="3135" w:type="dxa"/>
            <w:vAlign w:val="center"/>
          </w:tcPr>
          <w:p w14:paraId="7E6E6DF2" w14:textId="77777777" w:rsidR="006D7EED" w:rsidRDefault="00E778F2">
            <w:pPr>
              <w:spacing w:line="240" w:lineRule="auto"/>
              <w:ind w:firstLine="0"/>
            </w:pPr>
            <w:r>
              <w:rPr>
                <w:sz w:val="18"/>
              </w:rPr>
              <w:t>Climate</w:t>
            </w:r>
          </w:p>
        </w:tc>
        <w:tc>
          <w:tcPr>
            <w:tcW w:w="3135" w:type="dxa"/>
            <w:vAlign w:val="center"/>
          </w:tcPr>
          <w:p w14:paraId="6D7CD5EC" w14:textId="77777777" w:rsidR="006D7EED" w:rsidRDefault="00E778F2">
            <w:pPr>
              <w:spacing w:line="240" w:lineRule="auto"/>
              <w:ind w:firstLine="0"/>
            </w:pPr>
            <w:r>
              <w:rPr>
                <w:sz w:val="18"/>
              </w:rPr>
              <w:t>Does thermal anomaly reduce productivity and stability?</w:t>
            </w:r>
          </w:p>
        </w:tc>
        <w:tc>
          <w:tcPr>
            <w:tcW w:w="3135" w:type="dxa"/>
            <w:vAlign w:val="center"/>
          </w:tcPr>
          <w:p w14:paraId="6927A60F" w14:textId="77777777" w:rsidR="006D7EED" w:rsidRDefault="00E778F2">
            <w:pPr>
              <w:spacing w:line="240" w:lineRule="auto"/>
              <w:ind w:firstLine="0"/>
            </w:pPr>
            <w:r>
              <w:rPr>
                <w:sz w:val="18"/>
              </w:rPr>
              <w:t>ΔT(t)</w:t>
            </w:r>
          </w:p>
        </w:tc>
      </w:tr>
      <w:tr w:rsidR="006D7EED" w14:paraId="40820BA0" w14:textId="77777777">
        <w:trPr>
          <w:jc w:val="center"/>
        </w:trPr>
        <w:tc>
          <w:tcPr>
            <w:tcW w:w="3135" w:type="dxa"/>
            <w:vAlign w:val="center"/>
          </w:tcPr>
          <w:p w14:paraId="5FC2337B" w14:textId="77777777" w:rsidR="006D7EED" w:rsidRDefault="00E778F2">
            <w:pPr>
              <w:spacing w:line="240" w:lineRule="auto"/>
              <w:ind w:firstLine="0"/>
            </w:pPr>
            <w:r>
              <w:rPr>
                <w:sz w:val="18"/>
              </w:rPr>
              <w:t>Land use</w:t>
            </w:r>
          </w:p>
        </w:tc>
        <w:tc>
          <w:tcPr>
            <w:tcW w:w="3135" w:type="dxa"/>
            <w:vAlign w:val="center"/>
          </w:tcPr>
          <w:p w14:paraId="383DDCDC" w14:textId="77777777" w:rsidR="006D7EED" w:rsidRDefault="00E778F2">
            <w:pPr>
              <w:spacing w:line="240" w:lineRule="auto"/>
              <w:ind w:firstLine="0"/>
            </w:pPr>
            <w:r>
              <w:rPr>
                <w:sz w:val="18"/>
              </w:rPr>
              <w:t>Does territorial conversion reduce ecological resilience?</w:t>
            </w:r>
          </w:p>
        </w:tc>
        <w:tc>
          <w:tcPr>
            <w:tcW w:w="3135" w:type="dxa"/>
            <w:vAlign w:val="center"/>
          </w:tcPr>
          <w:p w14:paraId="384EC255" w14:textId="77777777" w:rsidR="006D7EED" w:rsidRDefault="00E778F2">
            <w:pPr>
              <w:spacing w:line="240" w:lineRule="auto"/>
              <w:ind w:firstLine="0"/>
            </w:pPr>
            <w:r>
              <w:rPr>
                <w:sz w:val="18"/>
              </w:rPr>
              <w:t>U(t)</w:t>
            </w:r>
          </w:p>
        </w:tc>
      </w:tr>
      <w:tr w:rsidR="006D7EED" w14:paraId="0F84C7D4" w14:textId="77777777">
        <w:trPr>
          <w:jc w:val="center"/>
        </w:trPr>
        <w:tc>
          <w:tcPr>
            <w:tcW w:w="3135" w:type="dxa"/>
            <w:vAlign w:val="center"/>
          </w:tcPr>
          <w:p w14:paraId="5804BD4F" w14:textId="77777777" w:rsidR="006D7EED" w:rsidRDefault="00E778F2">
            <w:pPr>
              <w:spacing w:line="240" w:lineRule="auto"/>
              <w:ind w:firstLine="0"/>
            </w:pPr>
            <w:r>
              <w:rPr>
                <w:sz w:val="18"/>
              </w:rPr>
              <w:t>Technology</w:t>
            </w:r>
          </w:p>
        </w:tc>
        <w:tc>
          <w:tcPr>
            <w:tcW w:w="3135" w:type="dxa"/>
            <w:vAlign w:val="center"/>
          </w:tcPr>
          <w:p w14:paraId="48DF64C7" w14:textId="77777777" w:rsidR="006D7EED" w:rsidRDefault="00E778F2">
            <w:pPr>
              <w:spacing w:line="240" w:lineRule="auto"/>
              <w:ind w:firstLine="0"/>
            </w:pPr>
            <w:r>
              <w:rPr>
                <w:sz w:val="18"/>
              </w:rPr>
              <w:t>Does innovation compensate losses or only shift damages?</w:t>
            </w:r>
          </w:p>
        </w:tc>
        <w:tc>
          <w:tcPr>
            <w:tcW w:w="3135" w:type="dxa"/>
            <w:vAlign w:val="center"/>
          </w:tcPr>
          <w:p w14:paraId="3D2A0168" w14:textId="77777777" w:rsidR="006D7EED" w:rsidRDefault="00E778F2">
            <w:pPr>
              <w:spacing w:line="240" w:lineRule="auto"/>
              <w:ind w:firstLine="0"/>
            </w:pPr>
            <w:r>
              <w:rPr>
                <w:sz w:val="18"/>
              </w:rPr>
              <w:t>T(t)</w:t>
            </w:r>
          </w:p>
        </w:tc>
      </w:tr>
      <w:tr w:rsidR="006D7EED" w14:paraId="5D405DC3" w14:textId="77777777">
        <w:trPr>
          <w:jc w:val="center"/>
        </w:trPr>
        <w:tc>
          <w:tcPr>
            <w:tcW w:w="3135" w:type="dxa"/>
            <w:vAlign w:val="center"/>
          </w:tcPr>
          <w:p w14:paraId="73F2C9B5" w14:textId="77777777" w:rsidR="006D7EED" w:rsidRDefault="00E778F2">
            <w:pPr>
              <w:spacing w:line="240" w:lineRule="auto"/>
              <w:ind w:firstLine="0"/>
            </w:pPr>
            <w:r>
              <w:rPr>
                <w:sz w:val="18"/>
              </w:rPr>
              <w:t>Governance</w:t>
            </w:r>
          </w:p>
        </w:tc>
        <w:tc>
          <w:tcPr>
            <w:tcW w:w="3135" w:type="dxa"/>
            <w:vAlign w:val="center"/>
          </w:tcPr>
          <w:p w14:paraId="44311FB6" w14:textId="77777777" w:rsidR="006D7EED" w:rsidRDefault="00E778F2">
            <w:pPr>
              <w:spacing w:line="240" w:lineRule="auto"/>
              <w:ind w:firstLine="0"/>
            </w:pPr>
            <w:r>
              <w:rPr>
                <w:sz w:val="18"/>
              </w:rPr>
              <w:t>Does collective coordination reduce systemic pressure?</w:t>
            </w:r>
          </w:p>
        </w:tc>
        <w:tc>
          <w:tcPr>
            <w:tcW w:w="3135" w:type="dxa"/>
            <w:vAlign w:val="center"/>
          </w:tcPr>
          <w:p w14:paraId="2B9A65CE" w14:textId="77777777" w:rsidR="006D7EED" w:rsidRDefault="00E778F2">
            <w:pPr>
              <w:spacing w:line="240" w:lineRule="auto"/>
              <w:ind w:firstLine="0"/>
            </w:pPr>
            <w:r>
              <w:rPr>
                <w:sz w:val="18"/>
              </w:rPr>
              <w:t>G(t)</w:t>
            </w:r>
          </w:p>
        </w:tc>
      </w:tr>
      <w:tr w:rsidR="006D7EED" w14:paraId="52A96C44" w14:textId="77777777">
        <w:trPr>
          <w:jc w:val="center"/>
        </w:trPr>
        <w:tc>
          <w:tcPr>
            <w:tcW w:w="3135" w:type="dxa"/>
            <w:vAlign w:val="center"/>
          </w:tcPr>
          <w:p w14:paraId="0959D816" w14:textId="77777777" w:rsidR="006D7EED" w:rsidRDefault="00E778F2">
            <w:pPr>
              <w:spacing w:line="240" w:lineRule="auto"/>
              <w:ind w:firstLine="0"/>
            </w:pPr>
            <w:r>
              <w:rPr>
                <w:sz w:val="18"/>
              </w:rPr>
              <w:t>Resilience</w:t>
            </w:r>
          </w:p>
        </w:tc>
        <w:tc>
          <w:tcPr>
            <w:tcW w:w="3135" w:type="dxa"/>
            <w:vAlign w:val="center"/>
          </w:tcPr>
          <w:p w14:paraId="56C37A17" w14:textId="77777777" w:rsidR="006D7EED" w:rsidRDefault="00E778F2">
            <w:pPr>
              <w:spacing w:line="240" w:lineRule="auto"/>
              <w:ind w:firstLine="0"/>
            </w:pPr>
            <w:r>
              <w:rPr>
                <w:sz w:val="18"/>
              </w:rPr>
              <w:t>Does the system absorb shocks without changing regime?</w:t>
            </w:r>
          </w:p>
        </w:tc>
        <w:tc>
          <w:tcPr>
            <w:tcW w:w="3135" w:type="dxa"/>
            <w:vAlign w:val="center"/>
          </w:tcPr>
          <w:p w14:paraId="242FA3BE" w14:textId="77777777" w:rsidR="006D7EED" w:rsidRDefault="00E778F2">
            <w:pPr>
              <w:spacing w:line="240" w:lineRule="auto"/>
              <w:ind w:firstLine="0"/>
            </w:pPr>
            <w:r>
              <w:rPr>
                <w:sz w:val="18"/>
              </w:rPr>
              <w:t>R(t)</w:t>
            </w:r>
          </w:p>
        </w:tc>
      </w:tr>
      <w:tr w:rsidR="006D7EED" w14:paraId="7B297871" w14:textId="77777777">
        <w:trPr>
          <w:jc w:val="center"/>
        </w:trPr>
        <w:tc>
          <w:tcPr>
            <w:tcW w:w="3135" w:type="dxa"/>
            <w:vAlign w:val="center"/>
          </w:tcPr>
          <w:p w14:paraId="48AB480A" w14:textId="77777777" w:rsidR="006D7EED" w:rsidRDefault="00E778F2">
            <w:pPr>
              <w:spacing w:line="240" w:lineRule="auto"/>
              <w:ind w:firstLine="0"/>
            </w:pPr>
            <w:r>
              <w:rPr>
                <w:sz w:val="18"/>
              </w:rPr>
              <w:t>Entropic pressure</w:t>
            </w:r>
          </w:p>
        </w:tc>
        <w:tc>
          <w:tcPr>
            <w:tcW w:w="3135" w:type="dxa"/>
            <w:vAlign w:val="center"/>
          </w:tcPr>
          <w:p w14:paraId="6DF79194" w14:textId="77777777" w:rsidR="006D7EED" w:rsidRDefault="00E778F2">
            <w:pPr>
              <w:spacing w:line="240" w:lineRule="auto"/>
              <w:ind w:firstLine="0"/>
            </w:pPr>
            <w:r>
              <w:rPr>
                <w:sz w:val="18"/>
              </w:rPr>
              <w:t>Does total pressure exceed response capacity?</w:t>
            </w:r>
          </w:p>
        </w:tc>
        <w:tc>
          <w:tcPr>
            <w:tcW w:w="3135" w:type="dxa"/>
            <w:vAlign w:val="center"/>
          </w:tcPr>
          <w:p w14:paraId="4D98D4D3" w14:textId="77777777" w:rsidR="006D7EED" w:rsidRDefault="00E778F2">
            <w:pPr>
              <w:spacing w:line="240" w:lineRule="auto"/>
              <w:ind w:firstLine="0"/>
            </w:pPr>
            <w:r>
              <w:rPr>
                <w:sz w:val="18"/>
              </w:rPr>
              <w:t>λ(t)</w:t>
            </w:r>
          </w:p>
        </w:tc>
      </w:tr>
    </w:tbl>
    <w:p w14:paraId="00FE866F" w14:textId="77777777" w:rsidR="006D7EED" w:rsidRDefault="006D7EED"/>
    <w:p w14:paraId="3F77FBB5" w14:textId="77777777" w:rsidR="006D7EED" w:rsidRDefault="00E778F2">
      <w:pPr>
        <w:jc w:val="both"/>
      </w:pPr>
      <w:r>
        <w:t>The contribution I intend to offer is methodological. I do not claim that the model, in its initial form, resolves the complexity of the global system. I claim that it creates a minimal structure to organize the investigation. This structure can be expanded, calibrated, criticized or replaced, provided it preserves the commitment to formal definition, data, simulation and falsifiability.</w:t>
      </w:r>
    </w:p>
    <w:p w14:paraId="79002F1C" w14:textId="0DB005F7" w:rsidR="006D7EED" w:rsidRDefault="00336D4D">
      <w:pPr>
        <w:pStyle w:val="Ttulo1"/>
      </w:pPr>
      <w:r>
        <w:t>III-Theoretical foundation</w:t>
      </w:r>
    </w:p>
    <w:p w14:paraId="171C411B" w14:textId="77777777" w:rsidR="006D7EED" w:rsidRDefault="00E778F2">
      <w:pPr>
        <w:jc w:val="both"/>
      </w:pPr>
      <w:r>
        <w:t xml:space="preserve">The first theoretical base of this article is the dynamics of complex systems. Such systems present feedbacks, delays, nonlinearity, path dependence and regime transitions. In coupled </w:t>
      </w:r>
      <w:r>
        <w:lastRenderedPageBreak/>
        <w:t>human–environment systems, human actions alter environmental variables, and those alterations return as constraints, risks or opportunities for human societies themselves.</w:t>
      </w:r>
    </w:p>
    <w:p w14:paraId="31FA6D12" w14:textId="77777777" w:rsidR="006D7EED" w:rsidRDefault="00E778F2">
      <w:pPr>
        <w:jc w:val="both"/>
      </w:pPr>
      <w:r>
        <w:t>The second base is the literature on planetary boundaries. This field establishes that there are biophysical processes whose excessive alteration can reduce the stability of the Earth system. When multiple boundaries are transgressed simultaneously, isolated variable analysis becomes insufficient, because pressures can interact cumulatively or amplifyingly.</w:t>
      </w:r>
    </w:p>
    <w:p w14:paraId="6F371138" w14:textId="77777777" w:rsidR="006D7EED" w:rsidRDefault="00E778F2">
      <w:pPr>
        <w:jc w:val="both"/>
      </w:pPr>
      <w:r>
        <w:t>The third base is the literature on tipping points. The Global Tipping Points Report describes tipping points as thresholds where small additional changes can produce large and possibly irreversible alterations in components of the Earth system. This notion is coherent with my use of λ_crit, which represents a structural pressure threshold above which the system ceases to operate in a recoverable regime.</w:t>
      </w:r>
    </w:p>
    <w:p w14:paraId="2E9C8EB3" w14:textId="77777777" w:rsidR="006D7EED" w:rsidRDefault="00E778F2">
      <w:pPr>
        <w:jc w:val="both"/>
      </w:pPr>
      <w:r>
        <w:t>The fourth base is modeling of World–Earth system resilience. Recent works propose structures to connect social inequality, governance, biophysical processes and tipping points in integrated models. This approach reinforces the need for technology, institutions and environmental variables to be treated together, and not as independent dimensions.</w:t>
      </w:r>
    </w:p>
    <w:tbl>
      <w:tblPr>
        <w:tblStyle w:val="Tabelacomgrade"/>
        <w:tblW w:w="0" w:type="auto"/>
        <w:jc w:val="center"/>
        <w:tblLook w:val="04A0" w:firstRow="1" w:lastRow="0" w:firstColumn="1" w:lastColumn="0" w:noHBand="0" w:noVBand="1"/>
      </w:tblPr>
      <w:tblGrid>
        <w:gridCol w:w="3132"/>
        <w:gridCol w:w="3131"/>
        <w:gridCol w:w="3132"/>
      </w:tblGrid>
      <w:tr w:rsidR="006D7EED" w14:paraId="4BA2CE40" w14:textId="77777777">
        <w:trPr>
          <w:jc w:val="center"/>
        </w:trPr>
        <w:tc>
          <w:tcPr>
            <w:tcW w:w="3135" w:type="dxa"/>
            <w:shd w:val="clear" w:color="auto" w:fill="D9EAF7"/>
            <w:vAlign w:val="center"/>
          </w:tcPr>
          <w:p w14:paraId="471B3E85" w14:textId="77777777" w:rsidR="006D7EED" w:rsidRDefault="00E778F2">
            <w:pPr>
              <w:spacing w:line="240" w:lineRule="auto"/>
              <w:ind w:firstLine="0"/>
            </w:pPr>
            <w:r>
              <w:rPr>
                <w:b/>
                <w:sz w:val="18"/>
              </w:rPr>
              <w:t>Theoretical base</w:t>
            </w:r>
          </w:p>
        </w:tc>
        <w:tc>
          <w:tcPr>
            <w:tcW w:w="3135" w:type="dxa"/>
            <w:shd w:val="clear" w:color="auto" w:fill="D9EAF7"/>
            <w:vAlign w:val="center"/>
          </w:tcPr>
          <w:p w14:paraId="7B3A57D1" w14:textId="77777777" w:rsidR="006D7EED" w:rsidRDefault="00E778F2">
            <w:pPr>
              <w:spacing w:line="240" w:lineRule="auto"/>
              <w:ind w:firstLine="0"/>
            </w:pPr>
            <w:r>
              <w:rPr>
                <w:b/>
                <w:sz w:val="18"/>
              </w:rPr>
              <w:t>Role in this article</w:t>
            </w:r>
          </w:p>
        </w:tc>
        <w:tc>
          <w:tcPr>
            <w:tcW w:w="3135" w:type="dxa"/>
            <w:shd w:val="clear" w:color="auto" w:fill="D9EAF7"/>
            <w:vAlign w:val="center"/>
          </w:tcPr>
          <w:p w14:paraId="0847F586" w14:textId="77777777" w:rsidR="006D7EED" w:rsidRDefault="00E778F2">
            <w:pPr>
              <w:spacing w:line="240" w:lineRule="auto"/>
              <w:ind w:firstLine="0"/>
            </w:pPr>
            <w:r>
              <w:rPr>
                <w:b/>
                <w:sz w:val="18"/>
              </w:rPr>
              <w:t>Consequence for the model</w:t>
            </w:r>
          </w:p>
        </w:tc>
      </w:tr>
      <w:tr w:rsidR="006D7EED" w14:paraId="1AE2D573" w14:textId="77777777">
        <w:trPr>
          <w:jc w:val="center"/>
        </w:trPr>
        <w:tc>
          <w:tcPr>
            <w:tcW w:w="3135" w:type="dxa"/>
            <w:vAlign w:val="center"/>
          </w:tcPr>
          <w:p w14:paraId="3FCF4C69" w14:textId="77777777" w:rsidR="006D7EED" w:rsidRDefault="00E778F2">
            <w:pPr>
              <w:spacing w:line="240" w:lineRule="auto"/>
              <w:ind w:firstLine="0"/>
            </w:pPr>
            <w:r>
              <w:rPr>
                <w:sz w:val="18"/>
              </w:rPr>
              <w:t>Complex systems</w:t>
            </w:r>
          </w:p>
        </w:tc>
        <w:tc>
          <w:tcPr>
            <w:tcW w:w="3135" w:type="dxa"/>
            <w:vAlign w:val="center"/>
          </w:tcPr>
          <w:p w14:paraId="0EB325D9" w14:textId="77777777" w:rsidR="006D7EED" w:rsidRDefault="00E778F2">
            <w:pPr>
              <w:spacing w:line="240" w:lineRule="auto"/>
              <w:ind w:firstLine="0"/>
            </w:pPr>
            <w:r>
              <w:rPr>
                <w:sz w:val="18"/>
              </w:rPr>
              <w:t>Represents feedbacks and nonlinearity</w:t>
            </w:r>
          </w:p>
        </w:tc>
        <w:tc>
          <w:tcPr>
            <w:tcW w:w="3135" w:type="dxa"/>
            <w:vAlign w:val="center"/>
          </w:tcPr>
          <w:p w14:paraId="09BFB72C" w14:textId="77777777" w:rsidR="006D7EED" w:rsidRDefault="00E778F2">
            <w:pPr>
              <w:spacing w:line="240" w:lineRule="auto"/>
              <w:ind w:firstLine="0"/>
            </w:pPr>
            <w:r>
              <w:rPr>
                <w:sz w:val="18"/>
              </w:rPr>
              <w:t>The model uses dynamic equations and thresholds.</w:t>
            </w:r>
          </w:p>
        </w:tc>
      </w:tr>
      <w:tr w:rsidR="006D7EED" w14:paraId="18BA10D6" w14:textId="77777777">
        <w:trPr>
          <w:jc w:val="center"/>
        </w:trPr>
        <w:tc>
          <w:tcPr>
            <w:tcW w:w="3135" w:type="dxa"/>
            <w:vAlign w:val="center"/>
          </w:tcPr>
          <w:p w14:paraId="0B2354AD" w14:textId="77777777" w:rsidR="006D7EED" w:rsidRDefault="00E778F2">
            <w:pPr>
              <w:spacing w:line="240" w:lineRule="auto"/>
              <w:ind w:firstLine="0"/>
            </w:pPr>
            <w:r>
              <w:rPr>
                <w:sz w:val="18"/>
              </w:rPr>
              <w:t>Planetary boundaries</w:t>
            </w:r>
          </w:p>
        </w:tc>
        <w:tc>
          <w:tcPr>
            <w:tcW w:w="3135" w:type="dxa"/>
            <w:vAlign w:val="center"/>
          </w:tcPr>
          <w:p w14:paraId="657437A7" w14:textId="77777777" w:rsidR="006D7EED" w:rsidRDefault="00E778F2">
            <w:pPr>
              <w:spacing w:line="240" w:lineRule="auto"/>
              <w:ind w:firstLine="0"/>
            </w:pPr>
            <w:r>
              <w:rPr>
                <w:sz w:val="18"/>
              </w:rPr>
              <w:t>Defines relevant biophysical pressures</w:t>
            </w:r>
          </w:p>
        </w:tc>
        <w:tc>
          <w:tcPr>
            <w:tcW w:w="3135" w:type="dxa"/>
            <w:vAlign w:val="center"/>
          </w:tcPr>
          <w:p w14:paraId="3687F476" w14:textId="77777777" w:rsidR="006D7EED" w:rsidRDefault="00E778F2">
            <w:pPr>
              <w:spacing w:line="240" w:lineRule="auto"/>
              <w:ind w:firstLine="0"/>
            </w:pPr>
            <w:r>
              <w:rPr>
                <w:sz w:val="18"/>
              </w:rPr>
              <w:t>D(t), ΔT(t) and U(t) must be empirically anchored.</w:t>
            </w:r>
          </w:p>
        </w:tc>
      </w:tr>
      <w:tr w:rsidR="006D7EED" w14:paraId="7FB6AC33" w14:textId="77777777">
        <w:trPr>
          <w:jc w:val="center"/>
        </w:trPr>
        <w:tc>
          <w:tcPr>
            <w:tcW w:w="3135" w:type="dxa"/>
            <w:vAlign w:val="center"/>
          </w:tcPr>
          <w:p w14:paraId="35249D89" w14:textId="77777777" w:rsidR="006D7EED" w:rsidRDefault="00E778F2">
            <w:pPr>
              <w:spacing w:line="240" w:lineRule="auto"/>
              <w:ind w:firstLine="0"/>
            </w:pPr>
            <w:r>
              <w:rPr>
                <w:sz w:val="18"/>
              </w:rPr>
              <w:t>Tipping points</w:t>
            </w:r>
          </w:p>
        </w:tc>
        <w:tc>
          <w:tcPr>
            <w:tcW w:w="3135" w:type="dxa"/>
            <w:vAlign w:val="center"/>
          </w:tcPr>
          <w:p w14:paraId="58BC68A9" w14:textId="77777777" w:rsidR="006D7EED" w:rsidRDefault="00E778F2">
            <w:pPr>
              <w:spacing w:line="240" w:lineRule="auto"/>
              <w:ind w:firstLine="0"/>
            </w:pPr>
            <w:r>
              <w:rPr>
                <w:sz w:val="18"/>
              </w:rPr>
              <w:t>Grounds regime transitions</w:t>
            </w:r>
          </w:p>
        </w:tc>
        <w:tc>
          <w:tcPr>
            <w:tcW w:w="3135" w:type="dxa"/>
            <w:vAlign w:val="center"/>
          </w:tcPr>
          <w:p w14:paraId="4F07F7B5" w14:textId="77777777" w:rsidR="006D7EED" w:rsidRDefault="00E778F2">
            <w:pPr>
              <w:spacing w:line="240" w:lineRule="auto"/>
              <w:ind w:firstLine="0"/>
            </w:pPr>
            <w:r>
              <w:rPr>
                <w:sz w:val="18"/>
              </w:rPr>
              <w:t>λ_crit and τ₂ are defined as conditional events.</w:t>
            </w:r>
          </w:p>
        </w:tc>
      </w:tr>
      <w:tr w:rsidR="006D7EED" w:rsidRPr="00025DA1" w14:paraId="7C558164" w14:textId="77777777">
        <w:trPr>
          <w:jc w:val="center"/>
        </w:trPr>
        <w:tc>
          <w:tcPr>
            <w:tcW w:w="3135" w:type="dxa"/>
            <w:vAlign w:val="center"/>
          </w:tcPr>
          <w:p w14:paraId="1DF90B61" w14:textId="77777777" w:rsidR="006D7EED" w:rsidRDefault="00E778F2">
            <w:pPr>
              <w:spacing w:line="240" w:lineRule="auto"/>
              <w:ind w:firstLine="0"/>
            </w:pPr>
            <w:r>
              <w:rPr>
                <w:sz w:val="18"/>
              </w:rPr>
              <w:t>Socioecological resilience</w:t>
            </w:r>
          </w:p>
        </w:tc>
        <w:tc>
          <w:tcPr>
            <w:tcW w:w="3135" w:type="dxa"/>
            <w:vAlign w:val="center"/>
          </w:tcPr>
          <w:p w14:paraId="76363C9C" w14:textId="77777777" w:rsidR="006D7EED" w:rsidRDefault="00E778F2">
            <w:pPr>
              <w:spacing w:line="240" w:lineRule="auto"/>
              <w:ind w:firstLine="0"/>
            </w:pPr>
            <w:r>
              <w:rPr>
                <w:sz w:val="18"/>
              </w:rPr>
              <w:t>Explains recovery or function loss</w:t>
            </w:r>
          </w:p>
        </w:tc>
        <w:tc>
          <w:tcPr>
            <w:tcW w:w="3135" w:type="dxa"/>
            <w:vAlign w:val="center"/>
          </w:tcPr>
          <w:p w14:paraId="19C02B9A" w14:textId="77777777" w:rsidR="006D7EED" w:rsidRPr="00025DA1" w:rsidRDefault="00E778F2">
            <w:pPr>
              <w:spacing w:line="240" w:lineRule="auto"/>
              <w:ind w:firstLine="0"/>
              <w:rPr>
                <w:lang w:val="fr-FR"/>
              </w:rPr>
            </w:pPr>
            <w:r w:rsidRPr="00025DA1">
              <w:rPr>
                <w:sz w:val="18"/>
                <w:lang w:val="fr-FR"/>
              </w:rPr>
              <w:t>R(t) and G(t) enter as central variables.</w:t>
            </w:r>
          </w:p>
        </w:tc>
      </w:tr>
      <w:tr w:rsidR="006D7EED" w14:paraId="5080F15C" w14:textId="77777777">
        <w:trPr>
          <w:jc w:val="center"/>
        </w:trPr>
        <w:tc>
          <w:tcPr>
            <w:tcW w:w="3135" w:type="dxa"/>
            <w:vAlign w:val="center"/>
          </w:tcPr>
          <w:p w14:paraId="7751E059" w14:textId="77777777" w:rsidR="006D7EED" w:rsidRDefault="00E778F2">
            <w:pPr>
              <w:spacing w:line="240" w:lineRule="auto"/>
              <w:ind w:firstLine="0"/>
            </w:pPr>
            <w:r>
              <w:rPr>
                <w:sz w:val="18"/>
              </w:rPr>
              <w:t>Demographic projections</w:t>
            </w:r>
          </w:p>
        </w:tc>
        <w:tc>
          <w:tcPr>
            <w:tcW w:w="3135" w:type="dxa"/>
            <w:vAlign w:val="center"/>
          </w:tcPr>
          <w:p w14:paraId="1B189C76" w14:textId="77777777" w:rsidR="006D7EED" w:rsidRDefault="00E778F2">
            <w:pPr>
              <w:spacing w:line="240" w:lineRule="auto"/>
              <w:ind w:firstLine="0"/>
            </w:pPr>
            <w:r>
              <w:rPr>
                <w:sz w:val="18"/>
              </w:rPr>
              <w:t>Delimits use of population scenarios</w:t>
            </w:r>
          </w:p>
        </w:tc>
        <w:tc>
          <w:tcPr>
            <w:tcW w:w="3135" w:type="dxa"/>
            <w:vAlign w:val="center"/>
          </w:tcPr>
          <w:p w14:paraId="1A372486" w14:textId="77777777" w:rsidR="006D7EED" w:rsidRDefault="00E778F2">
            <w:pPr>
              <w:spacing w:line="240" w:lineRule="auto"/>
              <w:ind w:firstLine="0"/>
            </w:pPr>
            <w:r>
              <w:rPr>
                <w:sz w:val="18"/>
              </w:rPr>
              <w:t>Projections beyond 2100 should be treated as exploratory.[2]</w:t>
            </w:r>
          </w:p>
        </w:tc>
      </w:tr>
    </w:tbl>
    <w:p w14:paraId="7DB8379A" w14:textId="77777777" w:rsidR="006D7EED" w:rsidRDefault="006D7EED"/>
    <w:p w14:paraId="1F39FF57" w14:textId="77777777" w:rsidR="006D7EED" w:rsidRDefault="00E778F2">
      <w:pPr>
        <w:jc w:val="both"/>
      </w:pPr>
      <w:r>
        <w:t>This foundation forces methodological caution: I cannot present long-term dates as definitive predictions. The World Population Prospects 2024 of the United Nations works with estimates and projections up to 2100 for 237 countries or areas, based on censuses, vital records and sample surveys. Therefore, any extension to 2155, 2163 or 2197 must be treated as exploratory scenario simulation, not as equivalent to official projections.</w:t>
      </w:r>
    </w:p>
    <w:p w14:paraId="0F0571C5" w14:textId="4AB615C7" w:rsidR="006D7EED" w:rsidRDefault="00336D4D">
      <w:pPr>
        <w:pStyle w:val="Ttulo1"/>
      </w:pPr>
      <w:r>
        <w:lastRenderedPageBreak/>
        <w:t>IV- Method: four-layer reconstruction</w:t>
      </w:r>
    </w:p>
    <w:p w14:paraId="5EEA38C7" w14:textId="77777777" w:rsidR="006D7EED" w:rsidRDefault="00E778F2">
      <w:pPr>
        <w:jc w:val="both"/>
      </w:pPr>
      <w:r>
        <w:t>I organize the Mathematics of Structural Entropy in four layers. This choice is not merely expository; it is methodological. The first layer contains the minimum publishable model. The second describes empirical calibration. The third presents statistical robustness and sensitivity analysis. The fourth interprets the results in terms of sustainability, fragmentation and regime transition.</w:t>
      </w:r>
    </w:p>
    <w:tbl>
      <w:tblPr>
        <w:tblStyle w:val="Tabelacomgrade"/>
        <w:tblW w:w="0" w:type="auto"/>
        <w:jc w:val="center"/>
        <w:tblLook w:val="04A0" w:firstRow="1" w:lastRow="0" w:firstColumn="1" w:lastColumn="0" w:noHBand="0" w:noVBand="1"/>
      </w:tblPr>
      <w:tblGrid>
        <w:gridCol w:w="3131"/>
        <w:gridCol w:w="3132"/>
        <w:gridCol w:w="3132"/>
      </w:tblGrid>
      <w:tr w:rsidR="006D7EED" w14:paraId="1971025E" w14:textId="77777777">
        <w:trPr>
          <w:jc w:val="center"/>
        </w:trPr>
        <w:tc>
          <w:tcPr>
            <w:tcW w:w="3135" w:type="dxa"/>
            <w:shd w:val="clear" w:color="auto" w:fill="D9EAF7"/>
            <w:vAlign w:val="center"/>
          </w:tcPr>
          <w:p w14:paraId="5A911C8F" w14:textId="77777777" w:rsidR="006D7EED" w:rsidRDefault="00E778F2">
            <w:pPr>
              <w:spacing w:line="240" w:lineRule="auto"/>
              <w:ind w:firstLine="0"/>
            </w:pPr>
            <w:r>
              <w:rPr>
                <w:b/>
                <w:sz w:val="18"/>
              </w:rPr>
              <w:t>Layer</w:t>
            </w:r>
          </w:p>
        </w:tc>
        <w:tc>
          <w:tcPr>
            <w:tcW w:w="3135" w:type="dxa"/>
            <w:shd w:val="clear" w:color="auto" w:fill="D9EAF7"/>
            <w:vAlign w:val="center"/>
          </w:tcPr>
          <w:p w14:paraId="0C0173DE" w14:textId="77777777" w:rsidR="006D7EED" w:rsidRDefault="00E778F2">
            <w:pPr>
              <w:spacing w:line="240" w:lineRule="auto"/>
              <w:ind w:firstLine="0"/>
            </w:pPr>
            <w:r>
              <w:rPr>
                <w:b/>
                <w:sz w:val="18"/>
              </w:rPr>
              <w:t>Function</w:t>
            </w:r>
          </w:p>
        </w:tc>
        <w:tc>
          <w:tcPr>
            <w:tcW w:w="3135" w:type="dxa"/>
            <w:shd w:val="clear" w:color="auto" w:fill="D9EAF7"/>
            <w:vAlign w:val="center"/>
          </w:tcPr>
          <w:p w14:paraId="2EC6BDED" w14:textId="77777777" w:rsidR="006D7EED" w:rsidRDefault="00E778F2">
            <w:pPr>
              <w:spacing w:line="240" w:lineRule="auto"/>
              <w:ind w:firstLine="0"/>
            </w:pPr>
            <w:r>
              <w:rPr>
                <w:b/>
                <w:sz w:val="18"/>
              </w:rPr>
              <w:t>Quality criterion</w:t>
            </w:r>
          </w:p>
        </w:tc>
      </w:tr>
      <w:tr w:rsidR="006D7EED" w14:paraId="21123721" w14:textId="77777777">
        <w:trPr>
          <w:jc w:val="center"/>
        </w:trPr>
        <w:tc>
          <w:tcPr>
            <w:tcW w:w="3135" w:type="dxa"/>
            <w:vAlign w:val="center"/>
          </w:tcPr>
          <w:p w14:paraId="1F749EC0" w14:textId="77777777" w:rsidR="006D7EED" w:rsidRDefault="00E778F2">
            <w:pPr>
              <w:spacing w:line="240" w:lineRule="auto"/>
              <w:ind w:firstLine="0"/>
            </w:pPr>
            <w:r>
              <w:rPr>
                <w:sz w:val="18"/>
              </w:rPr>
              <w:t>I — Minimum model</w:t>
            </w:r>
          </w:p>
        </w:tc>
        <w:tc>
          <w:tcPr>
            <w:tcW w:w="3135" w:type="dxa"/>
            <w:vAlign w:val="center"/>
          </w:tcPr>
          <w:p w14:paraId="57FAF3FB" w14:textId="77777777" w:rsidR="006D7EED" w:rsidRDefault="00E778F2">
            <w:pPr>
              <w:spacing w:line="240" w:lineRule="auto"/>
              <w:ind w:firstLine="0"/>
            </w:pPr>
            <w:r>
              <w:rPr>
                <w:sz w:val="18"/>
              </w:rPr>
              <w:t>Define variables, equations and critical events</w:t>
            </w:r>
          </w:p>
        </w:tc>
        <w:tc>
          <w:tcPr>
            <w:tcW w:w="3135" w:type="dxa"/>
            <w:vAlign w:val="center"/>
          </w:tcPr>
          <w:p w14:paraId="516EC1EB" w14:textId="77777777" w:rsidR="006D7EED" w:rsidRDefault="00E778F2">
            <w:pPr>
              <w:spacing w:line="240" w:lineRule="auto"/>
              <w:ind w:firstLine="0"/>
            </w:pPr>
            <w:r>
              <w:rPr>
                <w:sz w:val="18"/>
              </w:rPr>
              <w:t>Formal clarity and auditability.</w:t>
            </w:r>
          </w:p>
        </w:tc>
      </w:tr>
      <w:tr w:rsidR="006D7EED" w14:paraId="7747DFB1" w14:textId="77777777">
        <w:trPr>
          <w:jc w:val="center"/>
        </w:trPr>
        <w:tc>
          <w:tcPr>
            <w:tcW w:w="3135" w:type="dxa"/>
            <w:vAlign w:val="center"/>
          </w:tcPr>
          <w:p w14:paraId="52D9AFE6" w14:textId="77777777" w:rsidR="006D7EED" w:rsidRDefault="00E778F2">
            <w:pPr>
              <w:spacing w:line="240" w:lineRule="auto"/>
              <w:ind w:firstLine="0"/>
            </w:pPr>
            <w:r>
              <w:rPr>
                <w:sz w:val="18"/>
              </w:rPr>
              <w:t>II — Calibration</w:t>
            </w:r>
          </w:p>
        </w:tc>
        <w:tc>
          <w:tcPr>
            <w:tcW w:w="3135" w:type="dxa"/>
            <w:vAlign w:val="center"/>
          </w:tcPr>
          <w:p w14:paraId="043DEC44" w14:textId="77777777" w:rsidR="006D7EED" w:rsidRDefault="00E778F2">
            <w:pPr>
              <w:spacing w:line="240" w:lineRule="auto"/>
              <w:ind w:firstLine="0"/>
            </w:pPr>
            <w:r>
              <w:rPr>
                <w:sz w:val="18"/>
              </w:rPr>
              <w:t>Connect the model to historical data and recognized projections</w:t>
            </w:r>
          </w:p>
        </w:tc>
        <w:tc>
          <w:tcPr>
            <w:tcW w:w="3135" w:type="dxa"/>
            <w:vAlign w:val="center"/>
          </w:tcPr>
          <w:p w14:paraId="569D9AC8" w14:textId="77777777" w:rsidR="006D7EED" w:rsidRDefault="00E778F2">
            <w:pPr>
              <w:spacing w:line="240" w:lineRule="auto"/>
              <w:ind w:firstLine="0"/>
            </w:pPr>
            <w:r>
              <w:rPr>
                <w:sz w:val="18"/>
              </w:rPr>
              <w:t>Empirical traceability.</w:t>
            </w:r>
          </w:p>
        </w:tc>
      </w:tr>
      <w:tr w:rsidR="006D7EED" w14:paraId="6DB2A037" w14:textId="77777777">
        <w:trPr>
          <w:jc w:val="center"/>
        </w:trPr>
        <w:tc>
          <w:tcPr>
            <w:tcW w:w="3135" w:type="dxa"/>
            <w:vAlign w:val="center"/>
          </w:tcPr>
          <w:p w14:paraId="1B5D7EDE" w14:textId="77777777" w:rsidR="006D7EED" w:rsidRDefault="00E778F2">
            <w:pPr>
              <w:spacing w:line="240" w:lineRule="auto"/>
              <w:ind w:firstLine="0"/>
            </w:pPr>
            <w:r>
              <w:rPr>
                <w:sz w:val="18"/>
              </w:rPr>
              <w:t>III — Robustness</w:t>
            </w:r>
          </w:p>
        </w:tc>
        <w:tc>
          <w:tcPr>
            <w:tcW w:w="3135" w:type="dxa"/>
            <w:vAlign w:val="center"/>
          </w:tcPr>
          <w:p w14:paraId="6CD8BDF9" w14:textId="77777777" w:rsidR="006D7EED" w:rsidRDefault="00E778F2">
            <w:pPr>
              <w:spacing w:line="240" w:lineRule="auto"/>
              <w:ind w:firstLine="0"/>
            </w:pPr>
            <w:r>
              <w:rPr>
                <w:sz w:val="18"/>
              </w:rPr>
              <w:t>Estimate uncertainty, sensitivity and confidence intervals</w:t>
            </w:r>
          </w:p>
        </w:tc>
        <w:tc>
          <w:tcPr>
            <w:tcW w:w="3135" w:type="dxa"/>
            <w:vAlign w:val="center"/>
          </w:tcPr>
          <w:p w14:paraId="51FCE38E" w14:textId="77777777" w:rsidR="006D7EED" w:rsidRDefault="00E778F2">
            <w:pPr>
              <w:spacing w:line="240" w:lineRule="auto"/>
              <w:ind w:firstLine="0"/>
            </w:pPr>
            <w:r>
              <w:rPr>
                <w:sz w:val="18"/>
              </w:rPr>
              <w:t>Statistical reproducibility.</w:t>
            </w:r>
          </w:p>
        </w:tc>
      </w:tr>
      <w:tr w:rsidR="006D7EED" w14:paraId="147DCCCB" w14:textId="77777777">
        <w:trPr>
          <w:jc w:val="center"/>
        </w:trPr>
        <w:tc>
          <w:tcPr>
            <w:tcW w:w="3135" w:type="dxa"/>
            <w:vAlign w:val="center"/>
          </w:tcPr>
          <w:p w14:paraId="78B951D1" w14:textId="77777777" w:rsidR="006D7EED" w:rsidRDefault="00E778F2">
            <w:pPr>
              <w:spacing w:line="240" w:lineRule="auto"/>
              <w:ind w:firstLine="0"/>
            </w:pPr>
            <w:r>
              <w:rPr>
                <w:sz w:val="18"/>
              </w:rPr>
              <w:t>IV — Discussion</w:t>
            </w:r>
          </w:p>
        </w:tc>
        <w:tc>
          <w:tcPr>
            <w:tcW w:w="3135" w:type="dxa"/>
            <w:vAlign w:val="center"/>
          </w:tcPr>
          <w:p w14:paraId="7884B83B" w14:textId="77777777" w:rsidR="006D7EED" w:rsidRDefault="00E778F2">
            <w:pPr>
              <w:spacing w:line="240" w:lineRule="auto"/>
              <w:ind w:firstLine="0"/>
            </w:pPr>
            <w:r>
              <w:rPr>
                <w:sz w:val="18"/>
              </w:rPr>
              <w:t>Interpret results without confusing scenario with forecast</w:t>
            </w:r>
          </w:p>
        </w:tc>
        <w:tc>
          <w:tcPr>
            <w:tcW w:w="3135" w:type="dxa"/>
            <w:vAlign w:val="center"/>
          </w:tcPr>
          <w:p w14:paraId="169CB2A3" w14:textId="77777777" w:rsidR="006D7EED" w:rsidRDefault="00E778F2">
            <w:pPr>
              <w:spacing w:line="240" w:lineRule="auto"/>
              <w:ind w:firstLine="0"/>
            </w:pPr>
            <w:r>
              <w:rPr>
                <w:sz w:val="18"/>
              </w:rPr>
              <w:t>Epistemological prudence.</w:t>
            </w:r>
          </w:p>
        </w:tc>
      </w:tr>
    </w:tbl>
    <w:p w14:paraId="3926365A" w14:textId="77777777" w:rsidR="006D7EED" w:rsidRDefault="006D7EED"/>
    <w:p w14:paraId="09FFF3CA" w14:textId="77777777" w:rsidR="006D7EED" w:rsidRDefault="00E778F2">
      <w:pPr>
        <w:jc w:val="both"/>
      </w:pPr>
      <w:r>
        <w:t>This architecture allows separating what is equation, what is data, what is simulation and what is interpretation. Without this separation, the proposal risks being read as speculative essay rather than a study connected to evidence. With this metric it becomes a genuine postulation with a clearly delimited mathematical position for each layer independently.</w:t>
      </w:r>
    </w:p>
    <w:p w14:paraId="3B383EBC" w14:textId="6D786341" w:rsidR="006D7EED" w:rsidRDefault="00336D4D">
      <w:pPr>
        <w:pStyle w:val="Ttulo1"/>
      </w:pPr>
      <w:r>
        <w:t>V- Layer I: minimum publishable model</w:t>
      </w:r>
    </w:p>
    <w:p w14:paraId="77CB8E88" w14:textId="77777777" w:rsidR="006D7EED" w:rsidRPr="00025DA1" w:rsidRDefault="00E778F2">
      <w:pPr>
        <w:jc w:val="both"/>
        <w:rPr>
          <w:lang w:val="fr-FR"/>
        </w:rPr>
      </w:pPr>
      <w:r>
        <w:t xml:space="preserve">I initially define a reduced set of variables. The objective is to avoid excessive complexity before establishing a testable mathematical core. </w:t>
      </w:r>
      <w:r w:rsidRPr="00025DA1">
        <w:rPr>
          <w:lang w:val="fr-FR"/>
        </w:rPr>
        <w:t xml:space="preserve">The central variables are N(t), </w:t>
      </w:r>
      <w:proofErr w:type="spellStart"/>
      <w:r w:rsidRPr="00025DA1">
        <w:rPr>
          <w:lang w:val="fr-FR"/>
        </w:rPr>
        <w:t>K_eff</w:t>
      </w:r>
      <w:proofErr w:type="spellEnd"/>
      <w:r w:rsidRPr="00025DA1">
        <w:rPr>
          <w:lang w:val="fr-FR"/>
        </w:rPr>
        <w:t xml:space="preserve">(t), D(t), </w:t>
      </w:r>
      <w:r>
        <w:t>Δ</w:t>
      </w:r>
      <w:r w:rsidRPr="00025DA1">
        <w:rPr>
          <w:lang w:val="fr-FR"/>
        </w:rPr>
        <w:t xml:space="preserve">T(t), U(t), T(t), G(t), R(t) and </w:t>
      </w:r>
      <w:r>
        <w:t>λ</w:t>
      </w:r>
      <w:r w:rsidRPr="00025DA1">
        <w:rPr>
          <w:lang w:val="fr-FR"/>
        </w:rPr>
        <w:t>(t).</w:t>
      </w:r>
    </w:p>
    <w:tbl>
      <w:tblPr>
        <w:tblStyle w:val="Tabelacomgrade"/>
        <w:tblW w:w="0" w:type="auto"/>
        <w:jc w:val="center"/>
        <w:tblLook w:val="04A0" w:firstRow="1" w:lastRow="0" w:firstColumn="1" w:lastColumn="0" w:noHBand="0" w:noVBand="1"/>
      </w:tblPr>
      <w:tblGrid>
        <w:gridCol w:w="2348"/>
        <w:gridCol w:w="2349"/>
        <w:gridCol w:w="2349"/>
        <w:gridCol w:w="2349"/>
      </w:tblGrid>
      <w:tr w:rsidR="006D7EED" w14:paraId="75E162D1" w14:textId="77777777">
        <w:trPr>
          <w:jc w:val="center"/>
        </w:trPr>
        <w:tc>
          <w:tcPr>
            <w:tcW w:w="2351" w:type="dxa"/>
            <w:shd w:val="clear" w:color="auto" w:fill="D9EAF7"/>
            <w:vAlign w:val="center"/>
          </w:tcPr>
          <w:p w14:paraId="5727E83F" w14:textId="77777777" w:rsidR="006D7EED" w:rsidRDefault="00E778F2">
            <w:pPr>
              <w:spacing w:line="240" w:lineRule="auto"/>
              <w:ind w:firstLine="0"/>
            </w:pPr>
            <w:r>
              <w:rPr>
                <w:b/>
                <w:sz w:val="18"/>
              </w:rPr>
              <w:t>Symbol</w:t>
            </w:r>
          </w:p>
        </w:tc>
        <w:tc>
          <w:tcPr>
            <w:tcW w:w="2351" w:type="dxa"/>
            <w:shd w:val="clear" w:color="auto" w:fill="D9EAF7"/>
            <w:vAlign w:val="center"/>
          </w:tcPr>
          <w:p w14:paraId="3105A802" w14:textId="77777777" w:rsidR="006D7EED" w:rsidRDefault="00E778F2">
            <w:pPr>
              <w:spacing w:line="240" w:lineRule="auto"/>
              <w:ind w:firstLine="0"/>
            </w:pPr>
            <w:r>
              <w:rPr>
                <w:b/>
                <w:sz w:val="18"/>
              </w:rPr>
              <w:t>Definition</w:t>
            </w:r>
          </w:p>
        </w:tc>
        <w:tc>
          <w:tcPr>
            <w:tcW w:w="2351" w:type="dxa"/>
            <w:shd w:val="clear" w:color="auto" w:fill="D9EAF7"/>
            <w:vAlign w:val="center"/>
          </w:tcPr>
          <w:p w14:paraId="410B1684" w14:textId="77777777" w:rsidR="006D7EED" w:rsidRDefault="00E778F2">
            <w:pPr>
              <w:spacing w:line="240" w:lineRule="auto"/>
              <w:ind w:firstLine="0"/>
            </w:pPr>
            <w:r>
              <w:rPr>
                <w:b/>
                <w:sz w:val="18"/>
              </w:rPr>
              <w:t>Unit or scale</w:t>
            </w:r>
          </w:p>
        </w:tc>
        <w:tc>
          <w:tcPr>
            <w:tcW w:w="2351" w:type="dxa"/>
            <w:shd w:val="clear" w:color="auto" w:fill="D9EAF7"/>
            <w:vAlign w:val="center"/>
          </w:tcPr>
          <w:p w14:paraId="616B8BDC" w14:textId="77777777" w:rsidR="006D7EED" w:rsidRDefault="00E778F2">
            <w:pPr>
              <w:spacing w:line="240" w:lineRule="auto"/>
              <w:ind w:firstLine="0"/>
            </w:pPr>
            <w:r>
              <w:rPr>
                <w:b/>
                <w:sz w:val="18"/>
              </w:rPr>
              <w:t>Role in the model</w:t>
            </w:r>
          </w:p>
        </w:tc>
      </w:tr>
      <w:tr w:rsidR="006D7EED" w14:paraId="095E3A44" w14:textId="77777777">
        <w:trPr>
          <w:jc w:val="center"/>
        </w:trPr>
        <w:tc>
          <w:tcPr>
            <w:tcW w:w="2351" w:type="dxa"/>
            <w:vAlign w:val="center"/>
          </w:tcPr>
          <w:p w14:paraId="6298DB58" w14:textId="77777777" w:rsidR="006D7EED" w:rsidRDefault="00E778F2">
            <w:pPr>
              <w:spacing w:line="240" w:lineRule="auto"/>
              <w:ind w:firstLine="0"/>
            </w:pPr>
            <w:r>
              <w:rPr>
                <w:sz w:val="18"/>
              </w:rPr>
              <w:t>t</w:t>
            </w:r>
          </w:p>
        </w:tc>
        <w:tc>
          <w:tcPr>
            <w:tcW w:w="2351" w:type="dxa"/>
            <w:vAlign w:val="center"/>
          </w:tcPr>
          <w:p w14:paraId="1D239CB5" w14:textId="77777777" w:rsidR="006D7EED" w:rsidRDefault="00E778F2">
            <w:pPr>
              <w:spacing w:line="240" w:lineRule="auto"/>
              <w:ind w:firstLine="0"/>
            </w:pPr>
            <w:r>
              <w:rPr>
                <w:sz w:val="18"/>
              </w:rPr>
              <w:t>Time</w:t>
            </w:r>
          </w:p>
        </w:tc>
        <w:tc>
          <w:tcPr>
            <w:tcW w:w="2351" w:type="dxa"/>
            <w:vAlign w:val="center"/>
          </w:tcPr>
          <w:p w14:paraId="7A3F8825" w14:textId="77777777" w:rsidR="006D7EED" w:rsidRDefault="00E778F2">
            <w:pPr>
              <w:spacing w:line="240" w:lineRule="auto"/>
              <w:ind w:firstLine="0"/>
            </w:pPr>
            <w:r>
              <w:rPr>
                <w:sz w:val="18"/>
              </w:rPr>
              <w:t>years</w:t>
            </w:r>
          </w:p>
        </w:tc>
        <w:tc>
          <w:tcPr>
            <w:tcW w:w="2351" w:type="dxa"/>
            <w:vAlign w:val="center"/>
          </w:tcPr>
          <w:p w14:paraId="7256DCB7" w14:textId="77777777" w:rsidR="006D7EED" w:rsidRDefault="00E778F2">
            <w:pPr>
              <w:spacing w:line="240" w:lineRule="auto"/>
              <w:ind w:firstLine="0"/>
            </w:pPr>
            <w:r>
              <w:rPr>
                <w:sz w:val="18"/>
              </w:rPr>
              <w:t>Historical and scenario horizon.</w:t>
            </w:r>
          </w:p>
        </w:tc>
      </w:tr>
      <w:tr w:rsidR="006D7EED" w14:paraId="3D394E5F" w14:textId="77777777">
        <w:trPr>
          <w:jc w:val="center"/>
        </w:trPr>
        <w:tc>
          <w:tcPr>
            <w:tcW w:w="2351" w:type="dxa"/>
            <w:vAlign w:val="center"/>
          </w:tcPr>
          <w:p w14:paraId="7EEDF7D3" w14:textId="77777777" w:rsidR="006D7EED" w:rsidRDefault="00E778F2">
            <w:pPr>
              <w:spacing w:line="240" w:lineRule="auto"/>
              <w:ind w:firstLine="0"/>
            </w:pPr>
            <w:r>
              <w:rPr>
                <w:sz w:val="18"/>
              </w:rPr>
              <w:t>N(t)</w:t>
            </w:r>
          </w:p>
        </w:tc>
        <w:tc>
          <w:tcPr>
            <w:tcW w:w="2351" w:type="dxa"/>
            <w:vAlign w:val="center"/>
          </w:tcPr>
          <w:p w14:paraId="0A49518B" w14:textId="77777777" w:rsidR="006D7EED" w:rsidRDefault="00E778F2">
            <w:pPr>
              <w:spacing w:line="240" w:lineRule="auto"/>
              <w:ind w:firstLine="0"/>
            </w:pPr>
            <w:r>
              <w:rPr>
                <w:sz w:val="18"/>
              </w:rPr>
              <w:t>Population or equivalent demand</w:t>
            </w:r>
          </w:p>
        </w:tc>
        <w:tc>
          <w:tcPr>
            <w:tcW w:w="2351" w:type="dxa"/>
            <w:vAlign w:val="center"/>
          </w:tcPr>
          <w:p w14:paraId="39C9E696" w14:textId="77777777" w:rsidR="006D7EED" w:rsidRDefault="00E778F2">
            <w:pPr>
              <w:spacing w:line="240" w:lineRule="auto"/>
              <w:ind w:firstLine="0"/>
            </w:pPr>
            <w:r>
              <w:rPr>
                <w:sz w:val="18"/>
              </w:rPr>
              <w:t>people or index</w:t>
            </w:r>
          </w:p>
        </w:tc>
        <w:tc>
          <w:tcPr>
            <w:tcW w:w="2351" w:type="dxa"/>
            <w:vAlign w:val="center"/>
          </w:tcPr>
          <w:p w14:paraId="119FDEF6" w14:textId="77777777" w:rsidR="006D7EED" w:rsidRDefault="00E778F2">
            <w:pPr>
              <w:spacing w:line="240" w:lineRule="auto"/>
              <w:ind w:firstLine="0"/>
            </w:pPr>
            <w:r>
              <w:rPr>
                <w:sz w:val="18"/>
              </w:rPr>
              <w:t>Demand pressure.</w:t>
            </w:r>
          </w:p>
        </w:tc>
      </w:tr>
      <w:tr w:rsidR="006D7EED" w14:paraId="7BD86B98" w14:textId="77777777">
        <w:trPr>
          <w:jc w:val="center"/>
        </w:trPr>
        <w:tc>
          <w:tcPr>
            <w:tcW w:w="2351" w:type="dxa"/>
            <w:vAlign w:val="center"/>
          </w:tcPr>
          <w:p w14:paraId="5A806588" w14:textId="77777777" w:rsidR="006D7EED" w:rsidRDefault="00E778F2">
            <w:pPr>
              <w:spacing w:line="240" w:lineRule="auto"/>
              <w:ind w:firstLine="0"/>
            </w:pPr>
            <w:r>
              <w:rPr>
                <w:sz w:val="18"/>
              </w:rPr>
              <w:t>K_eff(t)</w:t>
            </w:r>
          </w:p>
        </w:tc>
        <w:tc>
          <w:tcPr>
            <w:tcW w:w="2351" w:type="dxa"/>
            <w:vAlign w:val="center"/>
          </w:tcPr>
          <w:p w14:paraId="0AC3F624" w14:textId="77777777" w:rsidR="006D7EED" w:rsidRDefault="00E778F2">
            <w:pPr>
              <w:spacing w:line="240" w:lineRule="auto"/>
              <w:ind w:firstLine="0"/>
            </w:pPr>
            <w:r>
              <w:rPr>
                <w:sz w:val="18"/>
              </w:rPr>
              <w:t>Effective carrying capacity</w:t>
            </w:r>
          </w:p>
        </w:tc>
        <w:tc>
          <w:tcPr>
            <w:tcW w:w="2351" w:type="dxa"/>
            <w:vAlign w:val="center"/>
          </w:tcPr>
          <w:p w14:paraId="1AC66D7D" w14:textId="77777777" w:rsidR="006D7EED" w:rsidRDefault="00E778F2">
            <w:pPr>
              <w:spacing w:line="240" w:lineRule="auto"/>
              <w:ind w:firstLine="0"/>
            </w:pPr>
            <w:r>
              <w:rPr>
                <w:sz w:val="18"/>
              </w:rPr>
              <w:t>equivalent people or index</w:t>
            </w:r>
          </w:p>
        </w:tc>
        <w:tc>
          <w:tcPr>
            <w:tcW w:w="2351" w:type="dxa"/>
            <w:vAlign w:val="center"/>
          </w:tcPr>
          <w:p w14:paraId="496326E8" w14:textId="77777777" w:rsidR="006D7EED" w:rsidRDefault="00E778F2">
            <w:pPr>
              <w:spacing w:line="240" w:lineRule="auto"/>
              <w:ind w:firstLine="0"/>
            </w:pPr>
            <w:r>
              <w:rPr>
                <w:sz w:val="18"/>
              </w:rPr>
              <w:t>Dynamic support limit.</w:t>
            </w:r>
          </w:p>
        </w:tc>
      </w:tr>
      <w:tr w:rsidR="006D7EED" w14:paraId="58B14D8F" w14:textId="77777777">
        <w:trPr>
          <w:jc w:val="center"/>
        </w:trPr>
        <w:tc>
          <w:tcPr>
            <w:tcW w:w="2351" w:type="dxa"/>
            <w:vAlign w:val="center"/>
          </w:tcPr>
          <w:p w14:paraId="38A493D7" w14:textId="77777777" w:rsidR="006D7EED" w:rsidRDefault="00E778F2">
            <w:pPr>
              <w:spacing w:line="240" w:lineRule="auto"/>
              <w:ind w:firstLine="0"/>
            </w:pPr>
            <w:r>
              <w:rPr>
                <w:sz w:val="18"/>
              </w:rPr>
              <w:t>D(t)</w:t>
            </w:r>
          </w:p>
        </w:tc>
        <w:tc>
          <w:tcPr>
            <w:tcW w:w="2351" w:type="dxa"/>
            <w:vAlign w:val="center"/>
          </w:tcPr>
          <w:p w14:paraId="1CC86F0E" w14:textId="77777777" w:rsidR="006D7EED" w:rsidRDefault="00E778F2">
            <w:pPr>
              <w:spacing w:line="240" w:lineRule="auto"/>
              <w:ind w:firstLine="0"/>
            </w:pPr>
            <w:r>
              <w:rPr>
                <w:sz w:val="18"/>
              </w:rPr>
              <w:t>Composite environmental degradation</w:t>
            </w:r>
          </w:p>
        </w:tc>
        <w:tc>
          <w:tcPr>
            <w:tcW w:w="2351" w:type="dxa"/>
            <w:vAlign w:val="center"/>
          </w:tcPr>
          <w:p w14:paraId="50593EA8" w14:textId="77777777" w:rsidR="006D7EED" w:rsidRDefault="00E778F2">
            <w:pPr>
              <w:spacing w:line="240" w:lineRule="auto"/>
              <w:ind w:firstLine="0"/>
            </w:pPr>
            <w:r>
              <w:rPr>
                <w:sz w:val="18"/>
              </w:rPr>
              <w:t>[0,1] or ratio to limit</w:t>
            </w:r>
          </w:p>
        </w:tc>
        <w:tc>
          <w:tcPr>
            <w:tcW w:w="2351" w:type="dxa"/>
            <w:vAlign w:val="center"/>
          </w:tcPr>
          <w:p w14:paraId="0AC59351" w14:textId="77777777" w:rsidR="006D7EED" w:rsidRDefault="00E778F2">
            <w:pPr>
              <w:spacing w:line="240" w:lineRule="auto"/>
              <w:ind w:firstLine="0"/>
            </w:pPr>
            <w:r>
              <w:rPr>
                <w:sz w:val="18"/>
              </w:rPr>
              <w:t>Accumulated ecological pressure.</w:t>
            </w:r>
          </w:p>
        </w:tc>
      </w:tr>
      <w:tr w:rsidR="006D7EED" w14:paraId="7866874E" w14:textId="77777777">
        <w:trPr>
          <w:jc w:val="center"/>
        </w:trPr>
        <w:tc>
          <w:tcPr>
            <w:tcW w:w="2351" w:type="dxa"/>
            <w:vAlign w:val="center"/>
          </w:tcPr>
          <w:p w14:paraId="24F95D90" w14:textId="77777777" w:rsidR="006D7EED" w:rsidRDefault="00E778F2">
            <w:pPr>
              <w:spacing w:line="240" w:lineRule="auto"/>
              <w:ind w:firstLine="0"/>
            </w:pPr>
            <w:r>
              <w:rPr>
                <w:sz w:val="18"/>
              </w:rPr>
              <w:t>ΔT(t)</w:t>
            </w:r>
          </w:p>
        </w:tc>
        <w:tc>
          <w:tcPr>
            <w:tcW w:w="2351" w:type="dxa"/>
            <w:vAlign w:val="center"/>
          </w:tcPr>
          <w:p w14:paraId="0D872566" w14:textId="77777777" w:rsidR="006D7EED" w:rsidRDefault="00E778F2">
            <w:pPr>
              <w:spacing w:line="240" w:lineRule="auto"/>
              <w:ind w:firstLine="0"/>
            </w:pPr>
            <w:r>
              <w:rPr>
                <w:sz w:val="18"/>
              </w:rPr>
              <w:t>Thermal anomaly</w:t>
            </w:r>
          </w:p>
        </w:tc>
        <w:tc>
          <w:tcPr>
            <w:tcW w:w="2351" w:type="dxa"/>
            <w:vAlign w:val="center"/>
          </w:tcPr>
          <w:p w14:paraId="14B2637E" w14:textId="77777777" w:rsidR="006D7EED" w:rsidRDefault="00E778F2">
            <w:pPr>
              <w:spacing w:line="240" w:lineRule="auto"/>
              <w:ind w:firstLine="0"/>
            </w:pPr>
            <w:r>
              <w:rPr>
                <w:sz w:val="18"/>
              </w:rPr>
              <w:t>°C</w:t>
            </w:r>
          </w:p>
        </w:tc>
        <w:tc>
          <w:tcPr>
            <w:tcW w:w="2351" w:type="dxa"/>
            <w:vAlign w:val="center"/>
          </w:tcPr>
          <w:p w14:paraId="1A9F9D69" w14:textId="77777777" w:rsidR="006D7EED" w:rsidRDefault="00E778F2">
            <w:pPr>
              <w:spacing w:line="240" w:lineRule="auto"/>
              <w:ind w:firstLine="0"/>
            </w:pPr>
            <w:r>
              <w:rPr>
                <w:sz w:val="18"/>
              </w:rPr>
              <w:t>Climatic pressure.</w:t>
            </w:r>
          </w:p>
        </w:tc>
      </w:tr>
      <w:tr w:rsidR="006D7EED" w14:paraId="64C43E45" w14:textId="77777777">
        <w:trPr>
          <w:jc w:val="center"/>
        </w:trPr>
        <w:tc>
          <w:tcPr>
            <w:tcW w:w="2351" w:type="dxa"/>
            <w:vAlign w:val="center"/>
          </w:tcPr>
          <w:p w14:paraId="1061A417" w14:textId="77777777" w:rsidR="006D7EED" w:rsidRDefault="00E778F2">
            <w:pPr>
              <w:spacing w:line="240" w:lineRule="auto"/>
              <w:ind w:firstLine="0"/>
            </w:pPr>
            <w:r>
              <w:rPr>
                <w:sz w:val="18"/>
              </w:rPr>
              <w:t>U(t)</w:t>
            </w:r>
          </w:p>
        </w:tc>
        <w:tc>
          <w:tcPr>
            <w:tcW w:w="2351" w:type="dxa"/>
            <w:vAlign w:val="center"/>
          </w:tcPr>
          <w:p w14:paraId="0CE0B770" w14:textId="77777777" w:rsidR="006D7EED" w:rsidRDefault="00E778F2">
            <w:pPr>
              <w:spacing w:line="240" w:lineRule="auto"/>
              <w:ind w:firstLine="0"/>
            </w:pPr>
            <w:r>
              <w:rPr>
                <w:sz w:val="18"/>
              </w:rPr>
              <w:t>Land use or conversion</w:t>
            </w:r>
          </w:p>
        </w:tc>
        <w:tc>
          <w:tcPr>
            <w:tcW w:w="2351" w:type="dxa"/>
            <w:vAlign w:val="center"/>
          </w:tcPr>
          <w:p w14:paraId="23E9F631" w14:textId="77777777" w:rsidR="006D7EED" w:rsidRDefault="00E778F2">
            <w:pPr>
              <w:spacing w:line="240" w:lineRule="auto"/>
              <w:ind w:firstLine="0"/>
            </w:pPr>
            <w:r>
              <w:rPr>
                <w:sz w:val="18"/>
              </w:rPr>
              <w:t>[0,1]</w:t>
            </w:r>
          </w:p>
        </w:tc>
        <w:tc>
          <w:tcPr>
            <w:tcW w:w="2351" w:type="dxa"/>
            <w:vAlign w:val="center"/>
          </w:tcPr>
          <w:p w14:paraId="6196799C" w14:textId="77777777" w:rsidR="006D7EED" w:rsidRDefault="00E778F2">
            <w:pPr>
              <w:spacing w:line="240" w:lineRule="auto"/>
              <w:ind w:firstLine="0"/>
            </w:pPr>
            <w:r>
              <w:rPr>
                <w:sz w:val="18"/>
              </w:rPr>
              <w:t>Territorial pressure.</w:t>
            </w:r>
          </w:p>
        </w:tc>
      </w:tr>
      <w:tr w:rsidR="006D7EED" w14:paraId="7E9BA1D9" w14:textId="77777777">
        <w:trPr>
          <w:jc w:val="center"/>
        </w:trPr>
        <w:tc>
          <w:tcPr>
            <w:tcW w:w="2351" w:type="dxa"/>
            <w:vAlign w:val="center"/>
          </w:tcPr>
          <w:p w14:paraId="5795CCC9" w14:textId="77777777" w:rsidR="006D7EED" w:rsidRDefault="00E778F2">
            <w:pPr>
              <w:spacing w:line="240" w:lineRule="auto"/>
              <w:ind w:firstLine="0"/>
            </w:pPr>
            <w:r>
              <w:rPr>
                <w:sz w:val="18"/>
              </w:rPr>
              <w:lastRenderedPageBreak/>
              <w:t>T(t)</w:t>
            </w:r>
          </w:p>
        </w:tc>
        <w:tc>
          <w:tcPr>
            <w:tcW w:w="2351" w:type="dxa"/>
            <w:vAlign w:val="center"/>
          </w:tcPr>
          <w:p w14:paraId="28DE0E31" w14:textId="77777777" w:rsidR="006D7EED" w:rsidRDefault="00E778F2">
            <w:pPr>
              <w:spacing w:line="240" w:lineRule="auto"/>
              <w:ind w:firstLine="0"/>
            </w:pPr>
            <w:r>
              <w:rPr>
                <w:sz w:val="18"/>
              </w:rPr>
              <w:t>Effective technology</w:t>
            </w:r>
          </w:p>
        </w:tc>
        <w:tc>
          <w:tcPr>
            <w:tcW w:w="2351" w:type="dxa"/>
            <w:vAlign w:val="center"/>
          </w:tcPr>
          <w:p w14:paraId="69D3391A" w14:textId="77777777" w:rsidR="006D7EED" w:rsidRDefault="00E778F2">
            <w:pPr>
              <w:spacing w:line="240" w:lineRule="auto"/>
              <w:ind w:firstLine="0"/>
            </w:pPr>
            <w:r>
              <w:rPr>
                <w:sz w:val="18"/>
              </w:rPr>
              <w:t>[0,1]</w:t>
            </w:r>
          </w:p>
        </w:tc>
        <w:tc>
          <w:tcPr>
            <w:tcW w:w="2351" w:type="dxa"/>
            <w:vAlign w:val="center"/>
          </w:tcPr>
          <w:p w14:paraId="67428956" w14:textId="77777777" w:rsidR="006D7EED" w:rsidRDefault="00E778F2">
            <w:pPr>
              <w:spacing w:line="240" w:lineRule="auto"/>
              <w:ind w:firstLine="0"/>
            </w:pPr>
            <w:r>
              <w:rPr>
                <w:sz w:val="18"/>
              </w:rPr>
              <w:t>Mitigation and adaptation.</w:t>
            </w:r>
          </w:p>
        </w:tc>
      </w:tr>
      <w:tr w:rsidR="006D7EED" w14:paraId="76183F41" w14:textId="77777777">
        <w:trPr>
          <w:jc w:val="center"/>
        </w:trPr>
        <w:tc>
          <w:tcPr>
            <w:tcW w:w="2351" w:type="dxa"/>
            <w:vAlign w:val="center"/>
          </w:tcPr>
          <w:p w14:paraId="339CFA78" w14:textId="77777777" w:rsidR="006D7EED" w:rsidRDefault="00E778F2">
            <w:pPr>
              <w:spacing w:line="240" w:lineRule="auto"/>
              <w:ind w:firstLine="0"/>
            </w:pPr>
            <w:r>
              <w:rPr>
                <w:sz w:val="18"/>
              </w:rPr>
              <w:t>G(t)</w:t>
            </w:r>
          </w:p>
        </w:tc>
        <w:tc>
          <w:tcPr>
            <w:tcW w:w="2351" w:type="dxa"/>
            <w:vAlign w:val="center"/>
          </w:tcPr>
          <w:p w14:paraId="28419228" w14:textId="77777777" w:rsidR="006D7EED" w:rsidRDefault="00E778F2">
            <w:pPr>
              <w:spacing w:line="240" w:lineRule="auto"/>
              <w:ind w:firstLine="0"/>
            </w:pPr>
            <w:r>
              <w:rPr>
                <w:sz w:val="18"/>
              </w:rPr>
              <w:t>Governance and coordination</w:t>
            </w:r>
          </w:p>
        </w:tc>
        <w:tc>
          <w:tcPr>
            <w:tcW w:w="2351" w:type="dxa"/>
            <w:vAlign w:val="center"/>
          </w:tcPr>
          <w:p w14:paraId="7690C3B9" w14:textId="77777777" w:rsidR="006D7EED" w:rsidRDefault="00E778F2">
            <w:pPr>
              <w:spacing w:line="240" w:lineRule="auto"/>
              <w:ind w:firstLine="0"/>
            </w:pPr>
            <w:r>
              <w:rPr>
                <w:sz w:val="18"/>
              </w:rPr>
              <w:t>[0,1]</w:t>
            </w:r>
          </w:p>
        </w:tc>
        <w:tc>
          <w:tcPr>
            <w:tcW w:w="2351" w:type="dxa"/>
            <w:vAlign w:val="center"/>
          </w:tcPr>
          <w:p w14:paraId="2AB17D14" w14:textId="77777777" w:rsidR="006D7EED" w:rsidRDefault="00E778F2">
            <w:pPr>
              <w:spacing w:line="240" w:lineRule="auto"/>
              <w:ind w:firstLine="0"/>
            </w:pPr>
            <w:r>
              <w:rPr>
                <w:sz w:val="18"/>
              </w:rPr>
              <w:t>Institutional capacity.</w:t>
            </w:r>
          </w:p>
        </w:tc>
      </w:tr>
      <w:tr w:rsidR="006D7EED" w14:paraId="0C8ECD4D" w14:textId="77777777">
        <w:trPr>
          <w:jc w:val="center"/>
        </w:trPr>
        <w:tc>
          <w:tcPr>
            <w:tcW w:w="2351" w:type="dxa"/>
            <w:vAlign w:val="center"/>
          </w:tcPr>
          <w:p w14:paraId="1B3F9C66" w14:textId="77777777" w:rsidR="006D7EED" w:rsidRDefault="00E778F2">
            <w:pPr>
              <w:spacing w:line="240" w:lineRule="auto"/>
              <w:ind w:firstLine="0"/>
            </w:pPr>
            <w:r>
              <w:rPr>
                <w:sz w:val="18"/>
              </w:rPr>
              <w:t>R(t)</w:t>
            </w:r>
          </w:p>
        </w:tc>
        <w:tc>
          <w:tcPr>
            <w:tcW w:w="2351" w:type="dxa"/>
            <w:vAlign w:val="center"/>
          </w:tcPr>
          <w:p w14:paraId="725FAB3A" w14:textId="77777777" w:rsidR="006D7EED" w:rsidRDefault="00E778F2">
            <w:pPr>
              <w:spacing w:line="240" w:lineRule="auto"/>
              <w:ind w:firstLine="0"/>
            </w:pPr>
            <w:r>
              <w:rPr>
                <w:sz w:val="18"/>
              </w:rPr>
              <w:t>Resilience</w:t>
            </w:r>
          </w:p>
        </w:tc>
        <w:tc>
          <w:tcPr>
            <w:tcW w:w="2351" w:type="dxa"/>
            <w:vAlign w:val="center"/>
          </w:tcPr>
          <w:p w14:paraId="5B38B66C" w14:textId="77777777" w:rsidR="006D7EED" w:rsidRDefault="00E778F2">
            <w:pPr>
              <w:spacing w:line="240" w:lineRule="auto"/>
              <w:ind w:firstLine="0"/>
            </w:pPr>
            <w:r>
              <w:rPr>
                <w:sz w:val="18"/>
              </w:rPr>
              <w:t>[0,1]</w:t>
            </w:r>
          </w:p>
        </w:tc>
        <w:tc>
          <w:tcPr>
            <w:tcW w:w="2351" w:type="dxa"/>
            <w:vAlign w:val="center"/>
          </w:tcPr>
          <w:p w14:paraId="29BB2BDF" w14:textId="77777777" w:rsidR="006D7EED" w:rsidRDefault="00E778F2">
            <w:pPr>
              <w:spacing w:line="240" w:lineRule="auto"/>
              <w:ind w:firstLine="0"/>
            </w:pPr>
            <w:r>
              <w:rPr>
                <w:sz w:val="18"/>
              </w:rPr>
              <w:t>Recovery capacity.</w:t>
            </w:r>
          </w:p>
        </w:tc>
      </w:tr>
      <w:tr w:rsidR="006D7EED" w14:paraId="04E852FD" w14:textId="77777777">
        <w:trPr>
          <w:jc w:val="center"/>
        </w:trPr>
        <w:tc>
          <w:tcPr>
            <w:tcW w:w="2351" w:type="dxa"/>
            <w:vAlign w:val="center"/>
          </w:tcPr>
          <w:p w14:paraId="5D66BACB" w14:textId="77777777" w:rsidR="006D7EED" w:rsidRDefault="00E778F2">
            <w:pPr>
              <w:spacing w:line="240" w:lineRule="auto"/>
              <w:ind w:firstLine="0"/>
            </w:pPr>
            <w:r>
              <w:rPr>
                <w:sz w:val="18"/>
              </w:rPr>
              <w:t>λ(t)</w:t>
            </w:r>
          </w:p>
        </w:tc>
        <w:tc>
          <w:tcPr>
            <w:tcW w:w="2351" w:type="dxa"/>
            <w:vAlign w:val="center"/>
          </w:tcPr>
          <w:p w14:paraId="4918E3F3" w14:textId="77777777" w:rsidR="006D7EED" w:rsidRDefault="00E778F2">
            <w:pPr>
              <w:spacing w:line="240" w:lineRule="auto"/>
              <w:ind w:firstLine="0"/>
            </w:pPr>
            <w:r>
              <w:rPr>
                <w:sz w:val="18"/>
              </w:rPr>
              <w:t>Structural entropic pressure</w:t>
            </w:r>
          </w:p>
        </w:tc>
        <w:tc>
          <w:tcPr>
            <w:tcW w:w="2351" w:type="dxa"/>
            <w:vAlign w:val="center"/>
          </w:tcPr>
          <w:p w14:paraId="5AEDB1D3" w14:textId="77777777" w:rsidR="006D7EED" w:rsidRDefault="00E778F2">
            <w:pPr>
              <w:spacing w:line="240" w:lineRule="auto"/>
              <w:ind w:firstLine="0"/>
            </w:pPr>
            <w:r>
              <w:rPr>
                <w:sz w:val="18"/>
              </w:rPr>
              <w:t>dimensionless</w:t>
            </w:r>
          </w:p>
        </w:tc>
        <w:tc>
          <w:tcPr>
            <w:tcW w:w="2351" w:type="dxa"/>
            <w:vAlign w:val="center"/>
          </w:tcPr>
          <w:p w14:paraId="6BCBCF9B" w14:textId="77777777" w:rsidR="006D7EED" w:rsidRDefault="00E778F2">
            <w:pPr>
              <w:spacing w:line="240" w:lineRule="auto"/>
              <w:ind w:firstLine="0"/>
            </w:pPr>
            <w:r>
              <w:rPr>
                <w:sz w:val="18"/>
              </w:rPr>
              <w:t>Aggregated risk index.</w:t>
            </w:r>
          </w:p>
        </w:tc>
      </w:tr>
    </w:tbl>
    <w:p w14:paraId="5FC47A1E" w14:textId="77777777" w:rsidR="006D7EED" w:rsidRDefault="006D7EED"/>
    <w:p w14:paraId="0F8DB24F" w14:textId="77777777" w:rsidR="006D7EED" w:rsidRDefault="00E778F2">
      <w:pPr>
        <w:jc w:val="both"/>
      </w:pPr>
      <w:r>
        <w:t>The population or demand dynamics can be represented by an adjusted logistic equation:</w:t>
      </w:r>
    </w:p>
    <w:p w14:paraId="49FE3945" w14:textId="77777777" w:rsidR="006D7EED" w:rsidRDefault="00E778F2">
      <w:pPr>
        <w:jc w:val="both"/>
      </w:pPr>
      <w:r>
        <w:rPr>
          <w:highlight w:val="yellow"/>
        </w:rPr>
        <w:t>dN/dt = r_N · N(t) · [1 − N(t)/K_eff(t)] − μ_N · N(t) · λ⁺(t)</w:t>
      </w:r>
    </w:p>
    <w:p w14:paraId="38E7EB3A" w14:textId="77777777" w:rsidR="006D7EED" w:rsidRDefault="00E778F2">
      <w:pPr>
        <w:jc w:val="both"/>
      </w:pPr>
      <w:r>
        <w:rPr>
          <w:highlight w:val="yellow"/>
        </w:rPr>
        <w:t>In this equation, r_N represents the net growth rate in low pressure; μ_N measures the sensitivity of population or demand to structural pressure; and λ⁺(t) represents the excess of pressure above a tolerable level. By using this formulation, I do not reduce civilizational dynamics to biological demography. N(t) can be reinterpreted as equivalent demand, that is, population weighted by per-capita material consumption.</w:t>
      </w:r>
    </w:p>
    <w:p w14:paraId="3437DDC6" w14:textId="77777777" w:rsidR="006D7EED" w:rsidRDefault="00E778F2">
      <w:pPr>
        <w:jc w:val="both"/>
      </w:pPr>
      <w:r>
        <w:t>The effective carrying capacity is defined as:</w:t>
      </w:r>
    </w:p>
    <w:p w14:paraId="5E43B644" w14:textId="77777777" w:rsidR="006D7EED" w:rsidRPr="00025DA1" w:rsidRDefault="00E778F2">
      <w:pPr>
        <w:jc w:val="both"/>
        <w:rPr>
          <w:lang w:val="fr-FR"/>
        </w:rPr>
      </w:pPr>
      <w:proofErr w:type="spellStart"/>
      <w:r w:rsidRPr="00025DA1">
        <w:rPr>
          <w:highlight w:val="yellow"/>
          <w:lang w:val="fr-FR"/>
        </w:rPr>
        <w:t>K_eff</w:t>
      </w:r>
      <w:proofErr w:type="spellEnd"/>
      <w:r w:rsidRPr="00025DA1">
        <w:rPr>
          <w:highlight w:val="yellow"/>
          <w:lang w:val="fr-FR"/>
        </w:rPr>
        <w:t xml:space="preserve">(t) = K₀ · </w:t>
      </w:r>
      <w:proofErr w:type="spellStart"/>
      <w:r w:rsidRPr="00025DA1">
        <w:rPr>
          <w:highlight w:val="yellow"/>
          <w:lang w:val="fr-FR"/>
        </w:rPr>
        <w:t>exp</w:t>
      </w:r>
      <w:proofErr w:type="spellEnd"/>
      <w:r w:rsidRPr="00025DA1">
        <w:rPr>
          <w:highlight w:val="yellow"/>
          <w:lang w:val="fr-FR"/>
        </w:rPr>
        <w:t>[−</w:t>
      </w:r>
      <w:r>
        <w:rPr>
          <w:highlight w:val="yellow"/>
        </w:rPr>
        <w:t>η</w:t>
      </w:r>
      <w:r w:rsidRPr="00025DA1">
        <w:rPr>
          <w:highlight w:val="yellow"/>
          <w:lang w:val="fr-FR"/>
        </w:rPr>
        <w:t xml:space="preserve">₅D(t) − </w:t>
      </w:r>
      <w:r>
        <w:rPr>
          <w:highlight w:val="yellow"/>
        </w:rPr>
        <w:t>η</w:t>
      </w:r>
      <w:r w:rsidRPr="00025DA1">
        <w:rPr>
          <w:highlight w:val="yellow"/>
          <w:lang w:val="fr-FR"/>
        </w:rPr>
        <w:t>₆</w:t>
      </w:r>
      <w:r>
        <w:rPr>
          <w:highlight w:val="yellow"/>
        </w:rPr>
        <w:t>Δ</w:t>
      </w:r>
      <w:r w:rsidRPr="00025DA1">
        <w:rPr>
          <w:highlight w:val="yellow"/>
          <w:lang w:val="fr-FR"/>
        </w:rPr>
        <w:t xml:space="preserve">T(t)] · [1 − </w:t>
      </w:r>
      <w:r>
        <w:rPr>
          <w:highlight w:val="yellow"/>
        </w:rPr>
        <w:t>ω</w:t>
      </w:r>
      <w:r w:rsidRPr="00025DA1">
        <w:rPr>
          <w:highlight w:val="yellow"/>
          <w:lang w:val="fr-FR"/>
        </w:rPr>
        <w:t xml:space="preserve">U(t)] · [1 + </w:t>
      </w:r>
      <w:r>
        <w:rPr>
          <w:highlight w:val="yellow"/>
        </w:rPr>
        <w:t>φ</w:t>
      </w:r>
      <w:r w:rsidRPr="00025DA1">
        <w:rPr>
          <w:highlight w:val="yellow"/>
          <w:lang w:val="fr-FR"/>
        </w:rPr>
        <w:t>T(t)G(t)]</w:t>
      </w:r>
    </w:p>
    <w:p w14:paraId="66B43787" w14:textId="77777777" w:rsidR="006D7EED" w:rsidRDefault="00E778F2">
      <w:pPr>
        <w:jc w:val="both"/>
      </w:pPr>
      <w:r>
        <w:t>This equation expresses my central thesis: carrying capacity is not fixed. It is reduced by degradation, warming and territorial conversion, but can be partially recomposed by effective technology when there is sufficient governance. The multiplication T(t)G(t) is deliberate. It prevents technology from being treated as an automatic solution. Technology without institutional coordination can produce localized gains, inequality, displacement of harm or rebound effects.</w:t>
      </w:r>
    </w:p>
    <w:p w14:paraId="2AC3144E" w14:textId="77777777" w:rsidR="006D7EED" w:rsidRDefault="00E778F2">
      <w:pPr>
        <w:jc w:val="both"/>
      </w:pPr>
      <w:r>
        <w:t>Composite environmental degradation can be represented by:</w:t>
      </w:r>
    </w:p>
    <w:p w14:paraId="18EEBB25" w14:textId="77777777" w:rsidR="006D7EED" w:rsidRPr="00025DA1" w:rsidRDefault="00E778F2">
      <w:pPr>
        <w:jc w:val="both"/>
        <w:rPr>
          <w:lang w:val="fr-FR"/>
        </w:rPr>
      </w:pPr>
      <w:proofErr w:type="spellStart"/>
      <w:proofErr w:type="gramStart"/>
      <w:r w:rsidRPr="00025DA1">
        <w:rPr>
          <w:highlight w:val="yellow"/>
          <w:lang w:val="fr-FR"/>
        </w:rPr>
        <w:t>dD</w:t>
      </w:r>
      <w:proofErr w:type="spellEnd"/>
      <w:proofErr w:type="gramEnd"/>
      <w:r w:rsidRPr="00025DA1">
        <w:rPr>
          <w:highlight w:val="yellow"/>
          <w:lang w:val="fr-FR"/>
        </w:rPr>
        <w:t>/</w:t>
      </w:r>
      <w:proofErr w:type="spellStart"/>
      <w:r w:rsidRPr="00025DA1">
        <w:rPr>
          <w:highlight w:val="yellow"/>
          <w:lang w:val="fr-FR"/>
        </w:rPr>
        <w:t>dt</w:t>
      </w:r>
      <w:proofErr w:type="spellEnd"/>
      <w:r w:rsidRPr="00025DA1">
        <w:rPr>
          <w:highlight w:val="yellow"/>
          <w:lang w:val="fr-FR"/>
        </w:rPr>
        <w:t xml:space="preserve"> = </w:t>
      </w:r>
      <w:r>
        <w:rPr>
          <w:highlight w:val="yellow"/>
        </w:rPr>
        <w:t>α</w:t>
      </w:r>
      <w:r w:rsidRPr="00025DA1">
        <w:rPr>
          <w:highlight w:val="yellow"/>
          <w:lang w:val="fr-FR"/>
        </w:rPr>
        <w:t xml:space="preserve">₁ · C(t) + </w:t>
      </w:r>
      <w:r>
        <w:rPr>
          <w:highlight w:val="yellow"/>
        </w:rPr>
        <w:t>α</w:t>
      </w:r>
      <w:r w:rsidRPr="00025DA1">
        <w:rPr>
          <w:highlight w:val="yellow"/>
          <w:lang w:val="fr-FR"/>
        </w:rPr>
        <w:t xml:space="preserve">₂ · U(t) + </w:t>
      </w:r>
      <w:r>
        <w:rPr>
          <w:highlight w:val="yellow"/>
        </w:rPr>
        <w:t>α</w:t>
      </w:r>
      <w:r w:rsidRPr="00025DA1">
        <w:rPr>
          <w:highlight w:val="yellow"/>
          <w:lang w:val="fr-FR"/>
        </w:rPr>
        <w:t xml:space="preserve">₃ · P(t) − </w:t>
      </w:r>
      <w:r>
        <w:rPr>
          <w:highlight w:val="yellow"/>
        </w:rPr>
        <w:t>β</w:t>
      </w:r>
      <w:r w:rsidRPr="00025DA1">
        <w:rPr>
          <w:highlight w:val="yellow"/>
          <w:lang w:val="fr-FR"/>
        </w:rPr>
        <w:t>_D · T(t)G(t)D(t)</w:t>
      </w:r>
    </w:p>
    <w:p w14:paraId="198E46DF" w14:textId="77777777" w:rsidR="006D7EED" w:rsidRDefault="00E778F2">
      <w:pPr>
        <w:jc w:val="both"/>
      </w:pPr>
      <w:r>
        <w:rPr>
          <w:highlight w:val="yellow"/>
        </w:rPr>
        <w:t>In this formulation, C(t) represents climatic pressure or emissions, U(t) represents land use, P(t) represents pollution or aggregated material pressure, and β_D represents effective mitigation capacity. Degradation increases with material pressures and decreases when technology and governance operate jointly.</w:t>
      </w:r>
    </w:p>
    <w:p w14:paraId="024196FB" w14:textId="77777777" w:rsidR="006D7EED" w:rsidRDefault="00E778F2">
      <w:pPr>
        <w:jc w:val="both"/>
      </w:pPr>
      <w:r>
        <w:t>Systemic resilience is defined by:</w:t>
      </w:r>
    </w:p>
    <w:p w14:paraId="2949D6FA" w14:textId="77777777" w:rsidR="006D7EED" w:rsidRPr="00025DA1" w:rsidRDefault="00E778F2">
      <w:pPr>
        <w:jc w:val="both"/>
        <w:rPr>
          <w:lang w:val="fr-FR"/>
        </w:rPr>
      </w:pPr>
      <w:proofErr w:type="spellStart"/>
      <w:proofErr w:type="gramStart"/>
      <w:r w:rsidRPr="00025DA1">
        <w:rPr>
          <w:lang w:val="fr-FR"/>
        </w:rPr>
        <w:t>dR</w:t>
      </w:r>
      <w:proofErr w:type="spellEnd"/>
      <w:proofErr w:type="gramEnd"/>
      <w:r w:rsidRPr="00025DA1">
        <w:rPr>
          <w:lang w:val="fr-FR"/>
        </w:rPr>
        <w:t>/</w:t>
      </w:r>
      <w:proofErr w:type="spellStart"/>
      <w:r w:rsidRPr="00025DA1">
        <w:rPr>
          <w:lang w:val="fr-FR"/>
        </w:rPr>
        <w:t>dt</w:t>
      </w:r>
      <w:proofErr w:type="spellEnd"/>
      <w:r w:rsidRPr="00025DA1">
        <w:rPr>
          <w:lang w:val="fr-FR"/>
        </w:rPr>
        <w:t xml:space="preserve"> = </w:t>
      </w:r>
      <w:r>
        <w:t>ρ</w:t>
      </w:r>
      <w:r w:rsidRPr="00025DA1">
        <w:rPr>
          <w:lang w:val="fr-FR"/>
        </w:rPr>
        <w:t xml:space="preserve">_G · G(t) · [1 − R(t)] − </w:t>
      </w:r>
      <w:r>
        <w:t>ρ</w:t>
      </w:r>
      <w:r w:rsidRPr="00025DA1">
        <w:rPr>
          <w:lang w:val="fr-FR"/>
        </w:rPr>
        <w:t xml:space="preserve">_D · D(t)R(t) − </w:t>
      </w:r>
      <w:r>
        <w:t>ρ</w:t>
      </w:r>
      <w:r w:rsidRPr="00025DA1">
        <w:rPr>
          <w:lang w:val="fr-FR"/>
        </w:rPr>
        <w:t>_</w:t>
      </w:r>
      <w:r>
        <w:t>λ</w:t>
      </w:r>
      <w:r w:rsidRPr="00025DA1">
        <w:rPr>
          <w:lang w:val="fr-FR"/>
        </w:rPr>
        <w:t xml:space="preserve"> · </w:t>
      </w:r>
      <w:r>
        <w:t>λ</w:t>
      </w:r>
      <w:r w:rsidRPr="00025DA1">
        <w:rPr>
          <w:lang w:val="fr-FR"/>
        </w:rPr>
        <w:t>(t)R(t)</w:t>
      </w:r>
    </w:p>
    <w:p w14:paraId="10C90CB7" w14:textId="77777777" w:rsidR="006D7EED" w:rsidRDefault="00E778F2">
      <w:pPr>
        <w:jc w:val="both"/>
      </w:pPr>
      <w:r>
        <w:lastRenderedPageBreak/>
        <w:t>With this equation, I state that resilience can be rebuilt, but not for free. It grows when there is governance capable of recomposing functions and decreases when degradation and entropic pressure become persistent.</w:t>
      </w:r>
    </w:p>
    <w:p w14:paraId="0BF9956F" w14:textId="77777777" w:rsidR="006D7EED" w:rsidRDefault="00E778F2">
      <w:pPr>
        <w:jc w:val="both"/>
      </w:pPr>
      <w:r>
        <w:t>Finally, I define structural entropic pressure as:</w:t>
      </w:r>
    </w:p>
    <w:p w14:paraId="00E68BB6" w14:textId="77777777" w:rsidR="006D7EED" w:rsidRPr="00025DA1" w:rsidRDefault="00E778F2">
      <w:pPr>
        <w:jc w:val="both"/>
        <w:rPr>
          <w:lang w:val="fr-FR"/>
        </w:rPr>
      </w:pPr>
      <w:r>
        <w:rPr>
          <w:highlight w:val="yellow"/>
        </w:rPr>
        <w:t>λ</w:t>
      </w:r>
      <w:r w:rsidRPr="00025DA1">
        <w:rPr>
          <w:highlight w:val="yellow"/>
          <w:lang w:val="fr-FR"/>
        </w:rPr>
        <w:t>(t) = w₁ · N(t)/</w:t>
      </w:r>
      <w:proofErr w:type="spellStart"/>
      <w:r w:rsidRPr="00025DA1">
        <w:rPr>
          <w:highlight w:val="yellow"/>
          <w:lang w:val="fr-FR"/>
        </w:rPr>
        <w:t>K_eff</w:t>
      </w:r>
      <w:proofErr w:type="spellEnd"/>
      <w:r w:rsidRPr="00025DA1">
        <w:rPr>
          <w:highlight w:val="yellow"/>
          <w:lang w:val="fr-FR"/>
        </w:rPr>
        <w:t xml:space="preserve">(t) + w₂ · D(t) + w₃ · </w:t>
      </w:r>
      <w:r>
        <w:rPr>
          <w:highlight w:val="yellow"/>
        </w:rPr>
        <w:t>Δ</w:t>
      </w:r>
      <w:proofErr w:type="spellStart"/>
      <w:r w:rsidRPr="00025DA1">
        <w:rPr>
          <w:highlight w:val="yellow"/>
          <w:lang w:val="fr-FR"/>
        </w:rPr>
        <w:t>T_norm</w:t>
      </w:r>
      <w:proofErr w:type="spellEnd"/>
      <w:r w:rsidRPr="00025DA1">
        <w:rPr>
          <w:highlight w:val="yellow"/>
          <w:lang w:val="fr-FR"/>
        </w:rPr>
        <w:t>(t) + w₄ · U(t) + w₅ · I(t) − w₆ · T(t)G(t) − w₇ · R(t)</w:t>
      </w:r>
    </w:p>
    <w:p w14:paraId="278A6410" w14:textId="77777777" w:rsidR="006D7EED" w:rsidRDefault="00E778F2">
      <w:pPr>
        <w:jc w:val="both"/>
      </w:pPr>
      <w:r>
        <w:rPr>
          <w:highlight w:val="yellow"/>
        </w:rPr>
        <w:t>The variable I(t) represents inequality, social fragmentation or institutional fragility when empirical basis is available. The weights wᵢ should be positive, normalized and justified by calibration, statistical analysis, literature or transparent expert elicitation.</w:t>
      </w:r>
    </w:p>
    <w:p w14:paraId="032D9455" w14:textId="41B3BA9F" w:rsidR="006D7EED" w:rsidRDefault="008F5846">
      <w:pPr>
        <w:pStyle w:val="Ttulo1"/>
      </w:pPr>
      <w:r>
        <w:t>VI- Critical events and threshold interpretation</w:t>
      </w:r>
    </w:p>
    <w:p w14:paraId="06A029AE" w14:textId="77777777" w:rsidR="006D7EED" w:rsidRDefault="00E778F2">
      <w:pPr>
        <w:jc w:val="both"/>
      </w:pPr>
      <w:r>
        <w:t>To avoid imprecise language in practical and technical understanding given the epistemological vision of the study as an independent scientific endeavor, I define critical events by formal rules. The first event, τ₁, occurs when demand exceeds effective carrying capacity. The second, τ₂, occurs when structural entropic pressure exceeds the critical threshold for sufficient time. The third, τ₃, is reserved for sociocultural hypotheses of generational saturation and should not be confused with official demogr</w:t>
      </w:r>
      <w:r>
        <w:t>aphic projection.</w:t>
      </w:r>
    </w:p>
    <w:tbl>
      <w:tblPr>
        <w:tblStyle w:val="Tabelacomgrade"/>
        <w:tblW w:w="0" w:type="auto"/>
        <w:jc w:val="center"/>
        <w:tblLook w:val="04A0" w:firstRow="1" w:lastRow="0" w:firstColumn="1" w:lastColumn="0" w:noHBand="0" w:noVBand="1"/>
      </w:tblPr>
      <w:tblGrid>
        <w:gridCol w:w="3131"/>
        <w:gridCol w:w="3132"/>
        <w:gridCol w:w="3132"/>
      </w:tblGrid>
      <w:tr w:rsidR="006D7EED" w14:paraId="3F305317" w14:textId="77777777">
        <w:trPr>
          <w:jc w:val="center"/>
        </w:trPr>
        <w:tc>
          <w:tcPr>
            <w:tcW w:w="3135" w:type="dxa"/>
            <w:shd w:val="clear" w:color="auto" w:fill="D9EAF7"/>
            <w:vAlign w:val="center"/>
          </w:tcPr>
          <w:p w14:paraId="496BBB29" w14:textId="77777777" w:rsidR="006D7EED" w:rsidRDefault="00E778F2">
            <w:pPr>
              <w:spacing w:line="240" w:lineRule="auto"/>
              <w:ind w:firstLine="0"/>
            </w:pPr>
            <w:r>
              <w:rPr>
                <w:b/>
                <w:sz w:val="18"/>
              </w:rPr>
              <w:t>Event</w:t>
            </w:r>
          </w:p>
        </w:tc>
        <w:tc>
          <w:tcPr>
            <w:tcW w:w="3135" w:type="dxa"/>
            <w:shd w:val="clear" w:color="auto" w:fill="D9EAF7"/>
            <w:vAlign w:val="center"/>
          </w:tcPr>
          <w:p w14:paraId="44F7FCE6" w14:textId="77777777" w:rsidR="006D7EED" w:rsidRDefault="00E778F2">
            <w:pPr>
              <w:spacing w:line="240" w:lineRule="auto"/>
              <w:ind w:firstLine="0"/>
            </w:pPr>
            <w:r>
              <w:rPr>
                <w:b/>
                <w:sz w:val="18"/>
              </w:rPr>
              <w:t>Formal definition</w:t>
            </w:r>
          </w:p>
        </w:tc>
        <w:tc>
          <w:tcPr>
            <w:tcW w:w="3135" w:type="dxa"/>
            <w:shd w:val="clear" w:color="auto" w:fill="D9EAF7"/>
            <w:vAlign w:val="center"/>
          </w:tcPr>
          <w:p w14:paraId="78ADD0CD" w14:textId="77777777" w:rsidR="006D7EED" w:rsidRDefault="00E778F2">
            <w:pPr>
              <w:spacing w:line="240" w:lineRule="auto"/>
              <w:ind w:firstLine="0"/>
            </w:pPr>
            <w:r>
              <w:rPr>
                <w:b/>
                <w:sz w:val="18"/>
              </w:rPr>
              <w:t>Interpretation</w:t>
            </w:r>
          </w:p>
        </w:tc>
      </w:tr>
      <w:tr w:rsidR="006D7EED" w14:paraId="680ACFA1" w14:textId="77777777">
        <w:trPr>
          <w:jc w:val="center"/>
        </w:trPr>
        <w:tc>
          <w:tcPr>
            <w:tcW w:w="3135" w:type="dxa"/>
            <w:vAlign w:val="center"/>
          </w:tcPr>
          <w:p w14:paraId="3BF074B2" w14:textId="77777777" w:rsidR="006D7EED" w:rsidRDefault="00E778F2">
            <w:pPr>
              <w:spacing w:line="240" w:lineRule="auto"/>
              <w:ind w:firstLine="0"/>
            </w:pPr>
            <w:r>
              <w:rPr>
                <w:sz w:val="18"/>
              </w:rPr>
              <w:t>τ₁</w:t>
            </w:r>
          </w:p>
        </w:tc>
        <w:tc>
          <w:tcPr>
            <w:tcW w:w="3135" w:type="dxa"/>
            <w:vAlign w:val="center"/>
          </w:tcPr>
          <w:p w14:paraId="12B99441" w14:textId="77777777" w:rsidR="006D7EED" w:rsidRPr="00025DA1" w:rsidRDefault="00E778F2">
            <w:pPr>
              <w:spacing w:line="240" w:lineRule="auto"/>
              <w:ind w:firstLine="0"/>
              <w:rPr>
                <w:lang w:val="fr-FR"/>
              </w:rPr>
            </w:pPr>
            <w:proofErr w:type="gramStart"/>
            <w:r w:rsidRPr="00025DA1">
              <w:rPr>
                <w:sz w:val="18"/>
                <w:lang w:val="fr-FR"/>
              </w:rPr>
              <w:t>min{</w:t>
            </w:r>
            <w:proofErr w:type="gramEnd"/>
            <w:r w:rsidRPr="00025DA1">
              <w:rPr>
                <w:sz w:val="18"/>
                <w:lang w:val="fr-FR"/>
              </w:rPr>
              <w:t xml:space="preserve">t : N(t) ≥ </w:t>
            </w:r>
            <w:proofErr w:type="spellStart"/>
            <w:r w:rsidRPr="00025DA1">
              <w:rPr>
                <w:sz w:val="18"/>
                <w:lang w:val="fr-FR"/>
              </w:rPr>
              <w:t>K_eff</w:t>
            </w:r>
            <w:proofErr w:type="spellEnd"/>
            <w:r w:rsidRPr="00025DA1">
              <w:rPr>
                <w:sz w:val="18"/>
                <w:lang w:val="fr-FR"/>
              </w:rPr>
              <w:t>(t)}</w:t>
            </w:r>
          </w:p>
        </w:tc>
        <w:tc>
          <w:tcPr>
            <w:tcW w:w="3135" w:type="dxa"/>
            <w:vAlign w:val="center"/>
          </w:tcPr>
          <w:p w14:paraId="74792EF1" w14:textId="77777777" w:rsidR="006D7EED" w:rsidRDefault="00E778F2">
            <w:pPr>
              <w:spacing w:line="240" w:lineRule="auto"/>
              <w:ind w:firstLine="0"/>
            </w:pPr>
            <w:r>
              <w:rPr>
                <w:sz w:val="18"/>
              </w:rPr>
              <w:t>First overshoot of demand over capacity.</w:t>
            </w:r>
          </w:p>
        </w:tc>
      </w:tr>
      <w:tr w:rsidR="006D7EED" w14:paraId="706FA7F8" w14:textId="77777777">
        <w:trPr>
          <w:jc w:val="center"/>
        </w:trPr>
        <w:tc>
          <w:tcPr>
            <w:tcW w:w="3135" w:type="dxa"/>
            <w:vAlign w:val="center"/>
          </w:tcPr>
          <w:p w14:paraId="01CC4BE7" w14:textId="77777777" w:rsidR="006D7EED" w:rsidRDefault="00E778F2">
            <w:pPr>
              <w:spacing w:line="240" w:lineRule="auto"/>
              <w:ind w:firstLine="0"/>
            </w:pPr>
            <w:r>
              <w:rPr>
                <w:sz w:val="18"/>
              </w:rPr>
              <w:t>τ₂</w:t>
            </w:r>
          </w:p>
        </w:tc>
        <w:tc>
          <w:tcPr>
            <w:tcW w:w="3135" w:type="dxa"/>
            <w:vAlign w:val="center"/>
          </w:tcPr>
          <w:p w14:paraId="15888C6D" w14:textId="77777777" w:rsidR="006D7EED" w:rsidRDefault="00E778F2">
            <w:pPr>
              <w:spacing w:line="240" w:lineRule="auto"/>
              <w:ind w:firstLine="0"/>
            </w:pPr>
            <w:r>
              <w:rPr>
                <w:sz w:val="18"/>
              </w:rPr>
              <w:t>min{t : λ(t) ≥ λ_crit for τ_p consecutive years}</w:t>
            </w:r>
          </w:p>
        </w:tc>
        <w:tc>
          <w:tcPr>
            <w:tcW w:w="3135" w:type="dxa"/>
            <w:vAlign w:val="center"/>
          </w:tcPr>
          <w:p w14:paraId="327FEB39" w14:textId="77777777" w:rsidR="006D7EED" w:rsidRDefault="00E778F2">
            <w:pPr>
              <w:spacing w:line="240" w:lineRule="auto"/>
              <w:ind w:firstLine="0"/>
            </w:pPr>
            <w:r>
              <w:rPr>
                <w:sz w:val="18"/>
              </w:rPr>
              <w:t>Persistent structural instability.</w:t>
            </w:r>
          </w:p>
        </w:tc>
      </w:tr>
      <w:tr w:rsidR="006D7EED" w14:paraId="101783FD" w14:textId="77777777">
        <w:trPr>
          <w:jc w:val="center"/>
        </w:trPr>
        <w:tc>
          <w:tcPr>
            <w:tcW w:w="3135" w:type="dxa"/>
            <w:vAlign w:val="center"/>
          </w:tcPr>
          <w:p w14:paraId="068BD321" w14:textId="77777777" w:rsidR="006D7EED" w:rsidRDefault="00E778F2">
            <w:pPr>
              <w:spacing w:line="240" w:lineRule="auto"/>
              <w:ind w:firstLine="0"/>
            </w:pPr>
            <w:r>
              <w:rPr>
                <w:sz w:val="18"/>
              </w:rPr>
              <w:t>τ₃</w:t>
            </w:r>
          </w:p>
        </w:tc>
        <w:tc>
          <w:tcPr>
            <w:tcW w:w="3135" w:type="dxa"/>
            <w:vAlign w:val="center"/>
          </w:tcPr>
          <w:p w14:paraId="3D2F3A2F" w14:textId="77777777" w:rsidR="006D7EED" w:rsidRDefault="00E778F2">
            <w:pPr>
              <w:spacing w:line="240" w:lineRule="auto"/>
              <w:ind w:firstLine="0"/>
            </w:pPr>
            <w:r>
              <w:rPr>
                <w:sz w:val="18"/>
              </w:rPr>
              <w:t>Sociocultural milestone defined by scenario</w:t>
            </w:r>
          </w:p>
        </w:tc>
        <w:tc>
          <w:tcPr>
            <w:tcW w:w="3135" w:type="dxa"/>
            <w:vAlign w:val="center"/>
          </w:tcPr>
          <w:p w14:paraId="57D7E275" w14:textId="77777777" w:rsidR="006D7EED" w:rsidRDefault="00E778F2">
            <w:pPr>
              <w:spacing w:line="240" w:lineRule="auto"/>
              <w:ind w:firstLine="0"/>
            </w:pPr>
            <w:r>
              <w:rPr>
                <w:sz w:val="18"/>
              </w:rPr>
              <w:t>Generational or cultural saturation (exploratory).</w:t>
            </w:r>
          </w:p>
        </w:tc>
      </w:tr>
      <w:tr w:rsidR="006D7EED" w14:paraId="51A0EA0D" w14:textId="77777777">
        <w:trPr>
          <w:jc w:val="center"/>
        </w:trPr>
        <w:tc>
          <w:tcPr>
            <w:tcW w:w="3135" w:type="dxa"/>
            <w:vAlign w:val="center"/>
          </w:tcPr>
          <w:p w14:paraId="712F4072" w14:textId="77777777" w:rsidR="006D7EED" w:rsidRDefault="00E778F2">
            <w:pPr>
              <w:spacing w:line="240" w:lineRule="auto"/>
              <w:ind w:firstLine="0"/>
            </w:pPr>
            <w:r>
              <w:rPr>
                <w:sz w:val="18"/>
              </w:rPr>
              <w:t>Recovery</w:t>
            </w:r>
          </w:p>
        </w:tc>
        <w:tc>
          <w:tcPr>
            <w:tcW w:w="3135" w:type="dxa"/>
            <w:vAlign w:val="center"/>
          </w:tcPr>
          <w:p w14:paraId="3CC856D1" w14:textId="77777777" w:rsidR="006D7EED" w:rsidRDefault="00E778F2">
            <w:pPr>
              <w:spacing w:line="240" w:lineRule="auto"/>
              <w:ind w:firstLine="0"/>
            </w:pPr>
            <w:r>
              <w:rPr>
                <w:sz w:val="18"/>
              </w:rPr>
              <w:t>λ(t) &lt; λ_crit for τ_r consecutive years</w:t>
            </w:r>
          </w:p>
        </w:tc>
        <w:tc>
          <w:tcPr>
            <w:tcW w:w="3135" w:type="dxa"/>
            <w:vAlign w:val="center"/>
          </w:tcPr>
          <w:p w14:paraId="6CB75E13" w14:textId="77777777" w:rsidR="006D7EED" w:rsidRDefault="00E778F2">
            <w:pPr>
              <w:spacing w:line="240" w:lineRule="auto"/>
              <w:ind w:firstLine="0"/>
            </w:pPr>
            <w:r>
              <w:rPr>
                <w:sz w:val="18"/>
              </w:rPr>
              <w:t>Exit from the critical regime.</w:t>
            </w:r>
          </w:p>
        </w:tc>
      </w:tr>
      <w:tr w:rsidR="006D7EED" w14:paraId="4454AA75" w14:textId="77777777">
        <w:trPr>
          <w:jc w:val="center"/>
        </w:trPr>
        <w:tc>
          <w:tcPr>
            <w:tcW w:w="3135" w:type="dxa"/>
            <w:vAlign w:val="center"/>
          </w:tcPr>
          <w:p w14:paraId="253FC4F9" w14:textId="77777777" w:rsidR="006D7EED" w:rsidRDefault="00E778F2">
            <w:pPr>
              <w:spacing w:line="240" w:lineRule="auto"/>
              <w:ind w:firstLine="0"/>
            </w:pPr>
            <w:r>
              <w:rPr>
                <w:sz w:val="18"/>
                <w:highlight w:val="yellow"/>
              </w:rPr>
              <w:t>Fragmentation</w:t>
            </w:r>
          </w:p>
        </w:tc>
        <w:tc>
          <w:tcPr>
            <w:tcW w:w="3135" w:type="dxa"/>
            <w:vAlign w:val="center"/>
          </w:tcPr>
          <w:p w14:paraId="1A744C8A" w14:textId="77777777" w:rsidR="006D7EED" w:rsidRPr="00025DA1" w:rsidRDefault="00E778F2">
            <w:pPr>
              <w:spacing w:line="240" w:lineRule="auto"/>
              <w:ind w:firstLine="0"/>
              <w:rPr>
                <w:lang w:val="fr-FR"/>
              </w:rPr>
            </w:pPr>
            <w:r w:rsidRPr="00025DA1">
              <w:rPr>
                <w:sz w:val="18"/>
                <w:highlight w:val="yellow"/>
                <w:lang w:val="fr-FR"/>
              </w:rPr>
              <w:t xml:space="preserve">R(t) &lt; R_min and G(t) &lt; </w:t>
            </w:r>
            <w:proofErr w:type="spellStart"/>
            <w:r w:rsidRPr="00025DA1">
              <w:rPr>
                <w:sz w:val="18"/>
                <w:highlight w:val="yellow"/>
                <w:lang w:val="fr-FR"/>
              </w:rPr>
              <w:t>G_min</w:t>
            </w:r>
            <w:proofErr w:type="spellEnd"/>
          </w:p>
        </w:tc>
        <w:tc>
          <w:tcPr>
            <w:tcW w:w="3135" w:type="dxa"/>
            <w:vAlign w:val="center"/>
          </w:tcPr>
          <w:p w14:paraId="7AA919EE" w14:textId="77777777" w:rsidR="006D7EED" w:rsidRDefault="00E778F2">
            <w:pPr>
              <w:spacing w:line="240" w:lineRule="auto"/>
              <w:ind w:firstLine="0"/>
            </w:pPr>
            <w:r>
              <w:rPr>
                <w:sz w:val="18"/>
                <w:highlight w:val="yellow"/>
              </w:rPr>
              <w:t>Loss of coordination and recomposition.</w:t>
            </w:r>
          </w:p>
        </w:tc>
      </w:tr>
    </w:tbl>
    <w:p w14:paraId="7F1C3306" w14:textId="77777777" w:rsidR="006D7EED" w:rsidRDefault="006D7EED"/>
    <w:p w14:paraId="77DE7C4A" w14:textId="77777777" w:rsidR="006D7EED" w:rsidRDefault="00E778F2">
      <w:pPr>
        <w:jc w:val="both"/>
      </w:pPr>
      <w:r>
        <w:t>Temporal persistence is indispensable. A complex system can go through transient crises without changing regime. Therefore, I do not consider a pointwise exceedance of λ_crit as sufficient evidence of fragmentation. I require that the exceedance persists for a window τ_p, which can be defined according to the temporal scale of the phenomenon.</w:t>
      </w:r>
    </w:p>
    <w:p w14:paraId="2D5320B0" w14:textId="407B35D2" w:rsidR="006D7EED" w:rsidRDefault="008F5846">
      <w:pPr>
        <w:pStyle w:val="Ttulo1"/>
      </w:pPr>
      <w:r>
        <w:lastRenderedPageBreak/>
        <w:t>VII- Layer II: empirical calibration</w:t>
      </w:r>
    </w:p>
    <w:p w14:paraId="6919D8E0" w14:textId="77777777" w:rsidR="006D7EED" w:rsidRDefault="00E778F2">
      <w:pPr>
        <w:jc w:val="both"/>
      </w:pPr>
      <w:r>
        <w:t>The second layer transforms the proposal into a scientific instrument. For this, each variable needs to be connected to data. I argue that the initial calibration should be done with recognized, even if incomplete, sources, because empirical traceability is a condition for the model to be taken seriously.</w:t>
      </w:r>
    </w:p>
    <w:tbl>
      <w:tblPr>
        <w:tblStyle w:val="Tabelacomgrade"/>
        <w:tblW w:w="0" w:type="auto"/>
        <w:jc w:val="center"/>
        <w:tblLook w:val="04A0" w:firstRow="1" w:lastRow="0" w:firstColumn="1" w:lastColumn="0" w:noHBand="0" w:noVBand="1"/>
      </w:tblPr>
      <w:tblGrid>
        <w:gridCol w:w="3131"/>
        <w:gridCol w:w="3132"/>
        <w:gridCol w:w="3132"/>
      </w:tblGrid>
      <w:tr w:rsidR="006D7EED" w14:paraId="49E412BC" w14:textId="77777777">
        <w:trPr>
          <w:jc w:val="center"/>
        </w:trPr>
        <w:tc>
          <w:tcPr>
            <w:tcW w:w="3135" w:type="dxa"/>
            <w:shd w:val="clear" w:color="auto" w:fill="D9EAF7"/>
            <w:vAlign w:val="center"/>
          </w:tcPr>
          <w:p w14:paraId="1FA1FA85" w14:textId="77777777" w:rsidR="006D7EED" w:rsidRDefault="00E778F2">
            <w:pPr>
              <w:spacing w:line="240" w:lineRule="auto"/>
              <w:ind w:firstLine="0"/>
            </w:pPr>
            <w:r>
              <w:rPr>
                <w:b/>
                <w:sz w:val="18"/>
              </w:rPr>
              <w:t>Variable</w:t>
            </w:r>
          </w:p>
        </w:tc>
        <w:tc>
          <w:tcPr>
            <w:tcW w:w="3135" w:type="dxa"/>
            <w:shd w:val="clear" w:color="auto" w:fill="D9EAF7"/>
            <w:vAlign w:val="center"/>
          </w:tcPr>
          <w:p w14:paraId="24147E6F" w14:textId="77777777" w:rsidR="006D7EED" w:rsidRDefault="00E778F2">
            <w:pPr>
              <w:spacing w:line="240" w:lineRule="auto"/>
              <w:ind w:firstLine="0"/>
            </w:pPr>
            <w:r>
              <w:rPr>
                <w:b/>
                <w:sz w:val="18"/>
              </w:rPr>
              <w:t>Recommended source</w:t>
            </w:r>
          </w:p>
        </w:tc>
        <w:tc>
          <w:tcPr>
            <w:tcW w:w="3135" w:type="dxa"/>
            <w:shd w:val="clear" w:color="auto" w:fill="D9EAF7"/>
            <w:vAlign w:val="center"/>
          </w:tcPr>
          <w:p w14:paraId="4143320E" w14:textId="77777777" w:rsidR="006D7EED" w:rsidRDefault="00E778F2">
            <w:pPr>
              <w:spacing w:line="240" w:lineRule="auto"/>
              <w:ind w:firstLine="0"/>
            </w:pPr>
            <w:r>
              <w:rPr>
                <w:b/>
                <w:sz w:val="18"/>
              </w:rPr>
              <w:t>Role in calibration</w:t>
            </w:r>
          </w:p>
        </w:tc>
      </w:tr>
      <w:tr w:rsidR="006D7EED" w14:paraId="01E0DD02" w14:textId="77777777">
        <w:trPr>
          <w:jc w:val="center"/>
        </w:trPr>
        <w:tc>
          <w:tcPr>
            <w:tcW w:w="3135" w:type="dxa"/>
            <w:vAlign w:val="center"/>
          </w:tcPr>
          <w:p w14:paraId="4DAF935B" w14:textId="77777777" w:rsidR="006D7EED" w:rsidRDefault="00E778F2">
            <w:pPr>
              <w:spacing w:line="240" w:lineRule="auto"/>
              <w:ind w:firstLine="0"/>
            </w:pPr>
            <w:r>
              <w:rPr>
                <w:sz w:val="18"/>
              </w:rPr>
              <w:t>N(t)</w:t>
            </w:r>
          </w:p>
        </w:tc>
        <w:tc>
          <w:tcPr>
            <w:tcW w:w="3135" w:type="dxa"/>
            <w:vAlign w:val="center"/>
          </w:tcPr>
          <w:p w14:paraId="63B4FAD3" w14:textId="77777777" w:rsidR="006D7EED" w:rsidRDefault="00E778F2">
            <w:pPr>
              <w:spacing w:line="240" w:lineRule="auto"/>
              <w:ind w:firstLine="0"/>
            </w:pPr>
            <w:r>
              <w:rPr>
                <w:sz w:val="18"/>
              </w:rPr>
              <w:t>World Population Prospects 2024 — UN</w:t>
            </w:r>
          </w:p>
        </w:tc>
        <w:tc>
          <w:tcPr>
            <w:tcW w:w="3135" w:type="dxa"/>
            <w:vAlign w:val="center"/>
          </w:tcPr>
          <w:p w14:paraId="310758A7" w14:textId="77777777" w:rsidR="006D7EED" w:rsidRDefault="00E778F2">
            <w:pPr>
              <w:spacing w:line="240" w:lineRule="auto"/>
              <w:ind w:firstLine="0"/>
            </w:pPr>
            <w:r>
              <w:rPr>
                <w:sz w:val="18"/>
              </w:rPr>
              <w:t>Historical population and projections to 2100.[2]</w:t>
            </w:r>
          </w:p>
        </w:tc>
      </w:tr>
      <w:tr w:rsidR="006D7EED" w14:paraId="32665145" w14:textId="77777777">
        <w:trPr>
          <w:jc w:val="center"/>
        </w:trPr>
        <w:tc>
          <w:tcPr>
            <w:tcW w:w="3135" w:type="dxa"/>
            <w:vAlign w:val="center"/>
          </w:tcPr>
          <w:p w14:paraId="2A8B3D24" w14:textId="77777777" w:rsidR="006D7EED" w:rsidRDefault="00E778F2">
            <w:pPr>
              <w:spacing w:line="240" w:lineRule="auto"/>
              <w:ind w:firstLine="0"/>
            </w:pPr>
            <w:r>
              <w:rPr>
                <w:sz w:val="18"/>
              </w:rPr>
              <w:t>ΔT(t)</w:t>
            </w:r>
          </w:p>
        </w:tc>
        <w:tc>
          <w:tcPr>
            <w:tcW w:w="3135" w:type="dxa"/>
            <w:vAlign w:val="center"/>
          </w:tcPr>
          <w:p w14:paraId="3AB55663" w14:textId="77777777" w:rsidR="006D7EED" w:rsidRDefault="00E778F2">
            <w:pPr>
              <w:spacing w:line="240" w:lineRule="auto"/>
              <w:ind w:firstLine="0"/>
            </w:pPr>
            <w:r>
              <w:rPr>
                <w:sz w:val="18"/>
              </w:rPr>
              <w:t>IPCC, CMIP or global climate databases</w:t>
            </w:r>
          </w:p>
        </w:tc>
        <w:tc>
          <w:tcPr>
            <w:tcW w:w="3135" w:type="dxa"/>
            <w:vAlign w:val="center"/>
          </w:tcPr>
          <w:p w14:paraId="59BFE94F" w14:textId="77777777" w:rsidR="006D7EED" w:rsidRDefault="00E778F2">
            <w:pPr>
              <w:spacing w:line="240" w:lineRule="auto"/>
              <w:ind w:firstLine="0"/>
            </w:pPr>
            <w:r>
              <w:rPr>
                <w:sz w:val="18"/>
              </w:rPr>
              <w:t>Thermal scenarios.</w:t>
            </w:r>
          </w:p>
        </w:tc>
      </w:tr>
      <w:tr w:rsidR="006D7EED" w14:paraId="5EBAB667" w14:textId="77777777">
        <w:trPr>
          <w:jc w:val="center"/>
        </w:trPr>
        <w:tc>
          <w:tcPr>
            <w:tcW w:w="3135" w:type="dxa"/>
            <w:vAlign w:val="center"/>
          </w:tcPr>
          <w:p w14:paraId="1A48882E" w14:textId="77777777" w:rsidR="006D7EED" w:rsidRDefault="00E778F2">
            <w:pPr>
              <w:spacing w:line="240" w:lineRule="auto"/>
              <w:ind w:firstLine="0"/>
            </w:pPr>
            <w:r>
              <w:rPr>
                <w:sz w:val="18"/>
              </w:rPr>
              <w:t>U(t)</w:t>
            </w:r>
          </w:p>
        </w:tc>
        <w:tc>
          <w:tcPr>
            <w:tcW w:w="3135" w:type="dxa"/>
            <w:vAlign w:val="center"/>
          </w:tcPr>
          <w:p w14:paraId="6B9D0475" w14:textId="77777777" w:rsidR="006D7EED" w:rsidRDefault="00E778F2">
            <w:pPr>
              <w:spacing w:line="240" w:lineRule="auto"/>
              <w:ind w:firstLine="0"/>
            </w:pPr>
            <w:r>
              <w:rPr>
                <w:sz w:val="18"/>
              </w:rPr>
              <w:t>FAO, HYDE or LUH2</w:t>
            </w:r>
          </w:p>
        </w:tc>
        <w:tc>
          <w:tcPr>
            <w:tcW w:w="3135" w:type="dxa"/>
            <w:vAlign w:val="center"/>
          </w:tcPr>
          <w:p w14:paraId="01C0DBBE" w14:textId="77777777" w:rsidR="006D7EED" w:rsidRDefault="00E778F2">
            <w:pPr>
              <w:spacing w:line="240" w:lineRule="auto"/>
              <w:ind w:firstLine="0"/>
            </w:pPr>
            <w:r>
              <w:rPr>
                <w:sz w:val="18"/>
              </w:rPr>
              <w:t>Land use and conversion.</w:t>
            </w:r>
          </w:p>
        </w:tc>
      </w:tr>
      <w:tr w:rsidR="006D7EED" w14:paraId="43EFA98A" w14:textId="77777777">
        <w:trPr>
          <w:jc w:val="center"/>
        </w:trPr>
        <w:tc>
          <w:tcPr>
            <w:tcW w:w="3135" w:type="dxa"/>
            <w:vAlign w:val="center"/>
          </w:tcPr>
          <w:p w14:paraId="3BF477F8" w14:textId="77777777" w:rsidR="006D7EED" w:rsidRDefault="00E778F2">
            <w:pPr>
              <w:spacing w:line="240" w:lineRule="auto"/>
              <w:ind w:firstLine="0"/>
            </w:pPr>
            <w:r>
              <w:rPr>
                <w:sz w:val="18"/>
              </w:rPr>
              <w:t>D(t)</w:t>
            </w:r>
          </w:p>
        </w:tc>
        <w:tc>
          <w:tcPr>
            <w:tcW w:w="3135" w:type="dxa"/>
            <w:vAlign w:val="center"/>
          </w:tcPr>
          <w:p w14:paraId="2CAB3AD0" w14:textId="77777777" w:rsidR="006D7EED" w:rsidRDefault="00E778F2">
            <w:pPr>
              <w:spacing w:line="240" w:lineRule="auto"/>
              <w:ind w:firstLine="0"/>
            </w:pPr>
            <w:r>
              <w:rPr>
                <w:sz w:val="18"/>
              </w:rPr>
              <w:t>Composite indices based on planetary boundaries</w:t>
            </w:r>
          </w:p>
        </w:tc>
        <w:tc>
          <w:tcPr>
            <w:tcW w:w="3135" w:type="dxa"/>
            <w:vAlign w:val="center"/>
          </w:tcPr>
          <w:p w14:paraId="3FFC0F9C" w14:textId="77777777" w:rsidR="006D7EED" w:rsidRDefault="00E778F2">
            <w:pPr>
              <w:spacing w:line="240" w:lineRule="auto"/>
              <w:ind w:firstLine="0"/>
            </w:pPr>
            <w:r>
              <w:rPr>
                <w:sz w:val="18"/>
              </w:rPr>
              <w:t>Aggregated environmental pressure.[1]</w:t>
            </w:r>
          </w:p>
        </w:tc>
      </w:tr>
      <w:tr w:rsidR="006D7EED" w14:paraId="60641517" w14:textId="77777777">
        <w:trPr>
          <w:jc w:val="center"/>
        </w:trPr>
        <w:tc>
          <w:tcPr>
            <w:tcW w:w="3135" w:type="dxa"/>
            <w:vAlign w:val="center"/>
          </w:tcPr>
          <w:p w14:paraId="5C47F31D" w14:textId="77777777" w:rsidR="006D7EED" w:rsidRDefault="00E778F2">
            <w:pPr>
              <w:spacing w:line="240" w:lineRule="auto"/>
              <w:ind w:firstLine="0"/>
            </w:pPr>
            <w:r>
              <w:rPr>
                <w:sz w:val="18"/>
              </w:rPr>
              <w:t>T(t)</w:t>
            </w:r>
          </w:p>
        </w:tc>
        <w:tc>
          <w:tcPr>
            <w:tcW w:w="3135" w:type="dxa"/>
            <w:vAlign w:val="center"/>
          </w:tcPr>
          <w:p w14:paraId="4F469386" w14:textId="77777777" w:rsidR="006D7EED" w:rsidRDefault="00E778F2">
            <w:pPr>
              <w:spacing w:line="240" w:lineRule="auto"/>
              <w:ind w:firstLine="0"/>
            </w:pPr>
            <w:r>
              <w:rPr>
                <w:sz w:val="18"/>
              </w:rPr>
              <w:t>Indicators of efficiency, energy and mitigation</w:t>
            </w:r>
          </w:p>
        </w:tc>
        <w:tc>
          <w:tcPr>
            <w:tcW w:w="3135" w:type="dxa"/>
            <w:vAlign w:val="center"/>
          </w:tcPr>
          <w:p w14:paraId="61965C69" w14:textId="77777777" w:rsidR="006D7EED" w:rsidRDefault="00E778F2">
            <w:pPr>
              <w:spacing w:line="240" w:lineRule="auto"/>
              <w:ind w:firstLine="0"/>
            </w:pPr>
            <w:r>
              <w:rPr>
                <w:sz w:val="18"/>
              </w:rPr>
              <w:t>Effective technological capacity.</w:t>
            </w:r>
          </w:p>
        </w:tc>
      </w:tr>
      <w:tr w:rsidR="006D7EED" w14:paraId="067CD888" w14:textId="77777777">
        <w:trPr>
          <w:jc w:val="center"/>
        </w:trPr>
        <w:tc>
          <w:tcPr>
            <w:tcW w:w="3135" w:type="dxa"/>
            <w:vAlign w:val="center"/>
          </w:tcPr>
          <w:p w14:paraId="7A89F13D" w14:textId="77777777" w:rsidR="006D7EED" w:rsidRDefault="00E778F2">
            <w:pPr>
              <w:spacing w:line="240" w:lineRule="auto"/>
              <w:ind w:firstLine="0"/>
            </w:pPr>
            <w:r>
              <w:rPr>
                <w:sz w:val="18"/>
              </w:rPr>
              <w:t>G(t)</w:t>
            </w:r>
          </w:p>
        </w:tc>
        <w:tc>
          <w:tcPr>
            <w:tcW w:w="3135" w:type="dxa"/>
            <w:vAlign w:val="center"/>
          </w:tcPr>
          <w:p w14:paraId="18F8A1DB" w14:textId="77777777" w:rsidR="006D7EED" w:rsidRDefault="00E778F2">
            <w:pPr>
              <w:spacing w:line="240" w:lineRule="auto"/>
              <w:ind w:firstLine="0"/>
            </w:pPr>
            <w:r>
              <w:rPr>
                <w:sz w:val="18"/>
              </w:rPr>
              <w:t>Governance indicators or institutional proxies</w:t>
            </w:r>
          </w:p>
        </w:tc>
        <w:tc>
          <w:tcPr>
            <w:tcW w:w="3135" w:type="dxa"/>
            <w:vAlign w:val="center"/>
          </w:tcPr>
          <w:p w14:paraId="1566093B" w14:textId="77777777" w:rsidR="006D7EED" w:rsidRDefault="00E778F2">
            <w:pPr>
              <w:spacing w:line="240" w:lineRule="auto"/>
              <w:ind w:firstLine="0"/>
            </w:pPr>
            <w:r>
              <w:rPr>
                <w:sz w:val="18"/>
              </w:rPr>
              <w:t>Social coordination.</w:t>
            </w:r>
          </w:p>
        </w:tc>
      </w:tr>
      <w:tr w:rsidR="006D7EED" w14:paraId="67C18A5A" w14:textId="77777777">
        <w:trPr>
          <w:jc w:val="center"/>
        </w:trPr>
        <w:tc>
          <w:tcPr>
            <w:tcW w:w="3135" w:type="dxa"/>
            <w:vAlign w:val="center"/>
          </w:tcPr>
          <w:p w14:paraId="7E8B8071" w14:textId="77777777" w:rsidR="006D7EED" w:rsidRDefault="00E778F2">
            <w:pPr>
              <w:spacing w:line="240" w:lineRule="auto"/>
              <w:ind w:firstLine="0"/>
            </w:pPr>
            <w:r>
              <w:rPr>
                <w:sz w:val="18"/>
              </w:rPr>
              <w:t>R(t)</w:t>
            </w:r>
          </w:p>
        </w:tc>
        <w:tc>
          <w:tcPr>
            <w:tcW w:w="3135" w:type="dxa"/>
            <w:vAlign w:val="center"/>
          </w:tcPr>
          <w:p w14:paraId="48CB613E" w14:textId="77777777" w:rsidR="006D7EED" w:rsidRDefault="00E778F2">
            <w:pPr>
              <w:spacing w:line="240" w:lineRule="auto"/>
              <w:ind w:firstLine="0"/>
            </w:pPr>
            <w:r>
              <w:rPr>
                <w:sz w:val="18"/>
              </w:rPr>
              <w:t>Latent variable derived from recovery and stability indicators</w:t>
            </w:r>
          </w:p>
        </w:tc>
        <w:tc>
          <w:tcPr>
            <w:tcW w:w="3135" w:type="dxa"/>
            <w:vAlign w:val="center"/>
          </w:tcPr>
          <w:p w14:paraId="3D5E5A78" w14:textId="77777777" w:rsidR="006D7EED" w:rsidRDefault="00E778F2">
            <w:pPr>
              <w:spacing w:line="240" w:lineRule="auto"/>
              <w:ind w:firstLine="0"/>
            </w:pPr>
            <w:r>
              <w:rPr>
                <w:sz w:val="18"/>
              </w:rPr>
              <w:t>Systemic resilience.</w:t>
            </w:r>
          </w:p>
        </w:tc>
      </w:tr>
      <w:tr w:rsidR="006D7EED" w14:paraId="42B258B6" w14:textId="77777777">
        <w:trPr>
          <w:jc w:val="center"/>
        </w:trPr>
        <w:tc>
          <w:tcPr>
            <w:tcW w:w="3135" w:type="dxa"/>
            <w:vAlign w:val="center"/>
          </w:tcPr>
          <w:p w14:paraId="06E599F5" w14:textId="77777777" w:rsidR="006D7EED" w:rsidRDefault="00E778F2">
            <w:pPr>
              <w:spacing w:line="240" w:lineRule="auto"/>
              <w:ind w:firstLine="0"/>
            </w:pPr>
            <w:r>
              <w:rPr>
                <w:sz w:val="18"/>
              </w:rPr>
              <w:t>I(t)</w:t>
            </w:r>
          </w:p>
        </w:tc>
        <w:tc>
          <w:tcPr>
            <w:tcW w:w="3135" w:type="dxa"/>
            <w:vAlign w:val="center"/>
          </w:tcPr>
          <w:p w14:paraId="314FF7C3" w14:textId="77777777" w:rsidR="006D7EED" w:rsidRDefault="00E778F2">
            <w:pPr>
              <w:spacing w:line="240" w:lineRule="auto"/>
              <w:ind w:firstLine="0"/>
            </w:pPr>
            <w:r>
              <w:rPr>
                <w:sz w:val="18"/>
              </w:rPr>
              <w:t>Gini, state fragility, polarization or inequality</w:t>
            </w:r>
          </w:p>
        </w:tc>
        <w:tc>
          <w:tcPr>
            <w:tcW w:w="3135" w:type="dxa"/>
            <w:vAlign w:val="center"/>
          </w:tcPr>
          <w:p w14:paraId="63E0D0AD" w14:textId="77777777" w:rsidR="006D7EED" w:rsidRDefault="00E778F2">
            <w:pPr>
              <w:spacing w:line="240" w:lineRule="auto"/>
              <w:ind w:firstLine="0"/>
            </w:pPr>
            <w:r>
              <w:rPr>
                <w:sz w:val="18"/>
              </w:rPr>
              <w:t>Social fragmentation.</w:t>
            </w:r>
          </w:p>
        </w:tc>
      </w:tr>
    </w:tbl>
    <w:p w14:paraId="4F020C1E" w14:textId="77777777" w:rsidR="006D7EED" w:rsidRDefault="006D7EED"/>
    <w:p w14:paraId="1C97B81D" w14:textId="77777777" w:rsidR="006D7EED" w:rsidRDefault="00E778F2">
      <w:pPr>
        <w:jc w:val="both"/>
      </w:pPr>
      <w:r>
        <w:t>Calibration should be done in windows. I would recommend calibrating the model in the period 1950–2000, validating it in 2000–2025 and projecting it to 2100. Extensions to 2155, 2163 or 2197 must be explicitly classified as exploratory scenarios with increased uncertainty.</w:t>
      </w:r>
    </w:p>
    <w:tbl>
      <w:tblPr>
        <w:tblStyle w:val="Tabelacomgrade"/>
        <w:tblW w:w="0" w:type="auto"/>
        <w:jc w:val="center"/>
        <w:tblLook w:val="04A0" w:firstRow="1" w:lastRow="0" w:firstColumn="1" w:lastColumn="0" w:noHBand="0" w:noVBand="1"/>
      </w:tblPr>
      <w:tblGrid>
        <w:gridCol w:w="3131"/>
        <w:gridCol w:w="3132"/>
        <w:gridCol w:w="3132"/>
      </w:tblGrid>
      <w:tr w:rsidR="006D7EED" w14:paraId="5A4CC39A" w14:textId="77777777">
        <w:trPr>
          <w:jc w:val="center"/>
        </w:trPr>
        <w:tc>
          <w:tcPr>
            <w:tcW w:w="3135" w:type="dxa"/>
            <w:shd w:val="clear" w:color="auto" w:fill="D9EAF7"/>
            <w:vAlign w:val="center"/>
          </w:tcPr>
          <w:p w14:paraId="037EE284" w14:textId="77777777" w:rsidR="006D7EED" w:rsidRDefault="00E778F2">
            <w:pPr>
              <w:spacing w:line="240" w:lineRule="auto"/>
              <w:ind w:firstLine="0"/>
            </w:pPr>
            <w:r>
              <w:rPr>
                <w:b/>
                <w:sz w:val="18"/>
              </w:rPr>
              <w:t>Time window</w:t>
            </w:r>
          </w:p>
        </w:tc>
        <w:tc>
          <w:tcPr>
            <w:tcW w:w="3135" w:type="dxa"/>
            <w:shd w:val="clear" w:color="auto" w:fill="D9EAF7"/>
            <w:vAlign w:val="center"/>
          </w:tcPr>
          <w:p w14:paraId="35C49B59" w14:textId="77777777" w:rsidR="006D7EED" w:rsidRDefault="00E778F2">
            <w:pPr>
              <w:spacing w:line="240" w:lineRule="auto"/>
              <w:ind w:firstLine="0"/>
            </w:pPr>
            <w:r>
              <w:rPr>
                <w:b/>
                <w:sz w:val="18"/>
              </w:rPr>
              <w:t>Methodological function</w:t>
            </w:r>
          </w:p>
        </w:tc>
        <w:tc>
          <w:tcPr>
            <w:tcW w:w="3135" w:type="dxa"/>
            <w:shd w:val="clear" w:color="auto" w:fill="D9EAF7"/>
            <w:vAlign w:val="center"/>
          </w:tcPr>
          <w:p w14:paraId="5288846A" w14:textId="77777777" w:rsidR="006D7EED" w:rsidRDefault="00E778F2">
            <w:pPr>
              <w:spacing w:line="240" w:lineRule="auto"/>
              <w:ind w:firstLine="0"/>
            </w:pPr>
            <w:r>
              <w:rPr>
                <w:b/>
                <w:sz w:val="18"/>
              </w:rPr>
              <w:t>Expected outcome</w:t>
            </w:r>
          </w:p>
        </w:tc>
      </w:tr>
      <w:tr w:rsidR="006D7EED" w14:paraId="6AFC4C30" w14:textId="77777777">
        <w:trPr>
          <w:jc w:val="center"/>
        </w:trPr>
        <w:tc>
          <w:tcPr>
            <w:tcW w:w="3135" w:type="dxa"/>
            <w:vAlign w:val="center"/>
          </w:tcPr>
          <w:p w14:paraId="4DF8D6C4" w14:textId="77777777" w:rsidR="006D7EED" w:rsidRDefault="00E778F2">
            <w:pPr>
              <w:spacing w:line="240" w:lineRule="auto"/>
              <w:ind w:firstLine="0"/>
            </w:pPr>
            <w:r>
              <w:rPr>
                <w:sz w:val="18"/>
              </w:rPr>
              <w:t>1950–2000</w:t>
            </w:r>
          </w:p>
        </w:tc>
        <w:tc>
          <w:tcPr>
            <w:tcW w:w="3135" w:type="dxa"/>
            <w:vAlign w:val="center"/>
          </w:tcPr>
          <w:p w14:paraId="5E5405A7" w14:textId="77777777" w:rsidR="006D7EED" w:rsidRDefault="00E778F2">
            <w:pPr>
              <w:spacing w:line="240" w:lineRule="auto"/>
              <w:ind w:firstLine="0"/>
            </w:pPr>
            <w:r>
              <w:rPr>
                <w:sz w:val="18"/>
              </w:rPr>
              <w:t>Calibration</w:t>
            </w:r>
          </w:p>
        </w:tc>
        <w:tc>
          <w:tcPr>
            <w:tcW w:w="3135" w:type="dxa"/>
            <w:vAlign w:val="center"/>
          </w:tcPr>
          <w:p w14:paraId="5869B973" w14:textId="77777777" w:rsidR="006D7EED" w:rsidRDefault="00E778F2">
            <w:pPr>
              <w:spacing w:line="240" w:lineRule="auto"/>
              <w:ind w:firstLine="0"/>
            </w:pPr>
            <w:r>
              <w:rPr>
                <w:sz w:val="18"/>
              </w:rPr>
              <w:t>Initial parameter tuning.</w:t>
            </w:r>
          </w:p>
        </w:tc>
      </w:tr>
      <w:tr w:rsidR="006D7EED" w14:paraId="668DC033" w14:textId="77777777">
        <w:trPr>
          <w:jc w:val="center"/>
        </w:trPr>
        <w:tc>
          <w:tcPr>
            <w:tcW w:w="3135" w:type="dxa"/>
            <w:vAlign w:val="center"/>
          </w:tcPr>
          <w:p w14:paraId="6C03BE5A" w14:textId="77777777" w:rsidR="006D7EED" w:rsidRDefault="00E778F2">
            <w:pPr>
              <w:spacing w:line="240" w:lineRule="auto"/>
              <w:ind w:firstLine="0"/>
            </w:pPr>
            <w:r>
              <w:rPr>
                <w:sz w:val="18"/>
              </w:rPr>
              <w:t>2000–2025</w:t>
            </w:r>
          </w:p>
        </w:tc>
        <w:tc>
          <w:tcPr>
            <w:tcW w:w="3135" w:type="dxa"/>
            <w:vAlign w:val="center"/>
          </w:tcPr>
          <w:p w14:paraId="66AA78B5" w14:textId="77777777" w:rsidR="006D7EED" w:rsidRDefault="00E778F2">
            <w:pPr>
              <w:spacing w:line="240" w:lineRule="auto"/>
              <w:ind w:firstLine="0"/>
            </w:pPr>
            <w:r>
              <w:rPr>
                <w:sz w:val="18"/>
              </w:rPr>
              <w:t>Out-of-sample validation</w:t>
            </w:r>
          </w:p>
        </w:tc>
        <w:tc>
          <w:tcPr>
            <w:tcW w:w="3135" w:type="dxa"/>
            <w:vAlign w:val="center"/>
          </w:tcPr>
          <w:p w14:paraId="34E594E4" w14:textId="77777777" w:rsidR="006D7EED" w:rsidRDefault="00E778F2">
            <w:pPr>
              <w:spacing w:line="240" w:lineRule="auto"/>
              <w:ind w:firstLine="0"/>
            </w:pPr>
            <w:r>
              <w:rPr>
                <w:sz w:val="18"/>
              </w:rPr>
              <w:t>Directional and error test.</w:t>
            </w:r>
          </w:p>
        </w:tc>
      </w:tr>
      <w:tr w:rsidR="006D7EED" w14:paraId="6BB2DE9B" w14:textId="77777777">
        <w:trPr>
          <w:jc w:val="center"/>
        </w:trPr>
        <w:tc>
          <w:tcPr>
            <w:tcW w:w="3135" w:type="dxa"/>
            <w:vAlign w:val="center"/>
          </w:tcPr>
          <w:p w14:paraId="67134868" w14:textId="77777777" w:rsidR="006D7EED" w:rsidRDefault="00E778F2">
            <w:pPr>
              <w:spacing w:line="240" w:lineRule="auto"/>
              <w:ind w:firstLine="0"/>
            </w:pPr>
            <w:r>
              <w:rPr>
                <w:sz w:val="18"/>
              </w:rPr>
              <w:t>2025–2100</w:t>
            </w:r>
          </w:p>
        </w:tc>
        <w:tc>
          <w:tcPr>
            <w:tcW w:w="3135" w:type="dxa"/>
            <w:vAlign w:val="center"/>
          </w:tcPr>
          <w:p w14:paraId="69CD9C7D" w14:textId="77777777" w:rsidR="006D7EED" w:rsidRDefault="00E778F2">
            <w:pPr>
              <w:spacing w:line="240" w:lineRule="auto"/>
              <w:ind w:firstLine="0"/>
            </w:pPr>
            <w:r>
              <w:rPr>
                <w:sz w:val="18"/>
              </w:rPr>
              <w:t>Projection comparable to literature</w:t>
            </w:r>
          </w:p>
        </w:tc>
        <w:tc>
          <w:tcPr>
            <w:tcW w:w="3135" w:type="dxa"/>
            <w:vAlign w:val="center"/>
          </w:tcPr>
          <w:p w14:paraId="0FF95808" w14:textId="77777777" w:rsidR="006D7EED" w:rsidRDefault="00E778F2">
            <w:pPr>
              <w:spacing w:line="240" w:lineRule="auto"/>
              <w:ind w:firstLine="0"/>
            </w:pPr>
            <w:r>
              <w:rPr>
                <w:sz w:val="18"/>
              </w:rPr>
              <w:t>Scenarios consistent with recognized bases.</w:t>
            </w:r>
          </w:p>
        </w:tc>
      </w:tr>
      <w:tr w:rsidR="006D7EED" w14:paraId="343E3AB4" w14:textId="77777777">
        <w:trPr>
          <w:jc w:val="center"/>
        </w:trPr>
        <w:tc>
          <w:tcPr>
            <w:tcW w:w="3135" w:type="dxa"/>
            <w:vAlign w:val="center"/>
          </w:tcPr>
          <w:p w14:paraId="4812C6E3" w14:textId="77777777" w:rsidR="006D7EED" w:rsidRDefault="00E778F2">
            <w:pPr>
              <w:spacing w:line="240" w:lineRule="auto"/>
              <w:ind w:firstLine="0"/>
            </w:pPr>
            <w:r>
              <w:rPr>
                <w:sz w:val="18"/>
              </w:rPr>
              <w:t>2100–2200</w:t>
            </w:r>
          </w:p>
        </w:tc>
        <w:tc>
          <w:tcPr>
            <w:tcW w:w="3135" w:type="dxa"/>
            <w:vAlign w:val="center"/>
          </w:tcPr>
          <w:p w14:paraId="1364BF92" w14:textId="77777777" w:rsidR="006D7EED" w:rsidRDefault="00E778F2">
            <w:pPr>
              <w:spacing w:line="240" w:lineRule="auto"/>
              <w:ind w:firstLine="0"/>
            </w:pPr>
            <w:r>
              <w:rPr>
                <w:sz w:val="18"/>
              </w:rPr>
              <w:t>Exploratory extension</w:t>
            </w:r>
          </w:p>
        </w:tc>
        <w:tc>
          <w:tcPr>
            <w:tcW w:w="3135" w:type="dxa"/>
            <w:vAlign w:val="center"/>
          </w:tcPr>
          <w:p w14:paraId="1B15F3FF" w14:textId="77777777" w:rsidR="006D7EED" w:rsidRDefault="00E778F2">
            <w:pPr>
              <w:spacing w:line="240" w:lineRule="auto"/>
              <w:ind w:firstLine="0"/>
            </w:pPr>
            <w:r>
              <w:rPr>
                <w:sz w:val="18"/>
              </w:rPr>
              <w:t>Long-term sensitivity, not official forecast.</w:t>
            </w:r>
          </w:p>
        </w:tc>
      </w:tr>
    </w:tbl>
    <w:p w14:paraId="525EE6A7" w14:textId="77777777" w:rsidR="006D7EED" w:rsidRDefault="006D7EED"/>
    <w:p w14:paraId="1DC377A7" w14:textId="77777777" w:rsidR="006D7EED" w:rsidRDefault="00E778F2">
      <w:pPr>
        <w:jc w:val="both"/>
      </w:pPr>
      <w:r>
        <w:t xml:space="preserve">Parameters can be estimated by least squares, maximum likelihood, Bayesian methods or plausible-interval scans. When there is insufficient data, the parameter should be treated as </w:t>
      </w:r>
      <w:r>
        <w:lastRenderedPageBreak/>
        <w:t>uncertainty, not as an arbitrary constant but as a delimiting parameter exposed to the analyzed model.</w:t>
      </w:r>
    </w:p>
    <w:p w14:paraId="6ED1F31E" w14:textId="1019CB37" w:rsidR="006D7EED" w:rsidRDefault="008F5846">
      <w:pPr>
        <w:pStyle w:val="Ttulo1"/>
      </w:pPr>
      <w:r>
        <w:t>VIII- Layer III: robustness, uncertainty and sensitivity</w:t>
      </w:r>
    </w:p>
    <w:p w14:paraId="0768C19C" w14:textId="77777777" w:rsidR="006D7EED" w:rsidRDefault="00E778F2">
      <w:pPr>
        <w:jc w:val="both"/>
      </w:pPr>
      <w:r>
        <w:t>The third layer answers the question: how dependent are results on parametric choices? For this, I propose Monte Carlo simulations, Morris screening and Sobol analysis. The objective is to estimate distributions of τ₁, τ₂, λ(t), K_eff(t) and R(t), instead of presenting single trajectories.</w:t>
      </w:r>
    </w:p>
    <w:p w14:paraId="58D82CF3" w14:textId="77777777" w:rsidR="006D7EED" w:rsidRDefault="00E778F2">
      <w:pPr>
        <w:jc w:val="both"/>
      </w:pPr>
      <w:r>
        <w:t>Minimum procedure:</w:t>
      </w:r>
    </w:p>
    <w:p w14:paraId="784157B7" w14:textId="77777777" w:rsidR="006D7EED" w:rsidRPr="00025DA1" w:rsidRDefault="00E778F2">
      <w:pPr>
        <w:pStyle w:val="Ttulo1"/>
        <w:rPr>
          <w:sz w:val="24"/>
          <w:szCs w:val="24"/>
        </w:rPr>
      </w:pPr>
      <w:r w:rsidRPr="00025DA1">
        <w:rPr>
          <w:sz w:val="24"/>
          <w:szCs w:val="24"/>
        </w:rPr>
        <w:t>1. Define the vector θ = {r_N, μ_N, η₅, η₆, ω, φ, ρ_G, ρ_D, ρ_λ, w</w:t>
      </w:r>
      <w:r w:rsidRPr="00025DA1">
        <w:rPr>
          <w:sz w:val="24"/>
          <w:szCs w:val="24"/>
        </w:rPr>
        <w:t>ᵢ</w:t>
      </w:r>
      <w:r w:rsidRPr="00025DA1">
        <w:rPr>
          <w:sz w:val="24"/>
          <w:szCs w:val="24"/>
        </w:rPr>
        <w:t>}.</w:t>
      </w:r>
    </w:p>
    <w:p w14:paraId="7DCF07D4" w14:textId="77777777" w:rsidR="006D7EED" w:rsidRPr="00025DA1" w:rsidRDefault="00E778F2">
      <w:pPr>
        <w:pStyle w:val="Ttulo1"/>
        <w:rPr>
          <w:sz w:val="24"/>
          <w:szCs w:val="24"/>
        </w:rPr>
      </w:pPr>
      <w:r w:rsidRPr="00025DA1">
        <w:rPr>
          <w:sz w:val="24"/>
          <w:szCs w:val="24"/>
        </w:rPr>
        <w:t>2. Assign plausible distributions to each parameter.</w:t>
      </w:r>
    </w:p>
    <w:p w14:paraId="0A6C5611" w14:textId="77777777" w:rsidR="006D7EED" w:rsidRPr="00025DA1" w:rsidRDefault="00E778F2">
      <w:pPr>
        <w:pStyle w:val="Ttulo1"/>
        <w:rPr>
          <w:sz w:val="24"/>
          <w:szCs w:val="24"/>
        </w:rPr>
      </w:pPr>
      <w:r w:rsidRPr="00025DA1">
        <w:rPr>
          <w:sz w:val="24"/>
          <w:szCs w:val="24"/>
        </w:rPr>
        <w:t>3. Run B ≥ 10,000 simulations.</w:t>
      </w:r>
    </w:p>
    <w:p w14:paraId="792E7C00" w14:textId="77777777" w:rsidR="006D7EED" w:rsidRPr="00025DA1" w:rsidRDefault="00E778F2">
      <w:pPr>
        <w:pStyle w:val="Ttulo1"/>
        <w:rPr>
          <w:sz w:val="24"/>
          <w:szCs w:val="24"/>
        </w:rPr>
      </w:pPr>
      <w:r w:rsidRPr="00025DA1">
        <w:rPr>
          <w:sz w:val="24"/>
          <w:szCs w:val="24"/>
          <w:highlight w:val="yellow"/>
        </w:rPr>
        <w:t>4. Integrate the system by RK4 or adaptive solver.</w:t>
      </w:r>
    </w:p>
    <w:p w14:paraId="07580430" w14:textId="77777777" w:rsidR="006D7EED" w:rsidRPr="00025DA1" w:rsidRDefault="00E778F2">
      <w:pPr>
        <w:pStyle w:val="Ttulo1"/>
        <w:rPr>
          <w:sz w:val="24"/>
          <w:szCs w:val="24"/>
        </w:rPr>
      </w:pPr>
      <w:r w:rsidRPr="00025DA1">
        <w:rPr>
          <w:sz w:val="24"/>
          <w:szCs w:val="24"/>
        </w:rPr>
        <w:t>5. Record τ₁, τ₂ and final states.</w:t>
      </w:r>
    </w:p>
    <w:p w14:paraId="56A56666" w14:textId="77777777" w:rsidR="006D7EED" w:rsidRPr="00025DA1" w:rsidRDefault="00E778F2">
      <w:pPr>
        <w:pStyle w:val="Ttulo1"/>
        <w:rPr>
          <w:sz w:val="24"/>
          <w:szCs w:val="24"/>
        </w:rPr>
      </w:pPr>
      <w:r w:rsidRPr="00025DA1">
        <w:rPr>
          <w:sz w:val="24"/>
          <w:szCs w:val="24"/>
        </w:rPr>
        <w:t>6. Report median, 95% CI and probability of non-occurrence of the event.</w:t>
      </w:r>
    </w:p>
    <w:p w14:paraId="22564367" w14:textId="77777777" w:rsidR="006D7EED" w:rsidRDefault="00E778F2">
      <w:pPr>
        <w:jc w:val="both"/>
      </w:pPr>
      <w:r>
        <w:t>This approach completely changes the status of critical dates. Instead of stating “the event will occur in 2163”, the correct result would be: “in scenario S3, the median of τ₂ occurs in 2163, with a 95% confidence interval between certain years, and with a given probability of non-occurrence until 2200”. This form is more rigorous because it preserves uncertainty and prevents the model from being interpreted as prophecy.</w:t>
      </w:r>
    </w:p>
    <w:tbl>
      <w:tblPr>
        <w:tblStyle w:val="Tabelacomgrade"/>
        <w:tblW w:w="0" w:type="auto"/>
        <w:jc w:val="center"/>
        <w:tblLook w:val="04A0" w:firstRow="1" w:lastRow="0" w:firstColumn="1" w:lastColumn="0" w:noHBand="0" w:noVBand="1"/>
      </w:tblPr>
      <w:tblGrid>
        <w:gridCol w:w="3131"/>
        <w:gridCol w:w="3132"/>
        <w:gridCol w:w="3132"/>
      </w:tblGrid>
      <w:tr w:rsidR="006D7EED" w14:paraId="42AE28CC" w14:textId="77777777">
        <w:trPr>
          <w:jc w:val="center"/>
        </w:trPr>
        <w:tc>
          <w:tcPr>
            <w:tcW w:w="3135" w:type="dxa"/>
            <w:shd w:val="clear" w:color="auto" w:fill="D9EAF7"/>
            <w:vAlign w:val="center"/>
          </w:tcPr>
          <w:p w14:paraId="626492EB" w14:textId="77777777" w:rsidR="006D7EED" w:rsidRDefault="00E778F2">
            <w:pPr>
              <w:spacing w:line="240" w:lineRule="auto"/>
              <w:ind w:firstLine="0"/>
            </w:pPr>
            <w:r>
              <w:rPr>
                <w:b/>
                <w:sz w:val="18"/>
              </w:rPr>
              <w:t>Method</w:t>
            </w:r>
          </w:p>
        </w:tc>
        <w:tc>
          <w:tcPr>
            <w:tcW w:w="3135" w:type="dxa"/>
            <w:shd w:val="clear" w:color="auto" w:fill="D9EAF7"/>
            <w:vAlign w:val="center"/>
          </w:tcPr>
          <w:p w14:paraId="47652CAB" w14:textId="77777777" w:rsidR="006D7EED" w:rsidRDefault="00E778F2">
            <w:pPr>
              <w:spacing w:line="240" w:lineRule="auto"/>
              <w:ind w:firstLine="0"/>
            </w:pPr>
            <w:r>
              <w:rPr>
                <w:b/>
                <w:sz w:val="18"/>
              </w:rPr>
              <w:t>Purpose</w:t>
            </w:r>
          </w:p>
        </w:tc>
        <w:tc>
          <w:tcPr>
            <w:tcW w:w="3135" w:type="dxa"/>
            <w:shd w:val="clear" w:color="auto" w:fill="D9EAF7"/>
            <w:vAlign w:val="center"/>
          </w:tcPr>
          <w:p w14:paraId="0F6F7A29" w14:textId="77777777" w:rsidR="006D7EED" w:rsidRDefault="00E778F2">
            <w:pPr>
              <w:spacing w:line="240" w:lineRule="auto"/>
              <w:ind w:firstLine="0"/>
            </w:pPr>
            <w:r>
              <w:rPr>
                <w:b/>
                <w:sz w:val="18"/>
              </w:rPr>
              <w:t>Expected product</w:t>
            </w:r>
          </w:p>
        </w:tc>
      </w:tr>
      <w:tr w:rsidR="006D7EED" w14:paraId="7BBF7481" w14:textId="77777777">
        <w:trPr>
          <w:jc w:val="center"/>
        </w:trPr>
        <w:tc>
          <w:tcPr>
            <w:tcW w:w="3135" w:type="dxa"/>
            <w:vAlign w:val="center"/>
          </w:tcPr>
          <w:p w14:paraId="2E5FF2E7" w14:textId="77777777" w:rsidR="006D7EED" w:rsidRDefault="00E778F2">
            <w:pPr>
              <w:spacing w:line="240" w:lineRule="auto"/>
              <w:ind w:firstLine="0"/>
            </w:pPr>
            <w:r>
              <w:rPr>
                <w:sz w:val="18"/>
              </w:rPr>
              <w:t>Monte Carlo</w:t>
            </w:r>
          </w:p>
        </w:tc>
        <w:tc>
          <w:tcPr>
            <w:tcW w:w="3135" w:type="dxa"/>
            <w:vAlign w:val="center"/>
          </w:tcPr>
          <w:p w14:paraId="31F644C3" w14:textId="77777777" w:rsidR="006D7EED" w:rsidRDefault="00E778F2">
            <w:pPr>
              <w:spacing w:line="240" w:lineRule="auto"/>
              <w:ind w:firstLine="0"/>
            </w:pPr>
            <w:r>
              <w:rPr>
                <w:sz w:val="18"/>
              </w:rPr>
              <w:t>Propagate parametric uncertainties</w:t>
            </w:r>
          </w:p>
        </w:tc>
        <w:tc>
          <w:tcPr>
            <w:tcW w:w="3135" w:type="dxa"/>
            <w:vAlign w:val="center"/>
          </w:tcPr>
          <w:p w14:paraId="4FB8B332" w14:textId="77777777" w:rsidR="006D7EED" w:rsidRDefault="00E778F2">
            <w:pPr>
              <w:spacing w:line="240" w:lineRule="auto"/>
              <w:ind w:firstLine="0"/>
            </w:pPr>
            <w:r>
              <w:rPr>
                <w:sz w:val="18"/>
              </w:rPr>
              <w:t>Distributions of events and trajectories.</w:t>
            </w:r>
          </w:p>
        </w:tc>
      </w:tr>
      <w:tr w:rsidR="006D7EED" w14:paraId="7C05022D" w14:textId="77777777">
        <w:trPr>
          <w:jc w:val="center"/>
        </w:trPr>
        <w:tc>
          <w:tcPr>
            <w:tcW w:w="3135" w:type="dxa"/>
            <w:vAlign w:val="center"/>
          </w:tcPr>
          <w:p w14:paraId="7AE575EA" w14:textId="77777777" w:rsidR="006D7EED" w:rsidRDefault="00E778F2">
            <w:pPr>
              <w:spacing w:line="240" w:lineRule="auto"/>
              <w:ind w:firstLine="0"/>
            </w:pPr>
            <w:r>
              <w:rPr>
                <w:sz w:val="18"/>
              </w:rPr>
              <w:t>Morris</w:t>
            </w:r>
          </w:p>
        </w:tc>
        <w:tc>
          <w:tcPr>
            <w:tcW w:w="3135" w:type="dxa"/>
            <w:vAlign w:val="center"/>
          </w:tcPr>
          <w:p w14:paraId="4FE9985B" w14:textId="77777777" w:rsidR="006D7EED" w:rsidRDefault="00E778F2">
            <w:pPr>
              <w:spacing w:line="240" w:lineRule="auto"/>
              <w:ind w:firstLine="0"/>
            </w:pPr>
            <w:r>
              <w:rPr>
                <w:sz w:val="18"/>
              </w:rPr>
              <w:t>Screening of influential parameters</w:t>
            </w:r>
          </w:p>
        </w:tc>
        <w:tc>
          <w:tcPr>
            <w:tcW w:w="3135" w:type="dxa"/>
            <w:vAlign w:val="center"/>
          </w:tcPr>
          <w:p w14:paraId="4F86A8C2" w14:textId="77777777" w:rsidR="006D7EED" w:rsidRDefault="00E778F2">
            <w:pPr>
              <w:spacing w:line="240" w:lineRule="auto"/>
              <w:ind w:firstLine="0"/>
            </w:pPr>
            <w:r>
              <w:rPr>
                <w:sz w:val="18"/>
              </w:rPr>
              <w:t>Preliminary identification of dominant variables.</w:t>
            </w:r>
          </w:p>
        </w:tc>
      </w:tr>
      <w:tr w:rsidR="006D7EED" w14:paraId="61CE6921" w14:textId="77777777">
        <w:trPr>
          <w:jc w:val="center"/>
        </w:trPr>
        <w:tc>
          <w:tcPr>
            <w:tcW w:w="3135" w:type="dxa"/>
            <w:vAlign w:val="center"/>
          </w:tcPr>
          <w:p w14:paraId="6731612C" w14:textId="77777777" w:rsidR="006D7EED" w:rsidRDefault="00E778F2">
            <w:pPr>
              <w:spacing w:line="240" w:lineRule="auto"/>
              <w:ind w:firstLine="0"/>
            </w:pPr>
            <w:r>
              <w:rPr>
                <w:sz w:val="18"/>
              </w:rPr>
              <w:t>Sobol</w:t>
            </w:r>
          </w:p>
        </w:tc>
        <w:tc>
          <w:tcPr>
            <w:tcW w:w="3135" w:type="dxa"/>
            <w:vAlign w:val="center"/>
          </w:tcPr>
          <w:p w14:paraId="6C69B351" w14:textId="77777777" w:rsidR="006D7EED" w:rsidRDefault="00E778F2">
            <w:pPr>
              <w:spacing w:line="240" w:lineRule="auto"/>
              <w:ind w:firstLine="0"/>
            </w:pPr>
            <w:r>
              <w:rPr>
                <w:sz w:val="18"/>
              </w:rPr>
              <w:t>Global variance decomposition</w:t>
            </w:r>
          </w:p>
        </w:tc>
        <w:tc>
          <w:tcPr>
            <w:tcW w:w="3135" w:type="dxa"/>
            <w:vAlign w:val="center"/>
          </w:tcPr>
          <w:p w14:paraId="2E111E91" w14:textId="77777777" w:rsidR="006D7EED" w:rsidRDefault="00E778F2">
            <w:pPr>
              <w:spacing w:line="240" w:lineRule="auto"/>
              <w:ind w:firstLine="0"/>
            </w:pPr>
            <w:r>
              <w:rPr>
                <w:sz w:val="18"/>
              </w:rPr>
              <w:t>Individual and interactive contributions of parameters.</w:t>
            </w:r>
          </w:p>
        </w:tc>
      </w:tr>
      <w:tr w:rsidR="006D7EED" w14:paraId="7DEE42DA" w14:textId="77777777">
        <w:trPr>
          <w:jc w:val="center"/>
        </w:trPr>
        <w:tc>
          <w:tcPr>
            <w:tcW w:w="3135" w:type="dxa"/>
            <w:vAlign w:val="center"/>
          </w:tcPr>
          <w:p w14:paraId="46A409A1" w14:textId="77777777" w:rsidR="006D7EED" w:rsidRDefault="00E778F2">
            <w:pPr>
              <w:spacing w:line="240" w:lineRule="auto"/>
              <w:ind w:firstLine="0"/>
            </w:pPr>
            <w:r>
              <w:rPr>
                <w:sz w:val="18"/>
              </w:rPr>
              <w:t>Cross-validation</w:t>
            </w:r>
          </w:p>
        </w:tc>
        <w:tc>
          <w:tcPr>
            <w:tcW w:w="3135" w:type="dxa"/>
            <w:vAlign w:val="center"/>
          </w:tcPr>
          <w:p w14:paraId="1E123BE2" w14:textId="77777777" w:rsidR="006D7EED" w:rsidRDefault="00E778F2">
            <w:pPr>
              <w:spacing w:line="240" w:lineRule="auto"/>
              <w:ind w:firstLine="0"/>
            </w:pPr>
            <w:r>
              <w:rPr>
                <w:sz w:val="18"/>
              </w:rPr>
              <w:t>Reduce artificial fit</w:t>
            </w:r>
          </w:p>
        </w:tc>
        <w:tc>
          <w:tcPr>
            <w:tcW w:w="3135" w:type="dxa"/>
            <w:vAlign w:val="center"/>
          </w:tcPr>
          <w:p w14:paraId="3C901123" w14:textId="77777777" w:rsidR="006D7EED" w:rsidRDefault="00E778F2">
            <w:pPr>
              <w:spacing w:line="240" w:lineRule="auto"/>
              <w:ind w:firstLine="0"/>
            </w:pPr>
            <w:r>
              <w:rPr>
                <w:sz w:val="18"/>
              </w:rPr>
              <w:t>Out-of-sample robustness test.</w:t>
            </w:r>
          </w:p>
        </w:tc>
      </w:tr>
    </w:tbl>
    <w:p w14:paraId="3887AEEA" w14:textId="77777777" w:rsidR="006D7EED" w:rsidRDefault="006D7EED"/>
    <w:p w14:paraId="484E1B74" w14:textId="77777777" w:rsidR="006D7EED" w:rsidRDefault="00E778F2">
      <w:pPr>
        <w:jc w:val="both"/>
      </w:pPr>
      <w:r>
        <w:lastRenderedPageBreak/>
        <w:t>The proposal uses definition of criteria of falsifiability. If the model only works with arbitrary parameters, if λ(t) does not correlate with independent indicators of instability, or if small parametric variations radically change conclusions, then the theory should be adjusted in light of existing temporal variations and behavioral time conditions, since the model took into account temporal averaging in studies of temporal behavior in relation to the studied time parameter.</w:t>
      </w:r>
    </w:p>
    <w:p w14:paraId="777FFFD0" w14:textId="497914BA" w:rsidR="006D7EED" w:rsidRDefault="008F5846">
      <w:pPr>
        <w:pStyle w:val="Ttulo1"/>
      </w:pPr>
      <w:r>
        <w:t>IX- Layer IV: theoretical discussion</w:t>
      </w:r>
    </w:p>
    <w:p w14:paraId="0485C421" w14:textId="77777777" w:rsidR="006D7EED" w:rsidRDefault="00E778F2">
      <w:pPr>
        <w:jc w:val="both"/>
      </w:pPr>
      <w:r>
        <w:t>In the fourth layer, I interpret the meaning of the results. Sustainability, in this approach, is not a fixed equilibrium state. I define it as the capacity to maintain essential functions without exceeding support limits and without destroying future resilience. This definition is compatible with the idea of a safe operating space for humanity, present in the planetary boundaries framework.[1]</w:t>
      </w:r>
    </w:p>
    <w:p w14:paraId="1AC1D951" w14:textId="77777777" w:rsidR="006D7EED" w:rsidRDefault="00E778F2">
      <w:pPr>
        <w:jc w:val="both"/>
      </w:pPr>
      <w:r>
        <w:rPr>
          <w:highlight w:val="yellow"/>
        </w:rPr>
        <w:t>Fragmentation, in turn, does not necessarily mean human extinction. It means loss of functional integration in complex systems. It can appear as weakening of global supply chains, energy crisis, urban instability, failure of public services, institutional discoordination, forced migration or regionalization of productive structures.</w:t>
      </w:r>
    </w:p>
    <w:tbl>
      <w:tblPr>
        <w:tblStyle w:val="Tabelacomgrade"/>
        <w:tblW w:w="0" w:type="auto"/>
        <w:jc w:val="center"/>
        <w:tblLook w:val="04A0" w:firstRow="1" w:lastRow="0" w:firstColumn="1" w:lastColumn="0" w:noHBand="0" w:noVBand="1"/>
      </w:tblPr>
      <w:tblGrid>
        <w:gridCol w:w="3131"/>
        <w:gridCol w:w="3132"/>
        <w:gridCol w:w="3132"/>
      </w:tblGrid>
      <w:tr w:rsidR="006D7EED" w14:paraId="7C340B1C" w14:textId="77777777">
        <w:trPr>
          <w:jc w:val="center"/>
        </w:trPr>
        <w:tc>
          <w:tcPr>
            <w:tcW w:w="3135" w:type="dxa"/>
            <w:shd w:val="clear" w:color="auto" w:fill="D9EAF7"/>
            <w:vAlign w:val="center"/>
          </w:tcPr>
          <w:p w14:paraId="19BABC2A" w14:textId="77777777" w:rsidR="006D7EED" w:rsidRDefault="00E778F2">
            <w:pPr>
              <w:spacing w:line="240" w:lineRule="auto"/>
              <w:ind w:firstLine="0"/>
            </w:pPr>
            <w:r>
              <w:rPr>
                <w:b/>
                <w:sz w:val="18"/>
              </w:rPr>
              <w:t>System state</w:t>
            </w:r>
          </w:p>
        </w:tc>
        <w:tc>
          <w:tcPr>
            <w:tcW w:w="3135" w:type="dxa"/>
            <w:shd w:val="clear" w:color="auto" w:fill="D9EAF7"/>
            <w:vAlign w:val="center"/>
          </w:tcPr>
          <w:p w14:paraId="2BD15287" w14:textId="77777777" w:rsidR="006D7EED" w:rsidRDefault="00E778F2">
            <w:pPr>
              <w:spacing w:line="240" w:lineRule="auto"/>
              <w:ind w:firstLine="0"/>
            </w:pPr>
            <w:r>
              <w:rPr>
                <w:b/>
                <w:sz w:val="18"/>
              </w:rPr>
              <w:t>Mathematical condition</w:t>
            </w:r>
          </w:p>
        </w:tc>
        <w:tc>
          <w:tcPr>
            <w:tcW w:w="3135" w:type="dxa"/>
            <w:shd w:val="clear" w:color="auto" w:fill="D9EAF7"/>
            <w:vAlign w:val="center"/>
          </w:tcPr>
          <w:p w14:paraId="1857D286" w14:textId="77777777" w:rsidR="006D7EED" w:rsidRDefault="00E778F2">
            <w:pPr>
              <w:spacing w:line="240" w:lineRule="auto"/>
              <w:ind w:firstLine="0"/>
            </w:pPr>
            <w:r>
              <w:rPr>
                <w:b/>
                <w:sz w:val="18"/>
              </w:rPr>
              <w:t>Interpretation</w:t>
            </w:r>
          </w:p>
        </w:tc>
      </w:tr>
      <w:tr w:rsidR="006D7EED" w14:paraId="2419048B" w14:textId="77777777">
        <w:trPr>
          <w:jc w:val="center"/>
        </w:trPr>
        <w:tc>
          <w:tcPr>
            <w:tcW w:w="3135" w:type="dxa"/>
            <w:vAlign w:val="center"/>
          </w:tcPr>
          <w:p w14:paraId="739B265B" w14:textId="77777777" w:rsidR="006D7EED" w:rsidRDefault="00E778F2">
            <w:pPr>
              <w:spacing w:line="240" w:lineRule="auto"/>
              <w:ind w:firstLine="0"/>
            </w:pPr>
            <w:r>
              <w:rPr>
                <w:sz w:val="18"/>
              </w:rPr>
              <w:t>Stabilization</w:t>
            </w:r>
          </w:p>
        </w:tc>
        <w:tc>
          <w:tcPr>
            <w:tcW w:w="3135" w:type="dxa"/>
            <w:vAlign w:val="center"/>
          </w:tcPr>
          <w:p w14:paraId="221B748F" w14:textId="77777777" w:rsidR="006D7EED" w:rsidRDefault="00E778F2">
            <w:pPr>
              <w:spacing w:line="240" w:lineRule="auto"/>
              <w:ind w:firstLine="0"/>
            </w:pPr>
            <w:r>
              <w:rPr>
                <w:sz w:val="18"/>
              </w:rPr>
              <w:t>λ(t) &lt; λ_crit and dR/dt &gt; 0</w:t>
            </w:r>
          </w:p>
        </w:tc>
        <w:tc>
          <w:tcPr>
            <w:tcW w:w="3135" w:type="dxa"/>
            <w:vAlign w:val="center"/>
          </w:tcPr>
          <w:p w14:paraId="12536366" w14:textId="77777777" w:rsidR="006D7EED" w:rsidRDefault="00E778F2">
            <w:pPr>
              <w:spacing w:line="240" w:lineRule="auto"/>
              <w:ind w:firstLine="0"/>
            </w:pPr>
            <w:r>
              <w:rPr>
                <w:sz w:val="18"/>
              </w:rPr>
              <w:t>The system reduces pressure and rebuilds resilience.</w:t>
            </w:r>
          </w:p>
        </w:tc>
      </w:tr>
      <w:tr w:rsidR="006D7EED" w14:paraId="784DD17D" w14:textId="77777777">
        <w:trPr>
          <w:jc w:val="center"/>
        </w:trPr>
        <w:tc>
          <w:tcPr>
            <w:tcW w:w="3135" w:type="dxa"/>
            <w:vAlign w:val="center"/>
          </w:tcPr>
          <w:p w14:paraId="6ECFFCB8" w14:textId="77777777" w:rsidR="006D7EED" w:rsidRDefault="00E778F2">
            <w:pPr>
              <w:spacing w:line="240" w:lineRule="auto"/>
              <w:ind w:firstLine="0"/>
            </w:pPr>
            <w:r>
              <w:rPr>
                <w:sz w:val="18"/>
              </w:rPr>
              <w:t>Controlled instability</w:t>
            </w:r>
          </w:p>
        </w:tc>
        <w:tc>
          <w:tcPr>
            <w:tcW w:w="3135" w:type="dxa"/>
            <w:vAlign w:val="center"/>
          </w:tcPr>
          <w:p w14:paraId="3C1F0FD6" w14:textId="77777777" w:rsidR="006D7EED" w:rsidRDefault="00E778F2">
            <w:pPr>
              <w:spacing w:line="240" w:lineRule="auto"/>
              <w:ind w:firstLine="0"/>
            </w:pPr>
            <w:r>
              <w:rPr>
                <w:sz w:val="18"/>
              </w:rPr>
              <w:t>λ(t) oscillates near the threshold</w:t>
            </w:r>
          </w:p>
        </w:tc>
        <w:tc>
          <w:tcPr>
            <w:tcW w:w="3135" w:type="dxa"/>
            <w:vAlign w:val="center"/>
          </w:tcPr>
          <w:p w14:paraId="0EAF5B4A" w14:textId="77777777" w:rsidR="006D7EED" w:rsidRDefault="00E778F2">
            <w:pPr>
              <w:spacing w:line="240" w:lineRule="auto"/>
              <w:ind w:firstLine="0"/>
            </w:pPr>
            <w:r>
              <w:rPr>
                <w:sz w:val="18"/>
              </w:rPr>
              <w:t>The system operates under risk but is still recoverable.</w:t>
            </w:r>
          </w:p>
        </w:tc>
      </w:tr>
      <w:tr w:rsidR="006D7EED" w14:paraId="5A24DAF4" w14:textId="77777777">
        <w:trPr>
          <w:jc w:val="center"/>
        </w:trPr>
        <w:tc>
          <w:tcPr>
            <w:tcW w:w="3135" w:type="dxa"/>
            <w:vAlign w:val="center"/>
          </w:tcPr>
          <w:p w14:paraId="5C6A9DAC" w14:textId="77777777" w:rsidR="006D7EED" w:rsidRDefault="00E778F2">
            <w:pPr>
              <w:spacing w:line="240" w:lineRule="auto"/>
              <w:ind w:firstLine="0"/>
            </w:pPr>
            <w:r>
              <w:rPr>
                <w:sz w:val="18"/>
              </w:rPr>
              <w:t>Critical regime</w:t>
            </w:r>
          </w:p>
        </w:tc>
        <w:tc>
          <w:tcPr>
            <w:tcW w:w="3135" w:type="dxa"/>
            <w:vAlign w:val="center"/>
          </w:tcPr>
          <w:p w14:paraId="012FB3AB" w14:textId="77777777" w:rsidR="006D7EED" w:rsidRDefault="00E778F2">
            <w:pPr>
              <w:spacing w:line="240" w:lineRule="auto"/>
              <w:ind w:firstLine="0"/>
            </w:pPr>
            <w:r>
              <w:rPr>
                <w:sz w:val="18"/>
              </w:rPr>
              <w:t>λ(t) ≥ λ_crit for τ_p years</w:t>
            </w:r>
          </w:p>
        </w:tc>
        <w:tc>
          <w:tcPr>
            <w:tcW w:w="3135" w:type="dxa"/>
            <w:vAlign w:val="center"/>
          </w:tcPr>
          <w:p w14:paraId="1E0C54FB" w14:textId="77777777" w:rsidR="006D7EED" w:rsidRDefault="00E778F2">
            <w:pPr>
              <w:spacing w:line="240" w:lineRule="auto"/>
              <w:ind w:firstLine="0"/>
            </w:pPr>
            <w:r>
              <w:rPr>
                <w:sz w:val="18"/>
              </w:rPr>
              <w:t>Structural pressure becomes persistent.</w:t>
            </w:r>
          </w:p>
        </w:tc>
      </w:tr>
      <w:tr w:rsidR="006D7EED" w14:paraId="7B7B78EB" w14:textId="77777777">
        <w:trPr>
          <w:jc w:val="center"/>
        </w:trPr>
        <w:tc>
          <w:tcPr>
            <w:tcW w:w="3135" w:type="dxa"/>
            <w:vAlign w:val="center"/>
          </w:tcPr>
          <w:p w14:paraId="52F0A9B4" w14:textId="77777777" w:rsidR="006D7EED" w:rsidRDefault="00E778F2">
            <w:pPr>
              <w:spacing w:line="240" w:lineRule="auto"/>
              <w:ind w:firstLine="0"/>
            </w:pPr>
            <w:r>
              <w:rPr>
                <w:sz w:val="18"/>
                <w:highlight w:val="yellow"/>
              </w:rPr>
              <w:t>Fragmentation</w:t>
            </w:r>
          </w:p>
        </w:tc>
        <w:tc>
          <w:tcPr>
            <w:tcW w:w="3135" w:type="dxa"/>
            <w:vAlign w:val="center"/>
          </w:tcPr>
          <w:p w14:paraId="75AB457D" w14:textId="77777777" w:rsidR="006D7EED" w:rsidRPr="00025DA1" w:rsidRDefault="00E778F2">
            <w:pPr>
              <w:spacing w:line="240" w:lineRule="auto"/>
              <w:ind w:firstLine="0"/>
              <w:rPr>
                <w:lang w:val="fr-FR"/>
              </w:rPr>
            </w:pPr>
            <w:r w:rsidRPr="00025DA1">
              <w:rPr>
                <w:sz w:val="18"/>
                <w:highlight w:val="yellow"/>
                <w:lang w:val="fr-FR"/>
              </w:rPr>
              <w:t xml:space="preserve">R(t) &lt; R_min and G(t) &lt; </w:t>
            </w:r>
            <w:proofErr w:type="spellStart"/>
            <w:r w:rsidRPr="00025DA1">
              <w:rPr>
                <w:sz w:val="18"/>
                <w:highlight w:val="yellow"/>
                <w:lang w:val="fr-FR"/>
              </w:rPr>
              <w:t>G_min</w:t>
            </w:r>
            <w:proofErr w:type="spellEnd"/>
          </w:p>
        </w:tc>
        <w:tc>
          <w:tcPr>
            <w:tcW w:w="3135" w:type="dxa"/>
            <w:vAlign w:val="center"/>
          </w:tcPr>
          <w:p w14:paraId="4695CA37" w14:textId="77777777" w:rsidR="006D7EED" w:rsidRDefault="00E778F2">
            <w:pPr>
              <w:spacing w:line="240" w:lineRule="auto"/>
              <w:ind w:firstLine="0"/>
            </w:pPr>
            <w:r>
              <w:rPr>
                <w:sz w:val="18"/>
                <w:highlight w:val="yellow"/>
              </w:rPr>
              <w:t xml:space="preserve">Coordination and </w:t>
            </w:r>
            <w:proofErr w:type="spellStart"/>
            <w:r>
              <w:rPr>
                <w:sz w:val="18"/>
                <w:highlight w:val="yellow"/>
              </w:rPr>
              <w:t>recomposition</w:t>
            </w:r>
            <w:proofErr w:type="spellEnd"/>
            <w:r>
              <w:rPr>
                <w:sz w:val="18"/>
                <w:highlight w:val="yellow"/>
              </w:rPr>
              <w:t xml:space="preserve"> no longer sustain complexity.</w:t>
            </w:r>
          </w:p>
        </w:tc>
      </w:tr>
    </w:tbl>
    <w:p w14:paraId="4ADAC083" w14:textId="77777777" w:rsidR="006D7EED" w:rsidRDefault="006D7EED"/>
    <w:p w14:paraId="45184638" w14:textId="77777777" w:rsidR="006D7EED" w:rsidRDefault="00E778F2">
      <w:pPr>
        <w:jc w:val="both"/>
      </w:pPr>
      <w:r>
        <w:t>This interpretation is important because it differentiates the Mathematics of Structural Entropy from fatalistic narratives. The model admits recovery, adaptation and alternative trajectories. The decisive point is to verify whether technology, governance and resilience grow faster than degradation, climatic pressure and demand.</w:t>
      </w:r>
    </w:p>
    <w:p w14:paraId="4F4AAA02" w14:textId="36B00BB5" w:rsidR="006D7EED" w:rsidRDefault="008F5846">
      <w:pPr>
        <w:pStyle w:val="Ttulo1"/>
      </w:pPr>
      <w:r>
        <w:lastRenderedPageBreak/>
        <w:t>X- Technology, governance and compensation effect</w:t>
      </w:r>
    </w:p>
    <w:p w14:paraId="7E68FC7E" w14:textId="77777777" w:rsidR="006D7EED" w:rsidRDefault="00E778F2">
      <w:pPr>
        <w:jc w:val="both"/>
      </w:pPr>
      <w:r>
        <w:t>One of the central points of my formulation is that technology should not be treated as an isolated saving variable. It has systemic effect only when combined with governance, coordination, infrastructure and social distribution. For this reason, I use the product T(t)G(t) instead of an independent technological variable.</w:t>
      </w:r>
    </w:p>
    <w:tbl>
      <w:tblPr>
        <w:tblStyle w:val="Tabelacomgrade"/>
        <w:tblW w:w="0" w:type="auto"/>
        <w:jc w:val="center"/>
        <w:tblLook w:val="04A0" w:firstRow="1" w:lastRow="0" w:firstColumn="1" w:lastColumn="0" w:noHBand="0" w:noVBand="1"/>
      </w:tblPr>
      <w:tblGrid>
        <w:gridCol w:w="4697"/>
        <w:gridCol w:w="4698"/>
      </w:tblGrid>
      <w:tr w:rsidR="006D7EED" w14:paraId="2CB9645F" w14:textId="77777777">
        <w:trPr>
          <w:jc w:val="center"/>
        </w:trPr>
        <w:tc>
          <w:tcPr>
            <w:tcW w:w="4702" w:type="dxa"/>
            <w:shd w:val="clear" w:color="auto" w:fill="D9EAF7"/>
            <w:vAlign w:val="center"/>
          </w:tcPr>
          <w:p w14:paraId="1CAB71F3" w14:textId="77777777" w:rsidR="006D7EED" w:rsidRDefault="00E778F2">
            <w:pPr>
              <w:spacing w:line="240" w:lineRule="auto"/>
              <w:ind w:firstLine="0"/>
            </w:pPr>
            <w:r>
              <w:rPr>
                <w:b/>
                <w:sz w:val="18"/>
              </w:rPr>
              <w:t>Condition</w:t>
            </w:r>
          </w:p>
        </w:tc>
        <w:tc>
          <w:tcPr>
            <w:tcW w:w="4702" w:type="dxa"/>
            <w:shd w:val="clear" w:color="auto" w:fill="D9EAF7"/>
            <w:vAlign w:val="center"/>
          </w:tcPr>
          <w:p w14:paraId="783F3AA3" w14:textId="77777777" w:rsidR="006D7EED" w:rsidRDefault="00E778F2">
            <w:pPr>
              <w:spacing w:line="240" w:lineRule="auto"/>
              <w:ind w:firstLine="0"/>
            </w:pPr>
            <w:r>
              <w:rPr>
                <w:b/>
                <w:sz w:val="18"/>
              </w:rPr>
              <w:t>Likely effect</w:t>
            </w:r>
          </w:p>
        </w:tc>
      </w:tr>
      <w:tr w:rsidR="006D7EED" w14:paraId="60790B45" w14:textId="77777777">
        <w:trPr>
          <w:jc w:val="center"/>
        </w:trPr>
        <w:tc>
          <w:tcPr>
            <w:tcW w:w="4702" w:type="dxa"/>
            <w:vAlign w:val="center"/>
          </w:tcPr>
          <w:p w14:paraId="5F4C4C61" w14:textId="77777777" w:rsidR="006D7EED" w:rsidRDefault="00E778F2">
            <w:pPr>
              <w:spacing w:line="240" w:lineRule="auto"/>
              <w:ind w:firstLine="0"/>
            </w:pPr>
            <w:r>
              <w:rPr>
                <w:sz w:val="18"/>
              </w:rPr>
              <w:t>High technology and high governance</w:t>
            </w:r>
          </w:p>
        </w:tc>
        <w:tc>
          <w:tcPr>
            <w:tcW w:w="4702" w:type="dxa"/>
            <w:vAlign w:val="center"/>
          </w:tcPr>
          <w:p w14:paraId="0D1B041A" w14:textId="77777777" w:rsidR="006D7EED" w:rsidRDefault="00E778F2">
            <w:pPr>
              <w:spacing w:line="240" w:lineRule="auto"/>
              <w:ind w:firstLine="0"/>
            </w:pPr>
            <w:r>
              <w:rPr>
                <w:sz w:val="18"/>
              </w:rPr>
              <w:t>Effective mitigation, resilience recomposition and reduction of λ(t).</w:t>
            </w:r>
          </w:p>
        </w:tc>
      </w:tr>
      <w:tr w:rsidR="006D7EED" w14:paraId="3897F7C0" w14:textId="77777777">
        <w:trPr>
          <w:jc w:val="center"/>
        </w:trPr>
        <w:tc>
          <w:tcPr>
            <w:tcW w:w="4702" w:type="dxa"/>
            <w:vAlign w:val="center"/>
          </w:tcPr>
          <w:p w14:paraId="1EB24E41" w14:textId="77777777" w:rsidR="006D7EED" w:rsidRDefault="00E778F2">
            <w:pPr>
              <w:spacing w:line="240" w:lineRule="auto"/>
              <w:ind w:firstLine="0"/>
            </w:pPr>
            <w:r>
              <w:rPr>
                <w:sz w:val="18"/>
              </w:rPr>
              <w:t>High technology and low governance</w:t>
            </w:r>
          </w:p>
        </w:tc>
        <w:tc>
          <w:tcPr>
            <w:tcW w:w="4702" w:type="dxa"/>
            <w:vAlign w:val="center"/>
          </w:tcPr>
          <w:p w14:paraId="3970D494" w14:textId="77777777" w:rsidR="006D7EED" w:rsidRDefault="00E778F2">
            <w:pPr>
              <w:spacing w:line="240" w:lineRule="auto"/>
              <w:ind w:firstLine="0"/>
            </w:pPr>
            <w:r>
              <w:rPr>
                <w:sz w:val="18"/>
              </w:rPr>
              <w:t>Localized gains, inequality, rebound effect and fragmentation risk.</w:t>
            </w:r>
          </w:p>
        </w:tc>
      </w:tr>
      <w:tr w:rsidR="006D7EED" w14:paraId="24F887E5" w14:textId="77777777">
        <w:trPr>
          <w:jc w:val="center"/>
        </w:trPr>
        <w:tc>
          <w:tcPr>
            <w:tcW w:w="4702" w:type="dxa"/>
            <w:vAlign w:val="center"/>
          </w:tcPr>
          <w:p w14:paraId="39084D41" w14:textId="77777777" w:rsidR="006D7EED" w:rsidRDefault="00E778F2">
            <w:pPr>
              <w:spacing w:line="240" w:lineRule="auto"/>
              <w:ind w:firstLine="0"/>
            </w:pPr>
            <w:r>
              <w:rPr>
                <w:sz w:val="18"/>
              </w:rPr>
              <w:t>Low technology and high governance</w:t>
            </w:r>
          </w:p>
        </w:tc>
        <w:tc>
          <w:tcPr>
            <w:tcW w:w="4702" w:type="dxa"/>
            <w:vAlign w:val="center"/>
          </w:tcPr>
          <w:p w14:paraId="0E887B8D" w14:textId="77777777" w:rsidR="006D7EED" w:rsidRDefault="00E778F2">
            <w:pPr>
              <w:spacing w:line="240" w:lineRule="auto"/>
              <w:ind w:firstLine="0"/>
            </w:pPr>
            <w:r>
              <w:rPr>
                <w:sz w:val="18"/>
              </w:rPr>
              <w:t>Adaptation through coordination, demand reduction and local resilience.</w:t>
            </w:r>
          </w:p>
        </w:tc>
      </w:tr>
      <w:tr w:rsidR="006D7EED" w14:paraId="5F263186" w14:textId="77777777">
        <w:trPr>
          <w:jc w:val="center"/>
        </w:trPr>
        <w:tc>
          <w:tcPr>
            <w:tcW w:w="4702" w:type="dxa"/>
            <w:vAlign w:val="center"/>
          </w:tcPr>
          <w:p w14:paraId="6D823474" w14:textId="77777777" w:rsidR="006D7EED" w:rsidRDefault="00E778F2">
            <w:pPr>
              <w:spacing w:line="240" w:lineRule="auto"/>
              <w:ind w:firstLine="0"/>
            </w:pPr>
            <w:r>
              <w:rPr>
                <w:sz w:val="18"/>
              </w:rPr>
              <w:t>Low technology and low governance</w:t>
            </w:r>
          </w:p>
        </w:tc>
        <w:tc>
          <w:tcPr>
            <w:tcW w:w="4702" w:type="dxa"/>
            <w:vAlign w:val="center"/>
          </w:tcPr>
          <w:p w14:paraId="3723454B" w14:textId="77777777" w:rsidR="006D7EED" w:rsidRDefault="00E778F2">
            <w:pPr>
              <w:spacing w:line="240" w:lineRule="auto"/>
              <w:ind w:firstLine="0"/>
            </w:pPr>
            <w:r>
              <w:rPr>
                <w:sz w:val="18"/>
              </w:rPr>
              <w:t>Increased pressure, resilience decline and persistent instability.</w:t>
            </w:r>
          </w:p>
        </w:tc>
      </w:tr>
    </w:tbl>
    <w:p w14:paraId="5746D55E" w14:textId="77777777" w:rsidR="006D7EED" w:rsidRDefault="006D7EED"/>
    <w:p w14:paraId="5374625F" w14:textId="77777777" w:rsidR="006D7EED" w:rsidRDefault="00E778F2">
      <w:pPr>
        <w:jc w:val="both"/>
      </w:pPr>
      <w:r>
        <w:t>This formulation allows testing a strong hypothesis: technology only shifts the entropic trajectory if its systemic effectiveness is greater than the sum of losses imposed by degradation, warming, land conversion and social fragility.</w:t>
      </w:r>
    </w:p>
    <w:p w14:paraId="32EEAD94" w14:textId="75F0F428" w:rsidR="006D7EED" w:rsidRDefault="008F5846">
      <w:pPr>
        <w:pStyle w:val="Ttulo1"/>
      </w:pPr>
      <w:r>
        <w:t>XI- Scenarios and treatment of critical dates</w:t>
      </w:r>
    </w:p>
    <w:p w14:paraId="0985E328" w14:textId="77777777" w:rsidR="006D7EED" w:rsidRDefault="00E778F2">
      <w:pPr>
        <w:jc w:val="both"/>
      </w:pPr>
      <w:r>
        <w:t>In the essayistic version of the theory, dates such as 2155, 2163 and 2197 could be perceived as rigid predictions. In this scientific version, I redefine them as conditional outputs. They only have validity within scenarios, parameters and confidence intervals.</w:t>
      </w:r>
    </w:p>
    <w:tbl>
      <w:tblPr>
        <w:tblStyle w:val="Tabelacomgrade"/>
        <w:tblW w:w="0" w:type="auto"/>
        <w:jc w:val="center"/>
        <w:tblLook w:val="04A0" w:firstRow="1" w:lastRow="0" w:firstColumn="1" w:lastColumn="0" w:noHBand="0" w:noVBand="1"/>
      </w:tblPr>
      <w:tblGrid>
        <w:gridCol w:w="3131"/>
        <w:gridCol w:w="3132"/>
        <w:gridCol w:w="3132"/>
      </w:tblGrid>
      <w:tr w:rsidR="006D7EED" w14:paraId="0E3E84A9" w14:textId="77777777">
        <w:trPr>
          <w:jc w:val="center"/>
        </w:trPr>
        <w:tc>
          <w:tcPr>
            <w:tcW w:w="3135" w:type="dxa"/>
            <w:shd w:val="clear" w:color="auto" w:fill="D9EAF7"/>
            <w:vAlign w:val="center"/>
          </w:tcPr>
          <w:p w14:paraId="70682795" w14:textId="77777777" w:rsidR="006D7EED" w:rsidRDefault="00E778F2">
            <w:pPr>
              <w:spacing w:line="240" w:lineRule="auto"/>
              <w:ind w:firstLine="0"/>
            </w:pPr>
            <w:r>
              <w:rPr>
                <w:b/>
                <w:sz w:val="18"/>
              </w:rPr>
              <w:t>Milestone</w:t>
            </w:r>
          </w:p>
        </w:tc>
        <w:tc>
          <w:tcPr>
            <w:tcW w:w="3135" w:type="dxa"/>
            <w:shd w:val="clear" w:color="auto" w:fill="D9EAF7"/>
            <w:vAlign w:val="center"/>
          </w:tcPr>
          <w:p w14:paraId="66C365DB" w14:textId="77777777" w:rsidR="006D7EED" w:rsidRDefault="00E778F2">
            <w:pPr>
              <w:spacing w:line="240" w:lineRule="auto"/>
              <w:ind w:firstLine="0"/>
            </w:pPr>
            <w:r>
              <w:rPr>
                <w:b/>
                <w:sz w:val="18"/>
              </w:rPr>
              <w:t>Appropriate scientific treatment</w:t>
            </w:r>
          </w:p>
        </w:tc>
        <w:tc>
          <w:tcPr>
            <w:tcW w:w="3135" w:type="dxa"/>
            <w:shd w:val="clear" w:color="auto" w:fill="D9EAF7"/>
            <w:vAlign w:val="center"/>
          </w:tcPr>
          <w:p w14:paraId="71275D98" w14:textId="77777777" w:rsidR="006D7EED" w:rsidRDefault="00E778F2">
            <w:pPr>
              <w:spacing w:line="240" w:lineRule="auto"/>
              <w:ind w:firstLine="0"/>
            </w:pPr>
            <w:r>
              <w:rPr>
                <w:b/>
                <w:sz w:val="18"/>
              </w:rPr>
              <w:t>Inadequate interpretation</w:t>
            </w:r>
          </w:p>
        </w:tc>
      </w:tr>
      <w:tr w:rsidR="006D7EED" w14:paraId="46F8366B" w14:textId="77777777">
        <w:trPr>
          <w:jc w:val="center"/>
        </w:trPr>
        <w:tc>
          <w:tcPr>
            <w:tcW w:w="3135" w:type="dxa"/>
            <w:vAlign w:val="center"/>
          </w:tcPr>
          <w:p w14:paraId="0F74055D" w14:textId="77777777" w:rsidR="006D7EED" w:rsidRDefault="00E778F2">
            <w:pPr>
              <w:spacing w:line="240" w:lineRule="auto"/>
              <w:ind w:firstLine="0"/>
            </w:pPr>
            <w:r>
              <w:rPr>
                <w:sz w:val="18"/>
              </w:rPr>
              <w:t>2155</w:t>
            </w:r>
          </w:p>
        </w:tc>
        <w:tc>
          <w:tcPr>
            <w:tcW w:w="3135" w:type="dxa"/>
            <w:vAlign w:val="center"/>
          </w:tcPr>
          <w:p w14:paraId="70FE7C93" w14:textId="77777777" w:rsidR="006D7EED" w:rsidRDefault="00E778F2">
            <w:pPr>
              <w:spacing w:line="240" w:lineRule="auto"/>
              <w:ind w:firstLine="0"/>
            </w:pPr>
            <w:r>
              <w:rPr>
                <w:sz w:val="18"/>
              </w:rPr>
              <w:t>Percentile or median of event in a specific scenario</w:t>
            </w:r>
          </w:p>
        </w:tc>
        <w:tc>
          <w:tcPr>
            <w:tcW w:w="3135" w:type="dxa"/>
            <w:vAlign w:val="center"/>
          </w:tcPr>
          <w:p w14:paraId="6DFE11A7" w14:textId="77777777" w:rsidR="006D7EED" w:rsidRDefault="00E778F2">
            <w:pPr>
              <w:spacing w:line="240" w:lineRule="auto"/>
              <w:ind w:firstLine="0"/>
            </w:pPr>
            <w:r>
              <w:rPr>
                <w:sz w:val="18"/>
              </w:rPr>
              <w:t>Inevitable year of collapse.</w:t>
            </w:r>
          </w:p>
        </w:tc>
      </w:tr>
      <w:tr w:rsidR="006D7EED" w14:paraId="25DE4B82" w14:textId="77777777">
        <w:trPr>
          <w:jc w:val="center"/>
        </w:trPr>
        <w:tc>
          <w:tcPr>
            <w:tcW w:w="3135" w:type="dxa"/>
            <w:vAlign w:val="center"/>
          </w:tcPr>
          <w:p w14:paraId="3B4C7F5D" w14:textId="77777777" w:rsidR="006D7EED" w:rsidRDefault="00E778F2">
            <w:pPr>
              <w:spacing w:line="240" w:lineRule="auto"/>
              <w:ind w:firstLine="0"/>
            </w:pPr>
            <w:r>
              <w:rPr>
                <w:sz w:val="18"/>
              </w:rPr>
              <w:t>2163</w:t>
            </w:r>
          </w:p>
        </w:tc>
        <w:tc>
          <w:tcPr>
            <w:tcW w:w="3135" w:type="dxa"/>
            <w:vAlign w:val="center"/>
          </w:tcPr>
          <w:p w14:paraId="00BEDA1F" w14:textId="77777777" w:rsidR="006D7EED" w:rsidRDefault="00E778F2">
            <w:pPr>
              <w:spacing w:line="240" w:lineRule="auto"/>
              <w:ind w:firstLine="0"/>
            </w:pPr>
            <w:r>
              <w:rPr>
                <w:sz w:val="18"/>
              </w:rPr>
              <w:t>Possible median of τ₂ in a high-degradation scenario</w:t>
            </w:r>
          </w:p>
        </w:tc>
        <w:tc>
          <w:tcPr>
            <w:tcW w:w="3135" w:type="dxa"/>
            <w:vAlign w:val="center"/>
          </w:tcPr>
          <w:p w14:paraId="34C287BE" w14:textId="77777777" w:rsidR="006D7EED" w:rsidRDefault="00E778F2">
            <w:pPr>
              <w:spacing w:line="240" w:lineRule="auto"/>
              <w:ind w:firstLine="0"/>
            </w:pPr>
            <w:r>
              <w:rPr>
                <w:sz w:val="18"/>
              </w:rPr>
              <w:t>Fixed year of civilizational rupture.</w:t>
            </w:r>
          </w:p>
        </w:tc>
      </w:tr>
      <w:tr w:rsidR="006D7EED" w14:paraId="471564E9" w14:textId="77777777">
        <w:trPr>
          <w:jc w:val="center"/>
        </w:trPr>
        <w:tc>
          <w:tcPr>
            <w:tcW w:w="3135" w:type="dxa"/>
            <w:vAlign w:val="center"/>
          </w:tcPr>
          <w:p w14:paraId="5C038424" w14:textId="77777777" w:rsidR="006D7EED" w:rsidRDefault="00E778F2">
            <w:pPr>
              <w:spacing w:line="240" w:lineRule="auto"/>
              <w:ind w:firstLine="0"/>
            </w:pPr>
            <w:r>
              <w:rPr>
                <w:sz w:val="18"/>
              </w:rPr>
              <w:t>2197</w:t>
            </w:r>
          </w:p>
        </w:tc>
        <w:tc>
          <w:tcPr>
            <w:tcW w:w="3135" w:type="dxa"/>
            <w:vAlign w:val="center"/>
          </w:tcPr>
          <w:p w14:paraId="0DF14D55" w14:textId="77777777" w:rsidR="006D7EED" w:rsidRDefault="00E778F2">
            <w:pPr>
              <w:spacing w:line="240" w:lineRule="auto"/>
              <w:ind w:firstLine="0"/>
            </w:pPr>
            <w:r>
              <w:rPr>
                <w:sz w:val="18"/>
              </w:rPr>
              <w:t>Long-term sociocultural hypothesis</w:t>
            </w:r>
          </w:p>
        </w:tc>
        <w:tc>
          <w:tcPr>
            <w:tcW w:w="3135" w:type="dxa"/>
            <w:vAlign w:val="center"/>
          </w:tcPr>
          <w:p w14:paraId="7D30756A" w14:textId="77777777" w:rsidR="006D7EED" w:rsidRDefault="00E778F2">
            <w:pPr>
              <w:spacing w:line="240" w:lineRule="auto"/>
              <w:ind w:firstLine="0"/>
            </w:pPr>
            <w:r>
              <w:rPr>
                <w:sz w:val="18"/>
              </w:rPr>
              <w:t>Official demographic projection.</w:t>
            </w:r>
          </w:p>
        </w:tc>
      </w:tr>
    </w:tbl>
    <w:p w14:paraId="1ACD0CCC" w14:textId="77777777" w:rsidR="006D7EED" w:rsidRDefault="006D7EED"/>
    <w:p w14:paraId="4770B2E5" w14:textId="77777777" w:rsidR="006D7EED" w:rsidRDefault="00E778F2">
      <w:pPr>
        <w:jc w:val="both"/>
      </w:pPr>
      <w:r>
        <w:t>Thus, I preserve the original intuition of long-term risk but subject it to statistical discipline. The model should always report median, confidence interval and the probability of non-occurrence of the event within the analyzed horizon.</w:t>
      </w:r>
    </w:p>
    <w:p w14:paraId="498BCB4A" w14:textId="0F0C75F9" w:rsidR="006D7EED" w:rsidRDefault="008F5846">
      <w:pPr>
        <w:pStyle w:val="Ttulo1"/>
      </w:pPr>
      <w:r>
        <w:lastRenderedPageBreak/>
        <w:t>XII- Limitations</w:t>
      </w:r>
    </w:p>
    <w:p w14:paraId="1302B665" w14:textId="77777777" w:rsidR="006D7EED" w:rsidRDefault="00E778F2">
      <w:pPr>
        <w:jc w:val="both"/>
      </w:pPr>
      <w:r>
        <w:t>This article presents an initial conceptual and mathematical structure. Its main limitation is that empirical calibration still needs to be fully executed. The definition of D(t), for example, requires methodological choices about which environmental pressures will be aggregated and how they will be weighted. The variable R(t) may also require treatment as a latent variable derived from indicators of recovery, stability and institutional capacity.</w:t>
      </w:r>
    </w:p>
    <w:p w14:paraId="6A1BF25E" w14:textId="77777777" w:rsidR="006D7EED" w:rsidRDefault="00E778F2">
      <w:pPr>
        <w:jc w:val="both"/>
      </w:pPr>
      <w:r>
        <w:t>Another limitation is scale. A global model can hide regional inequalities, technological asymmetries and distinct institutional capacities. Therefore, future expansion should allow regional or multilayer modeling. In addition, projections beyond 2100 have high uncertainty and should be treated only as exploratory experiments.</w:t>
      </w:r>
    </w:p>
    <w:p w14:paraId="4D2DEA65" w14:textId="3E326610" w:rsidR="006D7EED" w:rsidRDefault="008F5846">
      <w:pPr>
        <w:pStyle w:val="Ttulo1"/>
      </w:pPr>
      <w:r>
        <w:t>XIII- Conclusion</w:t>
      </w:r>
    </w:p>
    <w:p w14:paraId="75861442" w14:textId="77777777" w:rsidR="006D7EED" w:rsidRDefault="00E778F2">
      <w:pPr>
        <w:jc w:val="both"/>
      </w:pPr>
      <w:r>
        <w:t>In this article, I presented the Mathematics of Structural Entropy as a conditional modeling proposal of the loss of coherence in coupled human–environment systems. My aim was to transform a strong intuition arising from behaviors stimulated by studies and reports of official bodies — namely that complex societies can lose sustainability when their accumulated pressure exceeds their capacity for recomposition — into a clearer, criticizable and reproducible mathematical structure.</w:t>
      </w:r>
    </w:p>
    <w:p w14:paraId="33C41393" w14:textId="77777777" w:rsidR="006D7EED" w:rsidRDefault="00E778F2">
      <w:pPr>
        <w:jc w:val="both"/>
      </w:pPr>
      <w:r>
        <w:t>The central contribution lies in the definition of λ(t) as an index of structural entropic pressure and in the formulation of K_eff(t) as a dynamic carrying capacity, reduced by degradation, warming and land use, but partially recomposed by technology and governance. By introducing events such as τ₁, τ₂ and τ₃, I also replace the idea of inevitable collapse with conditional scenario events.</w:t>
      </w:r>
    </w:p>
    <w:p w14:paraId="3CBD236F" w14:textId="77777777" w:rsidR="008F5846" w:rsidRDefault="00E778F2" w:rsidP="008F5846">
      <w:pPr>
        <w:jc w:val="both"/>
      </w:pPr>
      <w:r>
        <w:t xml:space="preserve">The theory can be considered solid if it meets four requirements: complete formalization of variables, calibration with recognized data, reproducible simulation and real possibility of falsification. From the moment such behavioral data are fully </w:t>
      </w:r>
      <w:proofErr w:type="gramStart"/>
      <w:r>
        <w:t>provided</w:t>
      </w:r>
      <w:proofErr w:type="gramEnd"/>
      <w:r>
        <w:t xml:space="preserve"> and these criteria are met with objective compliance to the formulations, the Mathematics of Structural Entropy can contribute not as random or purely analytical hypotheses, but as a scientific tool to identify risks, test scenarios and guide decisions in systems of high complexity.</w:t>
      </w:r>
    </w:p>
    <w:p w14:paraId="37304F0F" w14:textId="17A1FEEA" w:rsidR="006D7EED" w:rsidRDefault="008F5846" w:rsidP="008F5846">
      <w:pPr>
        <w:pStyle w:val="Ttulo3"/>
        <w:ind w:hanging="142"/>
      </w:pPr>
      <w:r>
        <w:lastRenderedPageBreak/>
        <w:t>XIV- References</w:t>
      </w:r>
    </w:p>
    <w:p w14:paraId="06718076" w14:textId="77777777" w:rsidR="00025DA1" w:rsidRPr="00BE6CF9" w:rsidRDefault="00025DA1" w:rsidP="00025DA1">
      <w:pPr>
        <w:rPr>
          <w:rFonts w:ascii="Arial" w:hAnsi="Arial" w:cs="Arial"/>
          <w:szCs w:val="24"/>
          <w:lang w:val="pt-BR"/>
        </w:rPr>
      </w:pPr>
      <w:r w:rsidRPr="00BE6CF9">
        <w:rPr>
          <w:rFonts w:ascii="Arial" w:hAnsi="Arial" w:cs="Arial"/>
          <w:szCs w:val="24"/>
          <w:lang w:val="pt-BR"/>
        </w:rPr>
        <w:br/>
      </w:r>
    </w:p>
    <w:p w14:paraId="549D4100" w14:textId="77777777" w:rsidR="00025DA1" w:rsidRPr="00BE6CF9" w:rsidRDefault="00025DA1" w:rsidP="00025DA1">
      <w:pPr>
        <w:jc w:val="both"/>
        <w:rPr>
          <w:rFonts w:ascii="Arial" w:hAnsi="Arial" w:cs="Arial"/>
          <w:szCs w:val="24"/>
          <w:lang w:val="pt-BR"/>
        </w:rPr>
      </w:pPr>
      <w:r w:rsidRPr="00BE6CF9">
        <w:rPr>
          <w:rFonts w:ascii="Arial" w:hAnsi="Arial" w:cs="Arial"/>
          <w:szCs w:val="24"/>
          <w:lang w:val="pt-BR"/>
        </w:rPr>
        <w:t>1. Teoria dos Sistemas Complexos e Colapso Sistêmico</w:t>
      </w:r>
    </w:p>
    <w:p w14:paraId="2FD37172" w14:textId="77777777" w:rsidR="00025DA1" w:rsidRPr="00BE6CF9" w:rsidRDefault="00025DA1" w:rsidP="00025DA1">
      <w:pPr>
        <w:jc w:val="both"/>
        <w:rPr>
          <w:rFonts w:ascii="Arial" w:hAnsi="Arial" w:cs="Arial"/>
          <w:szCs w:val="24"/>
        </w:rPr>
      </w:pPr>
      <w:r w:rsidRPr="00BE6CF9">
        <w:rPr>
          <w:rFonts w:ascii="Arial" w:hAnsi="Arial" w:cs="Arial"/>
          <w:szCs w:val="24"/>
        </w:rPr>
        <w:t>MEADOWS, Donella H.; MEADOWS, Dennis L.; RANDERS, Jørgen; BEHRENS, William W. III. The Limits to Growth: A Report for the Club of Rome's Project on the Predicament of Mankind. New York: Universe Books, 1972.</w:t>
      </w:r>
    </w:p>
    <w:p w14:paraId="5DB3F116" w14:textId="77777777" w:rsidR="00025DA1" w:rsidRPr="00BE6CF9" w:rsidRDefault="00025DA1" w:rsidP="00025DA1">
      <w:pPr>
        <w:jc w:val="both"/>
        <w:rPr>
          <w:rFonts w:ascii="Arial" w:hAnsi="Arial" w:cs="Arial"/>
          <w:szCs w:val="24"/>
        </w:rPr>
      </w:pPr>
      <w:r w:rsidRPr="00BE6CF9">
        <w:rPr>
          <w:rFonts w:ascii="Arial" w:hAnsi="Arial" w:cs="Arial"/>
          <w:szCs w:val="24"/>
        </w:rPr>
        <w:t>SCHELLNHUBER, Hans Joachim (ed.). Earth System Analysis: Integrating Science for Sustainability. Springer, 1998.</w:t>
      </w:r>
    </w:p>
    <w:p w14:paraId="5B34CE8E" w14:textId="77777777" w:rsidR="00025DA1" w:rsidRPr="00BE6CF9" w:rsidRDefault="00025DA1" w:rsidP="00025DA1">
      <w:pPr>
        <w:jc w:val="both"/>
        <w:rPr>
          <w:rFonts w:ascii="Arial" w:hAnsi="Arial" w:cs="Arial"/>
          <w:szCs w:val="24"/>
        </w:rPr>
      </w:pPr>
      <w:r w:rsidRPr="00BE6CF9">
        <w:rPr>
          <w:rFonts w:ascii="Arial" w:hAnsi="Arial" w:cs="Arial"/>
          <w:szCs w:val="24"/>
        </w:rPr>
        <w:t>MITCHELL, Melanie. Complexity: A Guided Tour. Oxford University Press, 2009.</w:t>
      </w:r>
    </w:p>
    <w:p w14:paraId="13E4F734" w14:textId="77777777" w:rsidR="00025DA1" w:rsidRPr="00BE6CF9" w:rsidRDefault="00025DA1" w:rsidP="00025DA1">
      <w:pPr>
        <w:jc w:val="both"/>
        <w:rPr>
          <w:rFonts w:ascii="Arial" w:hAnsi="Arial" w:cs="Arial"/>
          <w:szCs w:val="24"/>
        </w:rPr>
      </w:pPr>
      <w:r w:rsidRPr="00BE6CF9">
        <w:rPr>
          <w:rFonts w:ascii="Arial" w:hAnsi="Arial" w:cs="Arial"/>
          <w:szCs w:val="24"/>
          <w:lang w:val="pt-BR"/>
        </w:rPr>
        <w:t xml:space="preserve">MORIN, Edgar. Introdução ao Pensamento Complexo. </w:t>
      </w:r>
      <w:r w:rsidRPr="00BE6CF9">
        <w:rPr>
          <w:rFonts w:ascii="Arial" w:hAnsi="Arial" w:cs="Arial"/>
          <w:szCs w:val="24"/>
        </w:rPr>
        <w:t>Lisboa: Instituto Piaget, 2000.</w:t>
      </w:r>
    </w:p>
    <w:p w14:paraId="51EC42A8" w14:textId="77777777" w:rsidR="00025DA1" w:rsidRPr="00BE6CF9" w:rsidRDefault="00025DA1" w:rsidP="00025DA1">
      <w:pPr>
        <w:jc w:val="both"/>
        <w:rPr>
          <w:rFonts w:ascii="Arial" w:hAnsi="Arial" w:cs="Arial"/>
          <w:szCs w:val="24"/>
        </w:rPr>
      </w:pPr>
      <w:r w:rsidRPr="00BE6CF9">
        <w:rPr>
          <w:rFonts w:ascii="Arial" w:hAnsi="Arial" w:cs="Arial"/>
          <w:szCs w:val="24"/>
        </w:rPr>
        <w:t>HOLLING, C. S. “Resilience and Stability of Ecological Systems.” Annual Review of Ecology and Systematics, vol. 4, pp. 1–23, 1973.</w:t>
      </w:r>
    </w:p>
    <w:p w14:paraId="6FC60CC8" w14:textId="77777777" w:rsidR="00025DA1" w:rsidRPr="00BE6CF9" w:rsidRDefault="00025DA1" w:rsidP="00025DA1">
      <w:pPr>
        <w:jc w:val="both"/>
        <w:rPr>
          <w:rFonts w:ascii="Arial" w:hAnsi="Arial" w:cs="Arial"/>
          <w:szCs w:val="24"/>
        </w:rPr>
      </w:pPr>
      <w:r w:rsidRPr="00BE6CF9">
        <w:rPr>
          <w:rFonts w:ascii="Arial" w:hAnsi="Arial" w:cs="Arial"/>
          <w:szCs w:val="24"/>
        </w:rPr>
        <w:t xml:space="preserve">2. </w:t>
      </w:r>
      <w:proofErr w:type="spellStart"/>
      <w:r w:rsidRPr="00BE6CF9">
        <w:rPr>
          <w:rFonts w:ascii="Arial" w:hAnsi="Arial" w:cs="Arial"/>
          <w:szCs w:val="24"/>
        </w:rPr>
        <w:t>Limites</w:t>
      </w:r>
      <w:proofErr w:type="spellEnd"/>
      <w:r w:rsidRPr="00BE6CF9">
        <w:rPr>
          <w:rFonts w:ascii="Arial" w:hAnsi="Arial" w:cs="Arial"/>
          <w:szCs w:val="24"/>
        </w:rPr>
        <w:t xml:space="preserve"> </w:t>
      </w:r>
      <w:proofErr w:type="spellStart"/>
      <w:r w:rsidRPr="00BE6CF9">
        <w:rPr>
          <w:rFonts w:ascii="Arial" w:hAnsi="Arial" w:cs="Arial"/>
          <w:szCs w:val="24"/>
        </w:rPr>
        <w:t>Planetários</w:t>
      </w:r>
      <w:proofErr w:type="spellEnd"/>
      <w:r w:rsidRPr="00BE6CF9">
        <w:rPr>
          <w:rFonts w:ascii="Arial" w:hAnsi="Arial" w:cs="Arial"/>
          <w:szCs w:val="24"/>
        </w:rPr>
        <w:t xml:space="preserve">, </w:t>
      </w:r>
      <w:proofErr w:type="spellStart"/>
      <w:r w:rsidRPr="00BE6CF9">
        <w:rPr>
          <w:rFonts w:ascii="Arial" w:hAnsi="Arial" w:cs="Arial"/>
          <w:szCs w:val="24"/>
        </w:rPr>
        <w:t>Entropia</w:t>
      </w:r>
      <w:proofErr w:type="spellEnd"/>
      <w:r w:rsidRPr="00BE6CF9">
        <w:rPr>
          <w:rFonts w:ascii="Arial" w:hAnsi="Arial" w:cs="Arial"/>
          <w:szCs w:val="24"/>
        </w:rPr>
        <w:t xml:space="preserve"> e </w:t>
      </w:r>
      <w:proofErr w:type="spellStart"/>
      <w:r w:rsidRPr="00BE6CF9">
        <w:rPr>
          <w:rFonts w:ascii="Arial" w:hAnsi="Arial" w:cs="Arial"/>
          <w:szCs w:val="24"/>
        </w:rPr>
        <w:t>Extrativismo</w:t>
      </w:r>
      <w:proofErr w:type="spellEnd"/>
    </w:p>
    <w:p w14:paraId="1BE54820" w14:textId="77777777" w:rsidR="00025DA1" w:rsidRPr="00BE6CF9" w:rsidRDefault="00025DA1" w:rsidP="00025DA1">
      <w:pPr>
        <w:jc w:val="both"/>
        <w:rPr>
          <w:rFonts w:ascii="Arial" w:hAnsi="Arial" w:cs="Arial"/>
          <w:szCs w:val="24"/>
        </w:rPr>
      </w:pPr>
      <w:r w:rsidRPr="00BE6CF9">
        <w:rPr>
          <w:rFonts w:ascii="Arial" w:hAnsi="Arial" w:cs="Arial"/>
          <w:szCs w:val="24"/>
        </w:rPr>
        <w:t>ROCKSTRÖM, Johan et al. “A Safe Operating Space for Humanity.” Nature, vol. 461, pp. 472–475, 2009.</w:t>
      </w:r>
    </w:p>
    <w:p w14:paraId="460CA3A7" w14:textId="77777777" w:rsidR="00025DA1" w:rsidRPr="00BE6CF9" w:rsidRDefault="00025DA1" w:rsidP="00025DA1">
      <w:pPr>
        <w:jc w:val="both"/>
        <w:rPr>
          <w:rFonts w:ascii="Arial" w:hAnsi="Arial" w:cs="Arial"/>
          <w:szCs w:val="24"/>
        </w:rPr>
      </w:pPr>
      <w:r w:rsidRPr="00BE6CF9">
        <w:rPr>
          <w:rFonts w:ascii="Arial" w:hAnsi="Arial" w:cs="Arial"/>
          <w:szCs w:val="24"/>
        </w:rPr>
        <w:t>STEFFEN, Will et al. “Planetary Boundaries: Guiding Human Development on a Changing Planet.” Science, vol. 347, no. 6223, 2015.</w:t>
      </w:r>
    </w:p>
    <w:p w14:paraId="6DEF2810" w14:textId="77777777" w:rsidR="00025DA1" w:rsidRPr="00BE6CF9" w:rsidRDefault="00025DA1" w:rsidP="00025DA1">
      <w:pPr>
        <w:jc w:val="both"/>
        <w:rPr>
          <w:rFonts w:ascii="Arial" w:hAnsi="Arial" w:cs="Arial"/>
          <w:szCs w:val="24"/>
        </w:rPr>
      </w:pPr>
      <w:r w:rsidRPr="00BE6CF9">
        <w:rPr>
          <w:rFonts w:ascii="Arial" w:hAnsi="Arial" w:cs="Arial"/>
          <w:szCs w:val="24"/>
        </w:rPr>
        <w:t>DIAMOND, Jared. Collapse: How Societies Choose to Fail or Succeed. Penguin Books, 2005.</w:t>
      </w:r>
    </w:p>
    <w:p w14:paraId="0AE0EB52" w14:textId="77777777" w:rsidR="00025DA1" w:rsidRPr="00BE6CF9" w:rsidRDefault="00025DA1" w:rsidP="00025DA1">
      <w:pPr>
        <w:jc w:val="both"/>
        <w:rPr>
          <w:rFonts w:ascii="Arial" w:hAnsi="Arial" w:cs="Arial"/>
          <w:szCs w:val="24"/>
        </w:rPr>
      </w:pPr>
      <w:r w:rsidRPr="00BE6CF9">
        <w:rPr>
          <w:rFonts w:ascii="Arial" w:hAnsi="Arial" w:cs="Arial"/>
          <w:szCs w:val="24"/>
        </w:rPr>
        <w:t>BROWN, Lester R. Plan B 4.0: Mobilizing to Save Civilization. New York: W. W. Norton &amp; Company, 2009.</w:t>
      </w:r>
    </w:p>
    <w:p w14:paraId="71B065DA" w14:textId="77777777" w:rsidR="00025DA1" w:rsidRPr="00BE6CF9" w:rsidRDefault="00025DA1" w:rsidP="00025DA1">
      <w:pPr>
        <w:jc w:val="both"/>
        <w:rPr>
          <w:rFonts w:ascii="Arial" w:hAnsi="Arial" w:cs="Arial"/>
          <w:szCs w:val="24"/>
          <w:lang w:val="pt-BR"/>
        </w:rPr>
      </w:pPr>
      <w:r w:rsidRPr="00BE6CF9">
        <w:rPr>
          <w:rFonts w:ascii="Arial" w:hAnsi="Arial" w:cs="Arial"/>
          <w:szCs w:val="24"/>
        </w:rPr>
        <w:t xml:space="preserve">FOLEY, Jonathan A. “Global Consequences of Land Use.” </w:t>
      </w:r>
      <w:r w:rsidRPr="00BE6CF9">
        <w:rPr>
          <w:rFonts w:ascii="Arial" w:hAnsi="Arial" w:cs="Arial"/>
          <w:szCs w:val="24"/>
          <w:lang w:val="pt-BR"/>
        </w:rPr>
        <w:t>Science, vol. 309, no. 5734, pp. 570–574, 2005.</w:t>
      </w:r>
    </w:p>
    <w:p w14:paraId="17405DD3" w14:textId="77777777" w:rsidR="00025DA1" w:rsidRPr="00350AC9" w:rsidRDefault="00025DA1" w:rsidP="00025DA1">
      <w:pPr>
        <w:jc w:val="both"/>
        <w:rPr>
          <w:rFonts w:ascii="Arial" w:hAnsi="Arial" w:cs="Arial"/>
          <w:szCs w:val="24"/>
          <w:lang w:val="pt-BR"/>
        </w:rPr>
      </w:pPr>
      <w:r w:rsidRPr="00350AC9">
        <w:rPr>
          <w:rFonts w:ascii="Arial" w:hAnsi="Arial" w:cs="Arial"/>
          <w:szCs w:val="24"/>
          <w:lang w:val="pt-BR"/>
        </w:rPr>
        <w:t>3. Crescimento Populacional e Modelos Demográficos</w:t>
      </w:r>
    </w:p>
    <w:p w14:paraId="1B5C246C" w14:textId="77777777" w:rsidR="00025DA1" w:rsidRPr="00BE6CF9" w:rsidRDefault="00025DA1" w:rsidP="00025DA1">
      <w:pPr>
        <w:jc w:val="both"/>
        <w:rPr>
          <w:rFonts w:ascii="Arial" w:hAnsi="Arial" w:cs="Arial"/>
          <w:szCs w:val="24"/>
        </w:rPr>
      </w:pPr>
      <w:r w:rsidRPr="00BE6CF9">
        <w:rPr>
          <w:rFonts w:ascii="Arial" w:hAnsi="Arial" w:cs="Arial"/>
          <w:szCs w:val="24"/>
        </w:rPr>
        <w:lastRenderedPageBreak/>
        <w:t>UNITED NATIONS, Department of Economic and Social Affairs, Population Division. World Population Prospects 2022: Summary of Results. New York: UN, 2022.</w:t>
      </w:r>
    </w:p>
    <w:p w14:paraId="38EE02A0" w14:textId="77777777" w:rsidR="00025DA1" w:rsidRPr="00BE6CF9" w:rsidRDefault="00025DA1" w:rsidP="00025DA1">
      <w:pPr>
        <w:jc w:val="both"/>
        <w:rPr>
          <w:rFonts w:ascii="Arial" w:hAnsi="Arial" w:cs="Arial"/>
          <w:szCs w:val="24"/>
        </w:rPr>
      </w:pPr>
      <w:r w:rsidRPr="00BE6CF9">
        <w:rPr>
          <w:rFonts w:ascii="Arial" w:hAnsi="Arial" w:cs="Arial"/>
          <w:szCs w:val="24"/>
        </w:rPr>
        <w:t xml:space="preserve">COHEN, Joel E. How Many People Can </w:t>
      </w:r>
      <w:proofErr w:type="gramStart"/>
      <w:r w:rsidRPr="00BE6CF9">
        <w:rPr>
          <w:rFonts w:ascii="Arial" w:hAnsi="Arial" w:cs="Arial"/>
          <w:szCs w:val="24"/>
        </w:rPr>
        <w:t>the Earth</w:t>
      </w:r>
      <w:proofErr w:type="gramEnd"/>
      <w:r w:rsidRPr="00BE6CF9">
        <w:rPr>
          <w:rFonts w:ascii="Arial" w:hAnsi="Arial" w:cs="Arial"/>
          <w:szCs w:val="24"/>
        </w:rPr>
        <w:t xml:space="preserve"> Support? W.W. Norton &amp; Company, 1995.</w:t>
      </w:r>
    </w:p>
    <w:p w14:paraId="1DE7813B" w14:textId="77777777" w:rsidR="00025DA1" w:rsidRPr="00BE6CF9" w:rsidRDefault="00025DA1" w:rsidP="00025DA1">
      <w:pPr>
        <w:jc w:val="both"/>
        <w:rPr>
          <w:rFonts w:ascii="Arial" w:hAnsi="Arial" w:cs="Arial"/>
          <w:szCs w:val="24"/>
        </w:rPr>
      </w:pPr>
      <w:r w:rsidRPr="00BE6CF9">
        <w:rPr>
          <w:rFonts w:ascii="Arial" w:hAnsi="Arial" w:cs="Arial"/>
          <w:szCs w:val="24"/>
        </w:rPr>
        <w:t>LEE, Ronald D. “The Demographic Transition: Three Centuries of Fundamental Change.” Journal of Economic Perspectives, vol. 17, no. 4, pp. 167–190, 2003.</w:t>
      </w:r>
    </w:p>
    <w:p w14:paraId="55556463" w14:textId="77777777" w:rsidR="00025DA1" w:rsidRPr="00BE6CF9" w:rsidRDefault="00025DA1" w:rsidP="00025DA1">
      <w:pPr>
        <w:jc w:val="both"/>
        <w:rPr>
          <w:rFonts w:ascii="Arial" w:hAnsi="Arial" w:cs="Arial"/>
          <w:szCs w:val="24"/>
        </w:rPr>
      </w:pPr>
      <w:r w:rsidRPr="00BE6CF9">
        <w:rPr>
          <w:rFonts w:ascii="Arial" w:hAnsi="Arial" w:cs="Arial"/>
          <w:szCs w:val="24"/>
        </w:rPr>
        <w:t xml:space="preserve">OUR WORLD IN DATA. “World Population Growth.” </w:t>
      </w:r>
      <w:proofErr w:type="spellStart"/>
      <w:r w:rsidRPr="00BE6CF9">
        <w:rPr>
          <w:rFonts w:ascii="Arial" w:hAnsi="Arial" w:cs="Arial"/>
          <w:szCs w:val="24"/>
        </w:rPr>
        <w:t>Disponível</w:t>
      </w:r>
      <w:proofErr w:type="spellEnd"/>
      <w:r w:rsidRPr="00BE6CF9">
        <w:rPr>
          <w:rFonts w:ascii="Arial" w:hAnsi="Arial" w:cs="Arial"/>
          <w:szCs w:val="24"/>
        </w:rPr>
        <w:t xml:space="preserve"> </w:t>
      </w:r>
      <w:proofErr w:type="spellStart"/>
      <w:r w:rsidRPr="00BE6CF9">
        <w:rPr>
          <w:rFonts w:ascii="Arial" w:hAnsi="Arial" w:cs="Arial"/>
          <w:szCs w:val="24"/>
        </w:rPr>
        <w:t>em</w:t>
      </w:r>
      <w:proofErr w:type="spellEnd"/>
      <w:r w:rsidRPr="00BE6CF9">
        <w:rPr>
          <w:rFonts w:ascii="Arial" w:hAnsi="Arial" w:cs="Arial"/>
          <w:szCs w:val="24"/>
        </w:rPr>
        <w:t>: https://ourworldindata.org/world-population-growth</w:t>
      </w:r>
    </w:p>
    <w:p w14:paraId="47F90D65" w14:textId="77777777" w:rsidR="00025DA1" w:rsidRPr="00BE6CF9" w:rsidRDefault="00025DA1" w:rsidP="00025DA1">
      <w:pPr>
        <w:jc w:val="both"/>
        <w:rPr>
          <w:rFonts w:ascii="Arial" w:hAnsi="Arial" w:cs="Arial"/>
          <w:szCs w:val="24"/>
          <w:lang w:val="pt-BR"/>
        </w:rPr>
      </w:pPr>
      <w:r w:rsidRPr="00BE6CF9">
        <w:rPr>
          <w:rFonts w:ascii="Arial" w:hAnsi="Arial" w:cs="Arial"/>
          <w:szCs w:val="24"/>
          <w:lang w:val="pt-BR"/>
        </w:rPr>
        <w:t>4. Pressão Seletiva Viral, Pandemias e Ecologia de Doenças</w:t>
      </w:r>
    </w:p>
    <w:p w14:paraId="3883B6F4" w14:textId="77777777" w:rsidR="00025DA1" w:rsidRPr="00BE6CF9" w:rsidRDefault="00025DA1" w:rsidP="00025DA1">
      <w:pPr>
        <w:jc w:val="both"/>
        <w:rPr>
          <w:rFonts w:ascii="Arial" w:hAnsi="Arial" w:cs="Arial"/>
          <w:szCs w:val="24"/>
          <w:lang w:val="es-ES"/>
        </w:rPr>
      </w:pPr>
      <w:r w:rsidRPr="00BE6CF9">
        <w:rPr>
          <w:rFonts w:ascii="Arial" w:hAnsi="Arial" w:cs="Arial"/>
          <w:szCs w:val="24"/>
        </w:rPr>
        <w:t xml:space="preserve">MORAND, Serge; WALTHER, Bruno A. “Individualistic Values Are Related to an Increase in the Emergence of Infectious Diseases and Zoonotic Diseases.” </w:t>
      </w:r>
      <w:proofErr w:type="spellStart"/>
      <w:r w:rsidRPr="00BE6CF9">
        <w:rPr>
          <w:rFonts w:ascii="Arial" w:hAnsi="Arial" w:cs="Arial"/>
          <w:szCs w:val="24"/>
          <w:lang w:val="es-ES"/>
        </w:rPr>
        <w:t>PLoS</w:t>
      </w:r>
      <w:proofErr w:type="spellEnd"/>
      <w:r w:rsidRPr="00BE6CF9">
        <w:rPr>
          <w:rFonts w:ascii="Arial" w:hAnsi="Arial" w:cs="Arial"/>
          <w:szCs w:val="24"/>
          <w:lang w:val="es-ES"/>
        </w:rPr>
        <w:t xml:space="preserve"> ONE, vol. 13, no. 9, e0203962, 2018.</w:t>
      </w:r>
    </w:p>
    <w:p w14:paraId="300E919F" w14:textId="77777777" w:rsidR="00025DA1" w:rsidRPr="00BE6CF9" w:rsidRDefault="00025DA1" w:rsidP="00025DA1">
      <w:pPr>
        <w:jc w:val="both"/>
        <w:rPr>
          <w:rFonts w:ascii="Arial" w:hAnsi="Arial" w:cs="Arial"/>
          <w:szCs w:val="24"/>
        </w:rPr>
      </w:pPr>
      <w:r w:rsidRPr="00025DA1">
        <w:rPr>
          <w:rFonts w:ascii="Arial" w:hAnsi="Arial" w:cs="Arial"/>
          <w:szCs w:val="24"/>
          <w:lang w:val="es-ES"/>
        </w:rPr>
        <w:t xml:space="preserve">JONES, Kate E. et al. </w:t>
      </w:r>
      <w:r w:rsidRPr="00BE6CF9">
        <w:rPr>
          <w:rFonts w:ascii="Arial" w:hAnsi="Arial" w:cs="Arial"/>
          <w:szCs w:val="24"/>
        </w:rPr>
        <w:t>“Global Trends in Emerging Infectious Diseases.” Nature, vol. 451, pp. 990–993, 2008.</w:t>
      </w:r>
    </w:p>
    <w:p w14:paraId="39F55894" w14:textId="77777777" w:rsidR="00025DA1" w:rsidRPr="00BE6CF9" w:rsidRDefault="00025DA1" w:rsidP="00025DA1">
      <w:pPr>
        <w:jc w:val="both"/>
        <w:rPr>
          <w:rFonts w:ascii="Arial" w:hAnsi="Arial" w:cs="Arial"/>
          <w:szCs w:val="24"/>
        </w:rPr>
      </w:pPr>
      <w:r w:rsidRPr="00BE6CF9">
        <w:rPr>
          <w:rFonts w:ascii="Arial" w:hAnsi="Arial" w:cs="Arial"/>
          <w:szCs w:val="24"/>
        </w:rPr>
        <w:t>ALLEN, Tim et al. “Global hotspots and correlates of emerging zoonotic diseases.” Nature Communications, vol. 8, 1124, 2017.</w:t>
      </w:r>
    </w:p>
    <w:p w14:paraId="1453FB1D" w14:textId="77777777" w:rsidR="00025DA1" w:rsidRPr="00BE6CF9" w:rsidRDefault="00025DA1" w:rsidP="00025DA1">
      <w:pPr>
        <w:jc w:val="both"/>
        <w:rPr>
          <w:rFonts w:ascii="Arial" w:hAnsi="Arial" w:cs="Arial"/>
          <w:szCs w:val="24"/>
          <w:lang w:val="pt-BR"/>
        </w:rPr>
      </w:pPr>
      <w:r w:rsidRPr="00BE6CF9">
        <w:rPr>
          <w:rFonts w:ascii="Arial" w:hAnsi="Arial" w:cs="Arial"/>
          <w:szCs w:val="24"/>
        </w:rPr>
        <w:t xml:space="preserve">MORSE, Stephen S. “Factors in the Emergence of Infectious Diseases.” </w:t>
      </w:r>
      <w:proofErr w:type="spellStart"/>
      <w:r w:rsidRPr="00BE6CF9">
        <w:rPr>
          <w:rFonts w:ascii="Arial" w:hAnsi="Arial" w:cs="Arial"/>
          <w:szCs w:val="24"/>
          <w:lang w:val="pt-BR"/>
        </w:rPr>
        <w:t>Emerging</w:t>
      </w:r>
      <w:proofErr w:type="spellEnd"/>
      <w:r w:rsidRPr="00BE6CF9">
        <w:rPr>
          <w:rFonts w:ascii="Arial" w:hAnsi="Arial" w:cs="Arial"/>
          <w:szCs w:val="24"/>
          <w:lang w:val="pt-BR"/>
        </w:rPr>
        <w:t xml:space="preserve"> </w:t>
      </w:r>
      <w:proofErr w:type="spellStart"/>
      <w:r w:rsidRPr="00BE6CF9">
        <w:rPr>
          <w:rFonts w:ascii="Arial" w:hAnsi="Arial" w:cs="Arial"/>
          <w:szCs w:val="24"/>
          <w:lang w:val="pt-BR"/>
        </w:rPr>
        <w:t>Infectious</w:t>
      </w:r>
      <w:proofErr w:type="spellEnd"/>
      <w:r w:rsidRPr="00BE6CF9">
        <w:rPr>
          <w:rFonts w:ascii="Arial" w:hAnsi="Arial" w:cs="Arial"/>
          <w:szCs w:val="24"/>
          <w:lang w:val="pt-BR"/>
        </w:rPr>
        <w:t xml:space="preserve"> </w:t>
      </w:r>
      <w:proofErr w:type="spellStart"/>
      <w:r w:rsidRPr="00BE6CF9">
        <w:rPr>
          <w:rFonts w:ascii="Arial" w:hAnsi="Arial" w:cs="Arial"/>
          <w:szCs w:val="24"/>
          <w:lang w:val="pt-BR"/>
        </w:rPr>
        <w:t>Diseases</w:t>
      </w:r>
      <w:proofErr w:type="spellEnd"/>
      <w:r w:rsidRPr="00BE6CF9">
        <w:rPr>
          <w:rFonts w:ascii="Arial" w:hAnsi="Arial" w:cs="Arial"/>
          <w:szCs w:val="24"/>
          <w:lang w:val="pt-BR"/>
        </w:rPr>
        <w:t>, vol. 1, no. 1, pp. 7–15, 1995.</w:t>
      </w:r>
    </w:p>
    <w:p w14:paraId="74D536BD" w14:textId="77777777" w:rsidR="00025DA1" w:rsidRPr="00BE6CF9" w:rsidRDefault="00025DA1" w:rsidP="00025DA1">
      <w:pPr>
        <w:jc w:val="both"/>
        <w:rPr>
          <w:rFonts w:ascii="Arial" w:hAnsi="Arial" w:cs="Arial"/>
          <w:szCs w:val="24"/>
          <w:lang w:val="pt-BR"/>
        </w:rPr>
      </w:pPr>
      <w:r w:rsidRPr="00BE6CF9">
        <w:rPr>
          <w:rFonts w:ascii="Arial" w:hAnsi="Arial" w:cs="Arial"/>
          <w:szCs w:val="24"/>
          <w:lang w:val="pt-BR"/>
        </w:rPr>
        <w:t>5. Mudanças Climáticas, Degradação Ambiental e Colapso de Ecossistemas</w:t>
      </w:r>
    </w:p>
    <w:p w14:paraId="32A1DB22" w14:textId="77777777" w:rsidR="00025DA1" w:rsidRPr="00BE6CF9" w:rsidRDefault="00025DA1" w:rsidP="00025DA1">
      <w:pPr>
        <w:jc w:val="both"/>
        <w:rPr>
          <w:rFonts w:ascii="Arial" w:hAnsi="Arial" w:cs="Arial"/>
          <w:szCs w:val="24"/>
        </w:rPr>
      </w:pPr>
      <w:r w:rsidRPr="00BE6CF9">
        <w:rPr>
          <w:rFonts w:ascii="Arial" w:hAnsi="Arial" w:cs="Arial"/>
          <w:szCs w:val="24"/>
        </w:rPr>
        <w:t>IPCC – Intergovernmental Panel on Climate Change. Sixth Assessment Report (AR6). Cambridge University Press, 2021-2023.</w:t>
      </w:r>
    </w:p>
    <w:p w14:paraId="0660858A" w14:textId="77777777" w:rsidR="00025DA1" w:rsidRPr="00BE6CF9" w:rsidRDefault="00025DA1" w:rsidP="00025DA1">
      <w:pPr>
        <w:jc w:val="both"/>
        <w:rPr>
          <w:rFonts w:ascii="Arial" w:hAnsi="Arial" w:cs="Arial"/>
          <w:szCs w:val="24"/>
        </w:rPr>
      </w:pPr>
      <w:r w:rsidRPr="00BE6CF9">
        <w:rPr>
          <w:rFonts w:ascii="Arial" w:hAnsi="Arial" w:cs="Arial"/>
          <w:szCs w:val="24"/>
        </w:rPr>
        <w:t>LOVEJOY, Thomas E.; HANNAH, Lee (eds.). Climate Change and Biodiversity. Yale University Press, 2005.</w:t>
      </w:r>
    </w:p>
    <w:p w14:paraId="3FEFBEF9" w14:textId="77777777" w:rsidR="00025DA1" w:rsidRPr="00BE6CF9" w:rsidRDefault="00025DA1" w:rsidP="00025DA1">
      <w:pPr>
        <w:jc w:val="both"/>
        <w:rPr>
          <w:rFonts w:ascii="Arial" w:hAnsi="Arial" w:cs="Arial"/>
          <w:szCs w:val="24"/>
        </w:rPr>
      </w:pPr>
      <w:r w:rsidRPr="00BE6CF9">
        <w:rPr>
          <w:rFonts w:ascii="Arial" w:hAnsi="Arial" w:cs="Arial"/>
          <w:szCs w:val="24"/>
        </w:rPr>
        <w:t>BARNOSKY, Anthony D. et al. “Approaching a State Shift in Earth’s Biosphere.” Nature, vol. 486, pp. 52–58, 2012.</w:t>
      </w:r>
    </w:p>
    <w:p w14:paraId="6B7E2701" w14:textId="77777777" w:rsidR="00025DA1" w:rsidRPr="00BE6CF9" w:rsidRDefault="00025DA1" w:rsidP="00025DA1">
      <w:pPr>
        <w:jc w:val="both"/>
        <w:rPr>
          <w:rFonts w:ascii="Arial" w:hAnsi="Arial" w:cs="Arial"/>
          <w:szCs w:val="24"/>
        </w:rPr>
      </w:pPr>
      <w:r w:rsidRPr="00BE6CF9">
        <w:rPr>
          <w:rFonts w:ascii="Arial" w:hAnsi="Arial" w:cs="Arial"/>
          <w:szCs w:val="24"/>
        </w:rPr>
        <w:t xml:space="preserve">6. Energia, </w:t>
      </w:r>
      <w:proofErr w:type="spellStart"/>
      <w:r w:rsidRPr="00BE6CF9">
        <w:rPr>
          <w:rFonts w:ascii="Arial" w:hAnsi="Arial" w:cs="Arial"/>
          <w:szCs w:val="24"/>
        </w:rPr>
        <w:t>Recursos</w:t>
      </w:r>
      <w:proofErr w:type="spellEnd"/>
      <w:r w:rsidRPr="00BE6CF9">
        <w:rPr>
          <w:rFonts w:ascii="Arial" w:hAnsi="Arial" w:cs="Arial"/>
          <w:szCs w:val="24"/>
        </w:rPr>
        <w:t xml:space="preserve"> </w:t>
      </w:r>
      <w:proofErr w:type="spellStart"/>
      <w:r w:rsidRPr="00BE6CF9">
        <w:rPr>
          <w:rFonts w:ascii="Arial" w:hAnsi="Arial" w:cs="Arial"/>
          <w:szCs w:val="24"/>
        </w:rPr>
        <w:t>Minerais</w:t>
      </w:r>
      <w:proofErr w:type="spellEnd"/>
      <w:r w:rsidRPr="00BE6CF9">
        <w:rPr>
          <w:rFonts w:ascii="Arial" w:hAnsi="Arial" w:cs="Arial"/>
          <w:szCs w:val="24"/>
        </w:rPr>
        <w:t xml:space="preserve"> e </w:t>
      </w:r>
      <w:proofErr w:type="spellStart"/>
      <w:r w:rsidRPr="00BE6CF9">
        <w:rPr>
          <w:rFonts w:ascii="Arial" w:hAnsi="Arial" w:cs="Arial"/>
          <w:szCs w:val="24"/>
        </w:rPr>
        <w:t>Sustentabilidade</w:t>
      </w:r>
      <w:proofErr w:type="spellEnd"/>
    </w:p>
    <w:p w14:paraId="61AB3551" w14:textId="77777777" w:rsidR="00025DA1" w:rsidRPr="00BE6CF9" w:rsidRDefault="00025DA1" w:rsidP="00025DA1">
      <w:pPr>
        <w:jc w:val="both"/>
        <w:rPr>
          <w:rFonts w:ascii="Arial" w:hAnsi="Arial" w:cs="Arial"/>
          <w:szCs w:val="24"/>
        </w:rPr>
      </w:pPr>
      <w:r w:rsidRPr="00BE6CF9">
        <w:rPr>
          <w:rFonts w:ascii="Arial" w:hAnsi="Arial" w:cs="Arial"/>
          <w:szCs w:val="24"/>
        </w:rPr>
        <w:lastRenderedPageBreak/>
        <w:t>TILTON, John E. On Borrowed Time? Assessing the Threat of Mineral Depletion. Resources for the Future, 2002.</w:t>
      </w:r>
    </w:p>
    <w:p w14:paraId="00294A42" w14:textId="77777777" w:rsidR="00025DA1" w:rsidRPr="00BE6CF9" w:rsidRDefault="00025DA1" w:rsidP="00025DA1">
      <w:pPr>
        <w:jc w:val="both"/>
        <w:rPr>
          <w:rFonts w:ascii="Arial" w:hAnsi="Arial" w:cs="Arial"/>
          <w:szCs w:val="24"/>
        </w:rPr>
      </w:pPr>
      <w:r w:rsidRPr="00BE6CF9">
        <w:rPr>
          <w:rFonts w:ascii="Arial" w:hAnsi="Arial" w:cs="Arial"/>
          <w:szCs w:val="24"/>
        </w:rPr>
        <w:t>GORDON, Richard B.; BERTRAM, Martin; GRAEDEL, Thomas E. “Metal stocks and sustainability.” Proceedings of the National Academy of Sciences, vol. 103, no. 5, pp. 1209–1214, 2006.</w:t>
      </w:r>
    </w:p>
    <w:p w14:paraId="4B1273AF" w14:textId="77777777" w:rsidR="00025DA1" w:rsidRPr="00BE6CF9" w:rsidRDefault="00025DA1" w:rsidP="00025DA1">
      <w:pPr>
        <w:jc w:val="both"/>
        <w:rPr>
          <w:rFonts w:ascii="Arial" w:hAnsi="Arial" w:cs="Arial"/>
          <w:szCs w:val="24"/>
        </w:rPr>
      </w:pPr>
      <w:r w:rsidRPr="00BE6CF9">
        <w:rPr>
          <w:rFonts w:ascii="Arial" w:hAnsi="Arial" w:cs="Arial"/>
          <w:szCs w:val="24"/>
        </w:rPr>
        <w:t>USGS – United States Geological Survey. Mineral Commodity Summaries 2023. U.S. Department of the Interior, 2023.</w:t>
      </w:r>
    </w:p>
    <w:p w14:paraId="1DECD2C6" w14:textId="77777777" w:rsidR="00025DA1" w:rsidRPr="00BE6CF9" w:rsidRDefault="00025DA1" w:rsidP="00025DA1">
      <w:pPr>
        <w:jc w:val="both"/>
        <w:rPr>
          <w:rFonts w:ascii="Arial" w:hAnsi="Arial" w:cs="Arial"/>
          <w:szCs w:val="24"/>
          <w:lang w:val="pt-BR"/>
        </w:rPr>
      </w:pPr>
      <w:r w:rsidRPr="00BE6CF9">
        <w:rPr>
          <w:rFonts w:ascii="Arial" w:hAnsi="Arial" w:cs="Arial"/>
          <w:szCs w:val="24"/>
          <w:lang w:val="pt-BR"/>
        </w:rPr>
        <w:t>7. Abordagem Sistêmica e Transdisciplinar</w:t>
      </w:r>
    </w:p>
    <w:p w14:paraId="215EC1C2" w14:textId="77777777" w:rsidR="00025DA1" w:rsidRPr="00BE6CF9" w:rsidRDefault="00025DA1" w:rsidP="00025DA1">
      <w:pPr>
        <w:jc w:val="both"/>
        <w:rPr>
          <w:rFonts w:ascii="Arial" w:hAnsi="Arial" w:cs="Arial"/>
          <w:szCs w:val="24"/>
        </w:rPr>
      </w:pPr>
      <w:r w:rsidRPr="00BE6CF9">
        <w:rPr>
          <w:rFonts w:ascii="Arial" w:hAnsi="Arial" w:cs="Arial"/>
          <w:szCs w:val="24"/>
          <w:lang w:val="pt-BR"/>
        </w:rPr>
        <w:t xml:space="preserve">CAPRA, Fritjof. </w:t>
      </w:r>
      <w:r w:rsidRPr="00BE6CF9">
        <w:rPr>
          <w:rFonts w:ascii="Arial" w:hAnsi="Arial" w:cs="Arial"/>
          <w:szCs w:val="24"/>
        </w:rPr>
        <w:t>The Web of Life: A New Scientific Understanding of Living Systems. Anchor Books, 1996.</w:t>
      </w:r>
    </w:p>
    <w:p w14:paraId="4B3C026C" w14:textId="77777777" w:rsidR="00025DA1" w:rsidRPr="00BE6CF9" w:rsidRDefault="00025DA1" w:rsidP="00025DA1">
      <w:pPr>
        <w:jc w:val="both"/>
        <w:rPr>
          <w:rFonts w:ascii="Arial" w:hAnsi="Arial" w:cs="Arial"/>
          <w:szCs w:val="24"/>
          <w:lang w:val="pt-BR"/>
        </w:rPr>
      </w:pPr>
      <w:r w:rsidRPr="00BE6CF9">
        <w:rPr>
          <w:rFonts w:ascii="Arial" w:hAnsi="Arial" w:cs="Arial"/>
          <w:szCs w:val="24"/>
        </w:rPr>
        <w:t xml:space="preserve">LAURENT, Eloi; ZYCHENKO, Tania. Measuring Tomorrow: Accounting for Well-Being, Resilience, and Sustainability in the Twenty-First Century. </w:t>
      </w:r>
      <w:r w:rsidRPr="00BE6CF9">
        <w:rPr>
          <w:rFonts w:ascii="Arial" w:hAnsi="Arial" w:cs="Arial"/>
          <w:szCs w:val="24"/>
          <w:lang w:val="pt-BR"/>
        </w:rPr>
        <w:t xml:space="preserve">Princeton </w:t>
      </w:r>
      <w:proofErr w:type="spellStart"/>
      <w:r w:rsidRPr="00BE6CF9">
        <w:rPr>
          <w:rFonts w:ascii="Arial" w:hAnsi="Arial" w:cs="Arial"/>
          <w:szCs w:val="24"/>
          <w:lang w:val="pt-BR"/>
        </w:rPr>
        <w:t>University</w:t>
      </w:r>
      <w:proofErr w:type="spellEnd"/>
      <w:r w:rsidRPr="00BE6CF9">
        <w:rPr>
          <w:rFonts w:ascii="Arial" w:hAnsi="Arial" w:cs="Arial"/>
          <w:szCs w:val="24"/>
          <w:lang w:val="pt-BR"/>
        </w:rPr>
        <w:t xml:space="preserve"> Press, 2017.</w:t>
      </w:r>
    </w:p>
    <w:p w14:paraId="5835C5FF" w14:textId="77777777" w:rsidR="00025DA1" w:rsidRPr="00BE6CF9" w:rsidRDefault="00025DA1" w:rsidP="00025DA1">
      <w:pPr>
        <w:jc w:val="both"/>
        <w:rPr>
          <w:rFonts w:ascii="Arial" w:hAnsi="Arial" w:cs="Arial"/>
          <w:szCs w:val="24"/>
          <w:lang w:val="pt-BR"/>
        </w:rPr>
      </w:pPr>
    </w:p>
    <w:p w14:paraId="21F99C88" w14:textId="77777777" w:rsidR="00025DA1" w:rsidRPr="00BE6CF9" w:rsidRDefault="00025DA1" w:rsidP="00025DA1">
      <w:pPr>
        <w:jc w:val="both"/>
        <w:rPr>
          <w:rFonts w:ascii="Arial" w:hAnsi="Arial" w:cs="Arial"/>
          <w:szCs w:val="24"/>
          <w:lang w:val="pt-BR"/>
        </w:rPr>
      </w:pPr>
      <w:r w:rsidRPr="00BE6CF9">
        <w:rPr>
          <w:rFonts w:ascii="Arial" w:hAnsi="Arial" w:cs="Arial"/>
          <w:szCs w:val="24"/>
          <w:lang w:val="pt-BR"/>
        </w:rPr>
        <w:t>Análise geoespacial cruzada (para publicação científica)</w:t>
      </w:r>
    </w:p>
    <w:p w14:paraId="7FF6DF86" w14:textId="77777777" w:rsidR="00025DA1" w:rsidRPr="00BE6CF9" w:rsidRDefault="00025DA1" w:rsidP="00025DA1">
      <w:pPr>
        <w:jc w:val="both"/>
        <w:rPr>
          <w:rFonts w:ascii="Arial" w:hAnsi="Arial" w:cs="Arial"/>
          <w:szCs w:val="24"/>
          <w:lang w:val="pt-BR"/>
        </w:rPr>
      </w:pPr>
      <w:r w:rsidRPr="00BE6CF9">
        <w:rPr>
          <w:rFonts w:ascii="Arial" w:hAnsi="Arial" w:cs="Arial"/>
          <w:szCs w:val="24"/>
          <w:lang w:val="pt-BR"/>
        </w:rPr>
        <w:t xml:space="preserve">WWF </w:t>
      </w:r>
      <w:proofErr w:type="spellStart"/>
      <w:r w:rsidRPr="00BE6CF9">
        <w:rPr>
          <w:rFonts w:ascii="Arial" w:hAnsi="Arial" w:cs="Arial"/>
          <w:szCs w:val="24"/>
          <w:lang w:val="pt-BR"/>
        </w:rPr>
        <w:t>Ecoregions</w:t>
      </w:r>
      <w:proofErr w:type="spellEnd"/>
      <w:r w:rsidRPr="00BE6CF9">
        <w:rPr>
          <w:rFonts w:ascii="Arial" w:hAnsi="Arial" w:cs="Arial"/>
          <w:szCs w:val="24"/>
          <w:lang w:val="pt-BR"/>
        </w:rPr>
        <w:t>: mapas vetoriais dos biomas mundiais (</w:t>
      </w:r>
      <w:proofErr w:type="spellStart"/>
      <w:r w:rsidRPr="00BE6CF9">
        <w:rPr>
          <w:rFonts w:ascii="Arial" w:hAnsi="Arial" w:cs="Arial"/>
          <w:szCs w:val="24"/>
          <w:lang w:val="pt-BR"/>
        </w:rPr>
        <w:t>shapefile</w:t>
      </w:r>
      <w:proofErr w:type="spellEnd"/>
      <w:r w:rsidRPr="00BE6CF9">
        <w:rPr>
          <w:rFonts w:ascii="Arial" w:hAnsi="Arial" w:cs="Arial"/>
          <w:szCs w:val="24"/>
          <w:lang w:val="pt-BR"/>
        </w:rPr>
        <w:t xml:space="preserve">, </w:t>
      </w:r>
      <w:proofErr w:type="spellStart"/>
      <w:r w:rsidRPr="00BE6CF9">
        <w:rPr>
          <w:rFonts w:ascii="Arial" w:hAnsi="Arial" w:cs="Arial"/>
          <w:szCs w:val="24"/>
          <w:lang w:val="pt-BR"/>
        </w:rPr>
        <w:t>GeoJSON</w:t>
      </w:r>
      <w:proofErr w:type="spellEnd"/>
      <w:r w:rsidRPr="00BE6CF9">
        <w:rPr>
          <w:rFonts w:ascii="Arial" w:hAnsi="Arial" w:cs="Arial"/>
          <w:szCs w:val="24"/>
          <w:lang w:val="pt-BR"/>
        </w:rPr>
        <w:t>).</w:t>
      </w:r>
    </w:p>
    <w:p w14:paraId="3CEA1AE1" w14:textId="77777777" w:rsidR="00025DA1" w:rsidRPr="00BE6CF9" w:rsidRDefault="00025DA1" w:rsidP="00025DA1">
      <w:pPr>
        <w:jc w:val="both"/>
        <w:rPr>
          <w:rFonts w:ascii="Arial" w:hAnsi="Arial" w:cs="Arial"/>
          <w:szCs w:val="24"/>
          <w:lang w:val="pt-BR"/>
        </w:rPr>
      </w:pPr>
      <w:r w:rsidRPr="00BE6CF9">
        <w:rPr>
          <w:rFonts w:ascii="Arial" w:hAnsi="Arial" w:cs="Arial"/>
          <w:szCs w:val="24"/>
          <w:lang w:val="pt-BR"/>
        </w:rPr>
        <w:t>UNCCD/FAO: camadas de desertificação, índices de aridez, mapas de risco e degradação do solo.</w:t>
      </w:r>
    </w:p>
    <w:p w14:paraId="7C1605AC" w14:textId="77777777" w:rsidR="00025DA1" w:rsidRPr="00BE6CF9" w:rsidRDefault="00025DA1" w:rsidP="00025DA1">
      <w:pPr>
        <w:jc w:val="both"/>
        <w:rPr>
          <w:rFonts w:ascii="Arial" w:hAnsi="Arial" w:cs="Arial"/>
          <w:szCs w:val="24"/>
          <w:lang w:val="pt-BR"/>
        </w:rPr>
      </w:pPr>
      <w:r w:rsidRPr="00BE6CF9">
        <w:rPr>
          <w:rFonts w:ascii="Arial" w:hAnsi="Arial" w:cs="Arial"/>
          <w:szCs w:val="24"/>
          <w:lang w:val="pt-BR"/>
        </w:rPr>
        <w:t xml:space="preserve">NASA </w:t>
      </w:r>
      <w:proofErr w:type="spellStart"/>
      <w:r w:rsidRPr="00BE6CF9">
        <w:rPr>
          <w:rFonts w:ascii="Arial" w:hAnsi="Arial" w:cs="Arial"/>
          <w:szCs w:val="24"/>
          <w:lang w:val="pt-BR"/>
        </w:rPr>
        <w:t>EarthData</w:t>
      </w:r>
      <w:proofErr w:type="spellEnd"/>
      <w:r w:rsidRPr="00BE6CF9">
        <w:rPr>
          <w:rFonts w:ascii="Arial" w:hAnsi="Arial" w:cs="Arial"/>
          <w:szCs w:val="24"/>
          <w:lang w:val="pt-BR"/>
        </w:rPr>
        <w:t>: mapas globais de uso e cobertura do solo, séries históricas.</w:t>
      </w:r>
    </w:p>
    <w:p w14:paraId="73E492D0" w14:textId="77777777" w:rsidR="00025DA1" w:rsidRPr="00BE6CF9" w:rsidRDefault="00025DA1" w:rsidP="00025DA1">
      <w:pPr>
        <w:jc w:val="both"/>
        <w:rPr>
          <w:rFonts w:ascii="Arial" w:hAnsi="Arial" w:cs="Arial"/>
          <w:szCs w:val="24"/>
          <w:lang w:val="pt-BR"/>
        </w:rPr>
      </w:pPr>
    </w:p>
    <w:p w14:paraId="22E1352B" w14:textId="77777777" w:rsidR="00025DA1" w:rsidRPr="00BE6CF9" w:rsidRDefault="00025DA1" w:rsidP="00025DA1">
      <w:pPr>
        <w:jc w:val="both"/>
        <w:rPr>
          <w:rFonts w:ascii="Arial" w:hAnsi="Arial" w:cs="Arial"/>
          <w:szCs w:val="24"/>
          <w:lang w:val="pt-BR"/>
        </w:rPr>
      </w:pPr>
      <w:r w:rsidRPr="00BE6CF9">
        <w:rPr>
          <w:rFonts w:ascii="Arial" w:hAnsi="Arial" w:cs="Arial"/>
          <w:szCs w:val="24"/>
          <w:lang w:val="pt-BR"/>
        </w:rPr>
        <w:t>Aquisição dos dados:</w:t>
      </w:r>
    </w:p>
    <w:p w14:paraId="34C172FC" w14:textId="77777777" w:rsidR="00025DA1" w:rsidRPr="00BE6CF9" w:rsidRDefault="00025DA1" w:rsidP="00025DA1">
      <w:pPr>
        <w:jc w:val="both"/>
        <w:rPr>
          <w:rFonts w:ascii="Arial" w:hAnsi="Arial" w:cs="Arial"/>
          <w:szCs w:val="24"/>
          <w:lang w:val="pt-BR"/>
        </w:rPr>
      </w:pPr>
      <w:r w:rsidRPr="00BE6CF9">
        <w:rPr>
          <w:rFonts w:ascii="Arial" w:hAnsi="Arial" w:cs="Arial"/>
          <w:szCs w:val="24"/>
          <w:lang w:val="pt-BR"/>
        </w:rPr>
        <w:t xml:space="preserve">Baixar os </w:t>
      </w:r>
      <w:proofErr w:type="spellStart"/>
      <w:r w:rsidRPr="00BE6CF9">
        <w:rPr>
          <w:rFonts w:ascii="Arial" w:hAnsi="Arial" w:cs="Arial"/>
          <w:szCs w:val="24"/>
          <w:lang w:val="pt-BR"/>
        </w:rPr>
        <w:t>shapefiles</w:t>
      </w:r>
      <w:proofErr w:type="spellEnd"/>
      <w:r w:rsidRPr="00BE6CF9">
        <w:rPr>
          <w:rFonts w:ascii="Arial" w:hAnsi="Arial" w:cs="Arial"/>
          <w:szCs w:val="24"/>
          <w:lang w:val="pt-BR"/>
        </w:rPr>
        <w:t>/</w:t>
      </w:r>
      <w:proofErr w:type="spellStart"/>
      <w:r w:rsidRPr="00BE6CF9">
        <w:rPr>
          <w:rFonts w:ascii="Arial" w:hAnsi="Arial" w:cs="Arial"/>
          <w:szCs w:val="24"/>
          <w:lang w:val="pt-BR"/>
        </w:rPr>
        <w:t>GeoJSON</w:t>
      </w:r>
      <w:proofErr w:type="spellEnd"/>
      <w:r w:rsidRPr="00BE6CF9">
        <w:rPr>
          <w:rFonts w:ascii="Arial" w:hAnsi="Arial" w:cs="Arial"/>
          <w:szCs w:val="24"/>
          <w:lang w:val="pt-BR"/>
        </w:rPr>
        <w:t xml:space="preserve"> dos biomas WWF e das áreas desertificadas (UNCCD, FAO) com dados do </w:t>
      </w:r>
      <w:proofErr w:type="spellStart"/>
      <w:r w:rsidRPr="00BE6CF9">
        <w:rPr>
          <w:rFonts w:ascii="Arial" w:hAnsi="Arial" w:cs="Arial"/>
          <w:szCs w:val="24"/>
          <w:lang w:val="pt-BR"/>
        </w:rPr>
        <w:t>MapBiomas</w:t>
      </w:r>
      <w:proofErr w:type="spellEnd"/>
      <w:r w:rsidRPr="00BE6CF9">
        <w:rPr>
          <w:rFonts w:ascii="Arial" w:hAnsi="Arial" w:cs="Arial"/>
          <w:szCs w:val="24"/>
          <w:lang w:val="pt-BR"/>
        </w:rPr>
        <w:t xml:space="preserve"> (Brasil) ou outras fontes nacionais. Pré-processamento: Homogeneizar projeção cartográfica (</w:t>
      </w:r>
      <w:proofErr w:type="spellStart"/>
      <w:r w:rsidRPr="00BE6CF9">
        <w:rPr>
          <w:rFonts w:ascii="Arial" w:hAnsi="Arial" w:cs="Arial"/>
          <w:szCs w:val="24"/>
          <w:lang w:val="pt-BR"/>
        </w:rPr>
        <w:t>ex</w:t>
      </w:r>
      <w:proofErr w:type="spellEnd"/>
      <w:r w:rsidRPr="00BE6CF9">
        <w:rPr>
          <w:rFonts w:ascii="Arial" w:hAnsi="Arial" w:cs="Arial"/>
          <w:szCs w:val="24"/>
          <w:lang w:val="pt-BR"/>
        </w:rPr>
        <w:t>: WGS84).</w:t>
      </w:r>
    </w:p>
    <w:p w14:paraId="7C650882" w14:textId="77777777" w:rsidR="00025DA1" w:rsidRPr="00BE6CF9" w:rsidRDefault="00025DA1" w:rsidP="00025DA1">
      <w:pPr>
        <w:jc w:val="both"/>
        <w:rPr>
          <w:rFonts w:ascii="Arial" w:hAnsi="Arial" w:cs="Arial"/>
          <w:szCs w:val="24"/>
          <w:lang w:val="pt-BR"/>
        </w:rPr>
      </w:pPr>
      <w:r w:rsidRPr="00BE6CF9">
        <w:rPr>
          <w:rFonts w:ascii="Arial" w:hAnsi="Arial" w:cs="Arial"/>
          <w:szCs w:val="24"/>
          <w:lang w:val="pt-BR"/>
        </w:rPr>
        <w:t xml:space="preserve">Fonte dos dados: UNCCD Global Land Outlook 2022, FAO Global </w:t>
      </w:r>
      <w:proofErr w:type="spellStart"/>
      <w:r w:rsidRPr="00BE6CF9">
        <w:rPr>
          <w:rFonts w:ascii="Arial" w:hAnsi="Arial" w:cs="Arial"/>
          <w:szCs w:val="24"/>
          <w:lang w:val="pt-BR"/>
        </w:rPr>
        <w:t>Soil</w:t>
      </w:r>
      <w:proofErr w:type="spellEnd"/>
      <w:r w:rsidRPr="00BE6CF9">
        <w:rPr>
          <w:rFonts w:ascii="Arial" w:hAnsi="Arial" w:cs="Arial"/>
          <w:szCs w:val="24"/>
          <w:lang w:val="pt-BR"/>
        </w:rPr>
        <w:t xml:space="preserve"> </w:t>
      </w:r>
      <w:proofErr w:type="spellStart"/>
      <w:r w:rsidRPr="00BE6CF9">
        <w:rPr>
          <w:rFonts w:ascii="Arial" w:hAnsi="Arial" w:cs="Arial"/>
          <w:szCs w:val="24"/>
          <w:lang w:val="pt-BR"/>
        </w:rPr>
        <w:t>Degradation</w:t>
      </w:r>
      <w:proofErr w:type="spellEnd"/>
      <w:r w:rsidRPr="00BE6CF9">
        <w:rPr>
          <w:rFonts w:ascii="Arial" w:hAnsi="Arial" w:cs="Arial"/>
          <w:szCs w:val="24"/>
          <w:lang w:val="pt-BR"/>
        </w:rPr>
        <w:t xml:space="preserve">, WWF </w:t>
      </w:r>
      <w:proofErr w:type="spellStart"/>
      <w:r w:rsidRPr="00BE6CF9">
        <w:rPr>
          <w:rFonts w:ascii="Arial" w:hAnsi="Arial" w:cs="Arial"/>
          <w:szCs w:val="24"/>
          <w:lang w:val="pt-BR"/>
        </w:rPr>
        <w:t>Ecoregions</w:t>
      </w:r>
      <w:proofErr w:type="spellEnd"/>
      <w:r w:rsidRPr="00BE6CF9">
        <w:rPr>
          <w:rFonts w:ascii="Arial" w:hAnsi="Arial" w:cs="Arial"/>
          <w:szCs w:val="24"/>
          <w:lang w:val="pt-BR"/>
        </w:rPr>
        <w:t>.</w:t>
      </w:r>
    </w:p>
    <w:p w14:paraId="4B0450B2" w14:textId="77777777" w:rsidR="00025DA1" w:rsidRPr="00BE6CF9" w:rsidRDefault="00025DA1" w:rsidP="00025DA1">
      <w:pPr>
        <w:jc w:val="both"/>
        <w:rPr>
          <w:rFonts w:ascii="Arial" w:hAnsi="Arial" w:cs="Arial"/>
          <w:szCs w:val="24"/>
          <w:lang w:val="pt-BR"/>
        </w:rPr>
      </w:pPr>
    </w:p>
    <w:p w14:paraId="7F98A509" w14:textId="77777777" w:rsidR="00025DA1" w:rsidRPr="00BE6CF9" w:rsidRDefault="00025DA1" w:rsidP="00025DA1">
      <w:pPr>
        <w:jc w:val="both"/>
        <w:rPr>
          <w:rFonts w:ascii="Arial" w:hAnsi="Arial" w:cs="Arial"/>
          <w:szCs w:val="24"/>
          <w:lang w:val="pt-BR"/>
        </w:rPr>
      </w:pPr>
      <w:r w:rsidRPr="00BE6CF9">
        <w:rPr>
          <w:rFonts w:ascii="Arial" w:hAnsi="Arial" w:cs="Arial"/>
          <w:szCs w:val="24"/>
          <w:lang w:val="pt-BR"/>
        </w:rPr>
        <w:lastRenderedPageBreak/>
        <w:t>Perda de Albedo e Feedback do Gelo</w:t>
      </w:r>
    </w:p>
    <w:p w14:paraId="1E004B73" w14:textId="77777777" w:rsidR="00025DA1" w:rsidRPr="00BE6CF9" w:rsidRDefault="00025DA1" w:rsidP="00025DA1">
      <w:pPr>
        <w:jc w:val="both"/>
        <w:rPr>
          <w:rFonts w:ascii="Arial" w:hAnsi="Arial" w:cs="Arial"/>
          <w:szCs w:val="24"/>
          <w:lang w:val="pt-BR"/>
        </w:rPr>
      </w:pPr>
    </w:p>
    <w:p w14:paraId="0C5B33F3" w14:textId="77777777" w:rsidR="00025DA1" w:rsidRPr="00BE6CF9" w:rsidRDefault="00025DA1" w:rsidP="00025DA1">
      <w:pPr>
        <w:jc w:val="both"/>
        <w:rPr>
          <w:rFonts w:ascii="Arial" w:hAnsi="Arial" w:cs="Arial"/>
          <w:szCs w:val="24"/>
          <w:lang w:val="pt-BR"/>
        </w:rPr>
      </w:pPr>
      <w:r w:rsidRPr="00BE6CF9">
        <w:rPr>
          <w:rFonts w:ascii="Arial" w:hAnsi="Arial" w:cs="Arial"/>
          <w:szCs w:val="24"/>
          <w:lang w:val="pt-BR"/>
        </w:rPr>
        <w:t xml:space="preserve">IPCC </w:t>
      </w:r>
      <w:proofErr w:type="spellStart"/>
      <w:r w:rsidRPr="00BE6CF9">
        <w:rPr>
          <w:rFonts w:ascii="Arial" w:hAnsi="Arial" w:cs="Arial"/>
          <w:szCs w:val="24"/>
          <w:lang w:val="pt-BR"/>
        </w:rPr>
        <w:t>Sixth</w:t>
      </w:r>
      <w:proofErr w:type="spellEnd"/>
      <w:r w:rsidRPr="00BE6CF9">
        <w:rPr>
          <w:rFonts w:ascii="Arial" w:hAnsi="Arial" w:cs="Arial"/>
          <w:szCs w:val="24"/>
          <w:lang w:val="pt-BR"/>
        </w:rPr>
        <w:t xml:space="preserve"> Assessment Report (2021)</w:t>
      </w:r>
    </w:p>
    <w:p w14:paraId="21E4BB75" w14:textId="77777777" w:rsidR="00025DA1" w:rsidRPr="00BE6CF9" w:rsidRDefault="00025DA1" w:rsidP="00025DA1">
      <w:pPr>
        <w:jc w:val="both"/>
        <w:rPr>
          <w:rFonts w:ascii="Arial" w:hAnsi="Arial" w:cs="Arial"/>
          <w:szCs w:val="24"/>
        </w:rPr>
      </w:pPr>
      <w:r w:rsidRPr="00BE6CF9">
        <w:rPr>
          <w:rFonts w:ascii="Arial" w:hAnsi="Arial" w:cs="Arial"/>
          <w:szCs w:val="24"/>
          <w:lang w:val="pt-BR"/>
        </w:rPr>
        <w:t>“A diminuição do gelo marinho do Ártico diminui o albedo superficial, aumentando a absorção de radiação solar e promovendo mais aquecimento regional e global.”</w:t>
      </w:r>
      <w:r w:rsidRPr="00BE6CF9">
        <w:rPr>
          <w:rFonts w:ascii="Arial" w:hAnsi="Arial" w:cs="Arial"/>
          <w:szCs w:val="24"/>
          <w:lang w:val="pt-BR"/>
        </w:rPr>
        <w:br/>
      </w:r>
      <w:r w:rsidRPr="00BE6CF9">
        <w:rPr>
          <w:rFonts w:ascii="Arial" w:hAnsi="Arial" w:cs="Arial"/>
          <w:szCs w:val="24"/>
        </w:rPr>
        <w:t>(IPCC AR6, 2021, Technical Summary, p. TS-44)</w:t>
      </w:r>
      <w:r w:rsidRPr="00BE6CF9">
        <w:rPr>
          <w:rFonts w:ascii="Arial" w:hAnsi="Arial" w:cs="Arial"/>
          <w:szCs w:val="24"/>
        </w:rPr>
        <w:br/>
      </w:r>
      <w:hyperlink r:id="rId8" w:history="1">
        <w:r w:rsidRPr="00BE6CF9">
          <w:rPr>
            <w:rStyle w:val="Hyperlink"/>
            <w:rFonts w:ascii="Arial" w:hAnsi="Arial" w:cs="Arial"/>
            <w:color w:val="auto"/>
            <w:szCs w:val="24"/>
          </w:rPr>
          <w:t>https://www.ipcc.ch/report/ar6/wg1/downloads/report/IPCC_AR6_WGI_TS.pdf</w:t>
        </w:r>
      </w:hyperlink>
      <w:r w:rsidRPr="00BE6CF9">
        <w:rPr>
          <w:rFonts w:ascii="Arial" w:hAnsi="Arial" w:cs="Arial"/>
          <w:szCs w:val="24"/>
        </w:rPr>
        <w:t>.</w:t>
      </w:r>
    </w:p>
    <w:p w14:paraId="5EF84A99" w14:textId="77777777" w:rsidR="00025DA1" w:rsidRPr="00BE6CF9" w:rsidRDefault="00025DA1" w:rsidP="00025DA1">
      <w:pPr>
        <w:jc w:val="both"/>
        <w:rPr>
          <w:rFonts w:ascii="Arial" w:hAnsi="Arial" w:cs="Arial"/>
          <w:szCs w:val="24"/>
        </w:rPr>
      </w:pPr>
    </w:p>
    <w:p w14:paraId="7652BA47" w14:textId="77777777" w:rsidR="00025DA1" w:rsidRPr="00BE6CF9" w:rsidRDefault="00025DA1" w:rsidP="00025DA1">
      <w:pPr>
        <w:jc w:val="both"/>
        <w:rPr>
          <w:rFonts w:ascii="Arial" w:hAnsi="Arial" w:cs="Arial"/>
          <w:szCs w:val="24"/>
        </w:rPr>
      </w:pPr>
      <w:r w:rsidRPr="00BE6CF9">
        <w:rPr>
          <w:rFonts w:ascii="Arial" w:hAnsi="Arial" w:cs="Arial"/>
          <w:szCs w:val="24"/>
        </w:rPr>
        <w:t>National Snow &amp; Ice Data Center (NSIDC)</w:t>
      </w:r>
    </w:p>
    <w:p w14:paraId="5EC128CE" w14:textId="77777777" w:rsidR="00025DA1" w:rsidRPr="00BE6CF9" w:rsidRDefault="00025DA1" w:rsidP="00025DA1">
      <w:pPr>
        <w:jc w:val="both"/>
        <w:rPr>
          <w:rFonts w:ascii="Arial" w:hAnsi="Arial" w:cs="Arial"/>
          <w:szCs w:val="24"/>
          <w:lang w:val="pt-BR"/>
        </w:rPr>
      </w:pPr>
      <w:r w:rsidRPr="00BE6CF9">
        <w:rPr>
          <w:rFonts w:ascii="Arial" w:hAnsi="Arial" w:cs="Arial"/>
          <w:szCs w:val="24"/>
          <w:lang w:val="pt-BR"/>
        </w:rPr>
        <w:t xml:space="preserve">“O gelo marinho reflete de 50% a 70% da energia solar incidente. Quando derrete, o oceano escuro exposto absorve 90% da energia. Essa substituição é a principal razão para o rápido aquecimento do Ártico.”  </w:t>
      </w:r>
      <w:hyperlink r:id="rId9" w:history="1">
        <w:r w:rsidRPr="00BE6CF9">
          <w:rPr>
            <w:rStyle w:val="Hyperlink"/>
            <w:rFonts w:ascii="Arial" w:hAnsi="Arial" w:cs="Arial"/>
            <w:color w:val="auto"/>
            <w:szCs w:val="24"/>
            <w:lang w:val="pt-BR"/>
          </w:rPr>
          <w:t>https://nsidc.org/cryosphere/seaice/processes/albedo.html</w:t>
        </w:r>
      </w:hyperlink>
      <w:r w:rsidRPr="00BE6CF9">
        <w:rPr>
          <w:rFonts w:ascii="Arial" w:hAnsi="Arial" w:cs="Arial"/>
          <w:szCs w:val="24"/>
          <w:lang w:val="pt-BR"/>
        </w:rPr>
        <w:t>.</w:t>
      </w:r>
    </w:p>
    <w:p w14:paraId="33476025" w14:textId="77777777" w:rsidR="00025DA1" w:rsidRPr="00BE6CF9" w:rsidRDefault="00025DA1" w:rsidP="00025DA1">
      <w:pPr>
        <w:jc w:val="both"/>
        <w:rPr>
          <w:rFonts w:ascii="Arial" w:hAnsi="Arial" w:cs="Arial"/>
          <w:szCs w:val="24"/>
          <w:lang w:val="pt-BR"/>
        </w:rPr>
      </w:pPr>
    </w:p>
    <w:p w14:paraId="54404834" w14:textId="77777777" w:rsidR="00025DA1" w:rsidRPr="00BE6CF9" w:rsidRDefault="00025DA1" w:rsidP="00025DA1">
      <w:pPr>
        <w:jc w:val="both"/>
        <w:rPr>
          <w:rFonts w:ascii="Arial" w:hAnsi="Arial" w:cs="Arial"/>
          <w:szCs w:val="24"/>
          <w:lang w:val="pt-BR"/>
        </w:rPr>
      </w:pPr>
    </w:p>
    <w:p w14:paraId="411EC7C9" w14:textId="77777777" w:rsidR="00025DA1" w:rsidRPr="00BE6CF9" w:rsidRDefault="00025DA1" w:rsidP="00025DA1">
      <w:pPr>
        <w:jc w:val="both"/>
        <w:rPr>
          <w:rFonts w:ascii="Arial" w:hAnsi="Arial" w:cs="Arial"/>
          <w:szCs w:val="24"/>
          <w:lang w:val="pt-BR"/>
        </w:rPr>
      </w:pPr>
      <w:r w:rsidRPr="00BE6CF9">
        <w:rPr>
          <w:rFonts w:ascii="Arial" w:hAnsi="Arial" w:cs="Arial"/>
          <w:szCs w:val="24"/>
          <w:lang w:val="pt-BR"/>
        </w:rPr>
        <w:t>Derretimento dos Polos, Circulação Oceânica e Impacto no Fitoplâncton</w:t>
      </w:r>
    </w:p>
    <w:p w14:paraId="54E33C24" w14:textId="77777777" w:rsidR="00025DA1" w:rsidRPr="00BE6CF9" w:rsidRDefault="00025DA1" w:rsidP="00025DA1">
      <w:pPr>
        <w:jc w:val="both"/>
        <w:rPr>
          <w:rFonts w:ascii="Arial" w:hAnsi="Arial" w:cs="Arial"/>
          <w:szCs w:val="24"/>
          <w:lang w:val="pt-BR"/>
        </w:rPr>
      </w:pPr>
      <w:proofErr w:type="spellStart"/>
      <w:r w:rsidRPr="00BE6CF9">
        <w:rPr>
          <w:rFonts w:ascii="Arial" w:hAnsi="Arial" w:cs="Arial"/>
          <w:szCs w:val="24"/>
          <w:lang w:val="pt-BR"/>
        </w:rPr>
        <w:t>Nature</w:t>
      </w:r>
      <w:proofErr w:type="spellEnd"/>
      <w:r w:rsidRPr="00BE6CF9">
        <w:rPr>
          <w:rFonts w:ascii="Arial" w:hAnsi="Arial" w:cs="Arial"/>
          <w:szCs w:val="24"/>
          <w:lang w:val="pt-BR"/>
        </w:rPr>
        <w:t xml:space="preserve"> - "Polar </w:t>
      </w:r>
      <w:proofErr w:type="spellStart"/>
      <w:r w:rsidRPr="00BE6CF9">
        <w:rPr>
          <w:rFonts w:ascii="Arial" w:hAnsi="Arial" w:cs="Arial"/>
          <w:szCs w:val="24"/>
          <w:lang w:val="pt-BR"/>
        </w:rPr>
        <w:t>amplification</w:t>
      </w:r>
      <w:proofErr w:type="spellEnd"/>
      <w:r w:rsidRPr="00BE6CF9">
        <w:rPr>
          <w:rFonts w:ascii="Arial" w:hAnsi="Arial" w:cs="Arial"/>
          <w:szCs w:val="24"/>
          <w:lang w:val="pt-BR"/>
        </w:rPr>
        <w:t>" (</w:t>
      </w:r>
      <w:proofErr w:type="spellStart"/>
      <w:r w:rsidRPr="00BE6CF9">
        <w:rPr>
          <w:rFonts w:ascii="Arial" w:hAnsi="Arial" w:cs="Arial"/>
          <w:szCs w:val="24"/>
          <w:lang w:val="pt-BR"/>
        </w:rPr>
        <w:t>Serreze</w:t>
      </w:r>
      <w:proofErr w:type="spellEnd"/>
      <w:r w:rsidRPr="00BE6CF9">
        <w:rPr>
          <w:rFonts w:ascii="Arial" w:hAnsi="Arial" w:cs="Arial"/>
          <w:szCs w:val="24"/>
          <w:lang w:val="pt-BR"/>
        </w:rPr>
        <w:t xml:space="preserve"> &amp; Barry, 2011)</w:t>
      </w:r>
    </w:p>
    <w:p w14:paraId="2C870DEA" w14:textId="77777777" w:rsidR="00025DA1" w:rsidRPr="00BE6CF9" w:rsidRDefault="00025DA1" w:rsidP="00025DA1">
      <w:pPr>
        <w:jc w:val="both"/>
        <w:rPr>
          <w:rFonts w:ascii="Arial" w:hAnsi="Arial" w:cs="Arial"/>
          <w:szCs w:val="24"/>
          <w:lang w:val="pt-BR"/>
        </w:rPr>
      </w:pPr>
      <w:r w:rsidRPr="00BE6CF9">
        <w:rPr>
          <w:rFonts w:ascii="Arial" w:hAnsi="Arial" w:cs="Arial"/>
          <w:szCs w:val="24"/>
          <w:lang w:val="pt-BR"/>
        </w:rPr>
        <w:t xml:space="preserve">“A redução do albedo por perda de gelo é a maior contribuição para a amplificação ártica do aquecimento.” </w:t>
      </w:r>
      <w:r w:rsidRPr="00BE6CF9">
        <w:rPr>
          <w:rFonts w:ascii="Arial" w:hAnsi="Arial" w:cs="Arial"/>
          <w:szCs w:val="24"/>
        </w:rPr>
        <w:t xml:space="preserve">Serreze, M. C., &amp; Barry, R. G. (2011). Processes and impacts of Arctic amplification: A research synthesis. </w:t>
      </w:r>
      <w:r w:rsidRPr="00BE6CF9">
        <w:rPr>
          <w:rFonts w:ascii="Arial" w:hAnsi="Arial" w:cs="Arial"/>
          <w:szCs w:val="24"/>
          <w:lang w:val="pt-BR"/>
        </w:rPr>
        <w:t xml:space="preserve">Global </w:t>
      </w:r>
      <w:proofErr w:type="spellStart"/>
      <w:r w:rsidRPr="00BE6CF9">
        <w:rPr>
          <w:rFonts w:ascii="Arial" w:hAnsi="Arial" w:cs="Arial"/>
          <w:szCs w:val="24"/>
          <w:lang w:val="pt-BR"/>
        </w:rPr>
        <w:t>and</w:t>
      </w:r>
      <w:proofErr w:type="spellEnd"/>
      <w:r w:rsidRPr="00BE6CF9">
        <w:rPr>
          <w:rFonts w:ascii="Arial" w:hAnsi="Arial" w:cs="Arial"/>
          <w:szCs w:val="24"/>
          <w:lang w:val="pt-BR"/>
        </w:rPr>
        <w:t xml:space="preserve"> </w:t>
      </w:r>
      <w:proofErr w:type="spellStart"/>
      <w:r w:rsidRPr="00BE6CF9">
        <w:rPr>
          <w:rFonts w:ascii="Arial" w:hAnsi="Arial" w:cs="Arial"/>
          <w:szCs w:val="24"/>
          <w:lang w:val="pt-BR"/>
        </w:rPr>
        <w:t>Planetary</w:t>
      </w:r>
      <w:proofErr w:type="spellEnd"/>
      <w:r w:rsidRPr="00BE6CF9">
        <w:rPr>
          <w:rFonts w:ascii="Arial" w:hAnsi="Arial" w:cs="Arial"/>
          <w:szCs w:val="24"/>
          <w:lang w:val="pt-BR"/>
        </w:rPr>
        <w:t xml:space="preserve"> </w:t>
      </w:r>
      <w:proofErr w:type="spellStart"/>
      <w:r w:rsidRPr="00BE6CF9">
        <w:rPr>
          <w:rFonts w:ascii="Arial" w:hAnsi="Arial" w:cs="Arial"/>
          <w:szCs w:val="24"/>
          <w:lang w:val="pt-BR"/>
        </w:rPr>
        <w:t>Change</w:t>
      </w:r>
      <w:proofErr w:type="spellEnd"/>
      <w:r w:rsidRPr="00BE6CF9">
        <w:rPr>
          <w:rFonts w:ascii="Arial" w:hAnsi="Arial" w:cs="Arial"/>
          <w:szCs w:val="24"/>
          <w:lang w:val="pt-BR"/>
        </w:rPr>
        <w:t>, 77(1-2), 85–96.</w:t>
      </w:r>
    </w:p>
    <w:p w14:paraId="542DA5DE" w14:textId="77777777" w:rsidR="00025DA1" w:rsidRPr="00BE6CF9" w:rsidRDefault="00025DA1" w:rsidP="00025DA1">
      <w:pPr>
        <w:jc w:val="both"/>
        <w:rPr>
          <w:rFonts w:ascii="Arial" w:hAnsi="Arial" w:cs="Arial"/>
          <w:szCs w:val="24"/>
          <w:lang w:val="pt-BR"/>
        </w:rPr>
      </w:pPr>
      <w:r w:rsidRPr="00BE6CF9">
        <w:rPr>
          <w:rFonts w:ascii="Arial" w:hAnsi="Arial" w:cs="Arial"/>
          <w:szCs w:val="24"/>
          <w:lang w:val="pt-BR"/>
        </w:rPr>
        <w:br/>
      </w:r>
      <w:proofErr w:type="spellStart"/>
      <w:r w:rsidRPr="00BE6CF9">
        <w:rPr>
          <w:rFonts w:ascii="Arial" w:hAnsi="Arial" w:cs="Arial"/>
          <w:szCs w:val="24"/>
          <w:lang w:val="pt-BR"/>
        </w:rPr>
        <w:t>Nature</w:t>
      </w:r>
      <w:proofErr w:type="spellEnd"/>
      <w:r w:rsidRPr="00BE6CF9">
        <w:rPr>
          <w:rFonts w:ascii="Arial" w:hAnsi="Arial" w:cs="Arial"/>
          <w:szCs w:val="24"/>
          <w:lang w:val="pt-BR"/>
        </w:rPr>
        <w:t xml:space="preserve"> - Fitoplâncton Ártico e degelo (Arrigo et al., 2008)</w:t>
      </w:r>
    </w:p>
    <w:p w14:paraId="76412A02" w14:textId="77777777" w:rsidR="00025DA1" w:rsidRPr="00BE6CF9" w:rsidRDefault="00025DA1" w:rsidP="00025DA1">
      <w:pPr>
        <w:jc w:val="both"/>
        <w:rPr>
          <w:rFonts w:ascii="Arial" w:hAnsi="Arial" w:cs="Arial"/>
          <w:szCs w:val="24"/>
        </w:rPr>
      </w:pPr>
      <w:r w:rsidRPr="00BE6CF9">
        <w:rPr>
          <w:rFonts w:ascii="Arial" w:hAnsi="Arial" w:cs="Arial"/>
          <w:szCs w:val="24"/>
          <w:lang w:val="pt-BR"/>
        </w:rPr>
        <w:t>“A perda de gelo marinho modifica a estratificação, a luz e os nutrientes, afetando profundamente a produção primária do fitoplâncton no Ártico.”</w:t>
      </w:r>
      <w:r w:rsidRPr="00BE6CF9">
        <w:rPr>
          <w:rFonts w:ascii="Arial" w:hAnsi="Arial" w:cs="Arial"/>
          <w:szCs w:val="24"/>
          <w:lang w:val="pt-BR"/>
        </w:rPr>
        <w:br/>
      </w:r>
      <w:r w:rsidRPr="00BE6CF9">
        <w:rPr>
          <w:rFonts w:ascii="Arial" w:hAnsi="Arial" w:cs="Arial"/>
          <w:szCs w:val="24"/>
        </w:rPr>
        <w:t xml:space="preserve">Arrigo, K. R., et al. (2008). Impact of a shrinking Arctic ice cover on marine primary </w:t>
      </w:r>
      <w:r w:rsidRPr="00BE6CF9">
        <w:rPr>
          <w:rFonts w:ascii="Arial" w:hAnsi="Arial" w:cs="Arial"/>
          <w:szCs w:val="24"/>
        </w:rPr>
        <w:lastRenderedPageBreak/>
        <w:t>production. Geophysical Research Letters, 35(19).</w:t>
      </w:r>
      <w:r w:rsidRPr="00BE6CF9">
        <w:rPr>
          <w:rFonts w:ascii="Arial" w:hAnsi="Arial" w:cs="Arial"/>
          <w:szCs w:val="24"/>
        </w:rPr>
        <w:br/>
      </w:r>
      <w:hyperlink r:id="rId10" w:history="1">
        <w:r w:rsidRPr="00BE6CF9">
          <w:rPr>
            <w:rStyle w:val="Hyperlink"/>
            <w:rFonts w:ascii="Arial" w:hAnsi="Arial" w:cs="Arial"/>
            <w:color w:val="auto"/>
            <w:szCs w:val="24"/>
          </w:rPr>
          <w:t>https://agupubs.onlinelibrary.wiley.com/doi/full/10.1029/2008GL035028</w:t>
        </w:r>
      </w:hyperlink>
      <w:r w:rsidRPr="00BE6CF9">
        <w:rPr>
          <w:rFonts w:ascii="Arial" w:hAnsi="Arial" w:cs="Arial"/>
          <w:szCs w:val="24"/>
        </w:rPr>
        <w:t>.</w:t>
      </w:r>
    </w:p>
    <w:p w14:paraId="3CF5924D" w14:textId="77777777" w:rsidR="00025DA1" w:rsidRPr="00BE6CF9" w:rsidRDefault="00025DA1" w:rsidP="00025DA1">
      <w:pPr>
        <w:jc w:val="both"/>
        <w:rPr>
          <w:rFonts w:ascii="Arial" w:hAnsi="Arial" w:cs="Arial"/>
          <w:szCs w:val="24"/>
        </w:rPr>
      </w:pPr>
    </w:p>
    <w:p w14:paraId="33FA6C50" w14:textId="77777777" w:rsidR="00025DA1" w:rsidRPr="00BE6CF9" w:rsidRDefault="00025DA1" w:rsidP="00025DA1">
      <w:pPr>
        <w:jc w:val="both"/>
        <w:rPr>
          <w:rFonts w:ascii="Arial" w:hAnsi="Arial" w:cs="Arial"/>
          <w:szCs w:val="24"/>
          <w:lang w:val="pt-BR"/>
        </w:rPr>
      </w:pPr>
      <w:r w:rsidRPr="00BE6CF9">
        <w:rPr>
          <w:rFonts w:ascii="Arial" w:hAnsi="Arial" w:cs="Arial"/>
          <w:szCs w:val="24"/>
          <w:lang w:val="pt-BR"/>
        </w:rPr>
        <w:t>Gelo, Albedo, CO</w:t>
      </w:r>
      <w:r w:rsidRPr="00BE6CF9">
        <w:rPr>
          <w:rFonts w:ascii="Cambria Math" w:hAnsi="Cambria Math" w:cs="Cambria Math"/>
          <w:szCs w:val="24"/>
          <w:lang w:val="pt-BR"/>
        </w:rPr>
        <w:t>₂</w:t>
      </w:r>
      <w:r w:rsidRPr="00BE6CF9">
        <w:rPr>
          <w:rFonts w:ascii="Arial" w:hAnsi="Arial" w:cs="Arial"/>
          <w:szCs w:val="24"/>
          <w:lang w:val="pt-BR"/>
        </w:rPr>
        <w:t xml:space="preserve"> e Realimentações Sistêmicos</w:t>
      </w:r>
    </w:p>
    <w:p w14:paraId="291A18D3" w14:textId="77777777" w:rsidR="00025DA1" w:rsidRPr="00BE6CF9" w:rsidRDefault="00025DA1" w:rsidP="00025DA1">
      <w:pPr>
        <w:jc w:val="both"/>
        <w:rPr>
          <w:rFonts w:ascii="Arial" w:hAnsi="Arial" w:cs="Arial"/>
          <w:szCs w:val="24"/>
          <w:lang w:val="pt-BR"/>
        </w:rPr>
      </w:pPr>
    </w:p>
    <w:p w14:paraId="69370F5F" w14:textId="77777777" w:rsidR="00025DA1" w:rsidRPr="00BE6CF9" w:rsidRDefault="00025DA1" w:rsidP="00025DA1">
      <w:pPr>
        <w:jc w:val="both"/>
        <w:rPr>
          <w:rFonts w:ascii="Arial" w:hAnsi="Arial" w:cs="Arial"/>
          <w:szCs w:val="24"/>
        </w:rPr>
      </w:pPr>
      <w:r w:rsidRPr="00BE6CF9">
        <w:rPr>
          <w:rFonts w:ascii="Arial" w:hAnsi="Arial" w:cs="Arial"/>
          <w:szCs w:val="24"/>
        </w:rPr>
        <w:t>Science - "The Albedo Effect and Climate Change" (Curry et al., 1995)</w:t>
      </w:r>
    </w:p>
    <w:p w14:paraId="00559C9D" w14:textId="77777777" w:rsidR="00025DA1" w:rsidRPr="00BE6CF9" w:rsidRDefault="00025DA1" w:rsidP="00025DA1">
      <w:pPr>
        <w:jc w:val="both"/>
        <w:rPr>
          <w:rFonts w:ascii="Arial" w:hAnsi="Arial" w:cs="Arial"/>
          <w:szCs w:val="24"/>
        </w:rPr>
      </w:pPr>
      <w:r w:rsidRPr="00BE6CF9">
        <w:rPr>
          <w:rFonts w:ascii="Arial" w:hAnsi="Arial" w:cs="Arial"/>
          <w:szCs w:val="24"/>
          <w:lang w:val="pt-BR"/>
        </w:rPr>
        <w:t>“Mudanças no albedo superficial, especialmente em regiões polares, têm impactos desproporcionais no balanço energético global e nas retroalimentações climáticas.”</w:t>
      </w:r>
      <w:r w:rsidRPr="00BE6CF9">
        <w:rPr>
          <w:rFonts w:ascii="Arial" w:hAnsi="Arial" w:cs="Arial"/>
          <w:szCs w:val="24"/>
          <w:lang w:val="pt-BR"/>
        </w:rPr>
        <w:br/>
      </w:r>
      <w:r w:rsidRPr="00BE6CF9">
        <w:rPr>
          <w:rFonts w:ascii="Arial" w:hAnsi="Arial" w:cs="Arial"/>
          <w:szCs w:val="24"/>
        </w:rPr>
        <w:t>Curry, J. A., Schramm, J. L., &amp; Ebert, E. E. (1995). Sea ice-albedo climate feedback mechanism. Journal of Climate, 8(2), 240–247.</w:t>
      </w:r>
      <w:r w:rsidRPr="00BE6CF9">
        <w:rPr>
          <w:rFonts w:ascii="Arial" w:hAnsi="Arial" w:cs="Arial"/>
          <w:szCs w:val="24"/>
        </w:rPr>
        <w:br/>
      </w:r>
      <w:hyperlink r:id="rId11" w:history="1">
        <w:r w:rsidRPr="00BE6CF9">
          <w:rPr>
            <w:rStyle w:val="Hyperlink"/>
            <w:rFonts w:ascii="Arial" w:hAnsi="Arial" w:cs="Arial"/>
            <w:color w:val="auto"/>
            <w:szCs w:val="24"/>
          </w:rPr>
          <w:t>https://journals.ametsoc.org/view/journals/clim/8/2/15200442_1995_008_0240_sicf_2_0_co_2.xml</w:t>
        </w:r>
      </w:hyperlink>
      <w:r w:rsidRPr="00BE6CF9">
        <w:rPr>
          <w:rFonts w:ascii="Arial" w:hAnsi="Arial" w:cs="Arial"/>
          <w:szCs w:val="24"/>
        </w:rPr>
        <w:t>.</w:t>
      </w:r>
    </w:p>
    <w:p w14:paraId="6F65D221" w14:textId="77777777" w:rsidR="00025DA1" w:rsidRPr="00BE6CF9" w:rsidRDefault="00025DA1" w:rsidP="00025DA1">
      <w:pPr>
        <w:jc w:val="both"/>
        <w:rPr>
          <w:rFonts w:ascii="Arial" w:hAnsi="Arial" w:cs="Arial"/>
          <w:szCs w:val="24"/>
        </w:rPr>
      </w:pPr>
    </w:p>
    <w:p w14:paraId="303B2471" w14:textId="77777777" w:rsidR="00025DA1" w:rsidRPr="00BE6CF9" w:rsidRDefault="00025DA1" w:rsidP="00025DA1">
      <w:pPr>
        <w:jc w:val="both"/>
        <w:rPr>
          <w:rFonts w:ascii="Arial" w:hAnsi="Arial" w:cs="Arial"/>
          <w:szCs w:val="24"/>
          <w:lang w:val="pt-BR"/>
        </w:rPr>
      </w:pPr>
      <w:r w:rsidRPr="00BE6CF9">
        <w:rPr>
          <w:rFonts w:ascii="Arial" w:hAnsi="Arial" w:cs="Arial"/>
          <w:szCs w:val="24"/>
          <w:lang w:val="pt-BR"/>
        </w:rPr>
        <w:t xml:space="preserve">NASA Earth Observatory – Albedo &amp; </w:t>
      </w:r>
      <w:proofErr w:type="spellStart"/>
      <w:r w:rsidRPr="00BE6CF9">
        <w:rPr>
          <w:rFonts w:ascii="Arial" w:hAnsi="Arial" w:cs="Arial"/>
          <w:szCs w:val="24"/>
          <w:lang w:val="pt-BR"/>
        </w:rPr>
        <w:t>Climate</w:t>
      </w:r>
      <w:proofErr w:type="spellEnd"/>
    </w:p>
    <w:p w14:paraId="67F1CCDA" w14:textId="77777777" w:rsidR="00025DA1" w:rsidRPr="00BE6CF9" w:rsidRDefault="00025DA1" w:rsidP="00025DA1">
      <w:pPr>
        <w:jc w:val="both"/>
        <w:rPr>
          <w:rFonts w:ascii="Arial" w:hAnsi="Arial" w:cs="Arial"/>
          <w:szCs w:val="24"/>
          <w:lang w:val="pt-BR"/>
        </w:rPr>
      </w:pPr>
      <w:r w:rsidRPr="00BE6CF9">
        <w:rPr>
          <w:rFonts w:ascii="Arial" w:hAnsi="Arial" w:cs="Arial"/>
          <w:szCs w:val="24"/>
          <w:lang w:val="pt-BR"/>
        </w:rPr>
        <w:t>“Redução do albedo pelo derretimento do gelo polar é um dos feedbacks positivos mais fortes do sistema climático.”</w:t>
      </w:r>
      <w:r w:rsidRPr="00BE6CF9">
        <w:rPr>
          <w:rFonts w:ascii="Arial" w:hAnsi="Arial" w:cs="Arial"/>
          <w:szCs w:val="24"/>
          <w:lang w:val="pt-BR"/>
        </w:rPr>
        <w:br/>
      </w:r>
      <w:hyperlink r:id="rId12" w:history="1">
        <w:r w:rsidRPr="00BE6CF9">
          <w:rPr>
            <w:rStyle w:val="Hyperlink"/>
            <w:rFonts w:ascii="Arial" w:hAnsi="Arial" w:cs="Arial"/>
            <w:color w:val="auto"/>
            <w:szCs w:val="24"/>
            <w:lang w:val="pt-BR"/>
          </w:rPr>
          <w:t>https://earthobservatory.nasa.gov/features/SeaIce/page3.php</w:t>
        </w:r>
      </w:hyperlink>
      <w:r w:rsidRPr="00BE6CF9">
        <w:rPr>
          <w:rFonts w:ascii="Arial" w:hAnsi="Arial" w:cs="Arial"/>
          <w:szCs w:val="24"/>
          <w:lang w:val="pt-BR"/>
        </w:rPr>
        <w:t>.</w:t>
      </w:r>
    </w:p>
    <w:p w14:paraId="424CC42D" w14:textId="77777777" w:rsidR="00025DA1" w:rsidRPr="00BE6CF9" w:rsidRDefault="00025DA1" w:rsidP="00025DA1">
      <w:pPr>
        <w:jc w:val="both"/>
        <w:rPr>
          <w:rFonts w:ascii="Arial" w:hAnsi="Arial" w:cs="Arial"/>
          <w:szCs w:val="24"/>
          <w:lang w:val="pt-BR"/>
        </w:rPr>
      </w:pPr>
    </w:p>
    <w:p w14:paraId="160ECB4A" w14:textId="77777777" w:rsidR="00025DA1" w:rsidRPr="00BE6CF9" w:rsidRDefault="00025DA1" w:rsidP="00025DA1">
      <w:pPr>
        <w:jc w:val="both"/>
        <w:rPr>
          <w:rFonts w:ascii="Arial" w:hAnsi="Arial" w:cs="Arial"/>
          <w:szCs w:val="24"/>
          <w:lang w:val="pt-BR"/>
        </w:rPr>
      </w:pPr>
    </w:p>
    <w:p w14:paraId="5099A0A9" w14:textId="77777777" w:rsidR="00025DA1" w:rsidRPr="00BE6CF9" w:rsidRDefault="00025DA1" w:rsidP="00025DA1">
      <w:pPr>
        <w:jc w:val="both"/>
        <w:rPr>
          <w:rFonts w:ascii="Arial" w:hAnsi="Arial" w:cs="Arial"/>
          <w:szCs w:val="24"/>
          <w:lang w:val="pt-BR"/>
        </w:rPr>
      </w:pPr>
      <w:r w:rsidRPr="00BE6CF9">
        <w:rPr>
          <w:rFonts w:ascii="Arial" w:hAnsi="Arial" w:cs="Arial"/>
          <w:szCs w:val="24"/>
          <w:lang w:val="pt-BR"/>
        </w:rPr>
        <w:t>Impacto do Aquecimento e Acidificação no Fitoplâncton (CO</w:t>
      </w:r>
      <w:r w:rsidRPr="00BE6CF9">
        <w:rPr>
          <w:rFonts w:ascii="Cambria Math" w:hAnsi="Cambria Math" w:cs="Cambria Math"/>
          <w:szCs w:val="24"/>
          <w:lang w:val="pt-BR"/>
        </w:rPr>
        <w:t>₂</w:t>
      </w:r>
      <w:r w:rsidRPr="00BE6CF9">
        <w:rPr>
          <w:rFonts w:ascii="Arial" w:hAnsi="Arial" w:cs="Arial"/>
          <w:szCs w:val="24"/>
          <w:lang w:val="pt-BR"/>
        </w:rPr>
        <w:t>)</w:t>
      </w:r>
    </w:p>
    <w:p w14:paraId="30B557E0" w14:textId="77777777" w:rsidR="00025DA1" w:rsidRPr="00BE6CF9" w:rsidRDefault="00025DA1" w:rsidP="00025DA1">
      <w:pPr>
        <w:jc w:val="both"/>
        <w:rPr>
          <w:rFonts w:ascii="Arial" w:hAnsi="Arial" w:cs="Arial"/>
          <w:szCs w:val="24"/>
        </w:rPr>
      </w:pPr>
      <w:r w:rsidRPr="00BE6CF9">
        <w:rPr>
          <w:rFonts w:ascii="Arial" w:hAnsi="Arial" w:cs="Arial"/>
          <w:szCs w:val="24"/>
        </w:rPr>
        <w:t>Nature - "Climate-driven declines in Arctic Ocean productivity" (Lewis et al., 2020)</w:t>
      </w:r>
    </w:p>
    <w:p w14:paraId="37F8F61B" w14:textId="77777777" w:rsidR="00025DA1" w:rsidRPr="00BE6CF9" w:rsidRDefault="00025DA1" w:rsidP="00025DA1">
      <w:pPr>
        <w:jc w:val="both"/>
        <w:rPr>
          <w:rFonts w:ascii="Arial" w:hAnsi="Arial" w:cs="Arial"/>
          <w:szCs w:val="24"/>
        </w:rPr>
      </w:pPr>
      <w:r w:rsidRPr="00BE6CF9">
        <w:rPr>
          <w:rFonts w:ascii="Arial" w:hAnsi="Arial" w:cs="Arial"/>
          <w:szCs w:val="24"/>
          <w:lang w:val="pt-BR"/>
        </w:rPr>
        <w:t>“O aumento da temperatura oceânica e a estratificação das águas associada à perda de gelo têm reduzido a produtividade do fitoplâncton e, consequentemente, a capacidade de sequestro de carbono do oceano Ártico.”</w:t>
      </w:r>
      <w:r w:rsidRPr="00BE6CF9">
        <w:rPr>
          <w:rFonts w:ascii="Arial" w:hAnsi="Arial" w:cs="Arial"/>
          <w:szCs w:val="24"/>
          <w:lang w:val="pt-BR"/>
        </w:rPr>
        <w:br/>
      </w:r>
      <w:r w:rsidRPr="00BE6CF9">
        <w:rPr>
          <w:rFonts w:ascii="Arial" w:hAnsi="Arial" w:cs="Arial"/>
          <w:szCs w:val="24"/>
        </w:rPr>
        <w:t xml:space="preserve">Lewis, K. M., et al. (2020). Climate-driven declines in Arctic Ocean productivity. Science, 369(6500), 198–202; </w:t>
      </w:r>
      <w:hyperlink r:id="rId13" w:history="1">
        <w:r w:rsidRPr="00BE6CF9">
          <w:rPr>
            <w:rStyle w:val="Hyperlink"/>
            <w:rFonts w:ascii="Arial" w:hAnsi="Arial" w:cs="Arial"/>
            <w:color w:val="auto"/>
            <w:szCs w:val="24"/>
          </w:rPr>
          <w:t>https://www.science.org/doi/10.1126/science.aay8380</w:t>
        </w:r>
      </w:hyperlink>
      <w:r w:rsidRPr="00BE6CF9">
        <w:rPr>
          <w:rFonts w:ascii="Arial" w:hAnsi="Arial" w:cs="Arial"/>
          <w:szCs w:val="24"/>
        </w:rPr>
        <w:t>.</w:t>
      </w:r>
    </w:p>
    <w:p w14:paraId="65063975" w14:textId="77777777" w:rsidR="00025DA1" w:rsidRPr="00BE6CF9" w:rsidRDefault="00025DA1" w:rsidP="00025DA1">
      <w:pPr>
        <w:jc w:val="both"/>
        <w:rPr>
          <w:rFonts w:ascii="Arial" w:hAnsi="Arial" w:cs="Arial"/>
          <w:szCs w:val="24"/>
        </w:rPr>
      </w:pPr>
    </w:p>
    <w:p w14:paraId="3AD71A91" w14:textId="77777777" w:rsidR="00025DA1" w:rsidRPr="00BE6CF9" w:rsidRDefault="00025DA1" w:rsidP="00025DA1">
      <w:pPr>
        <w:jc w:val="both"/>
        <w:rPr>
          <w:rFonts w:ascii="Arial" w:hAnsi="Arial" w:cs="Arial"/>
          <w:szCs w:val="24"/>
          <w:lang w:val="pt-BR"/>
        </w:rPr>
      </w:pPr>
      <w:r w:rsidRPr="00BE6CF9">
        <w:rPr>
          <w:rFonts w:ascii="Arial" w:hAnsi="Arial" w:cs="Arial"/>
          <w:szCs w:val="24"/>
          <w:lang w:val="pt-BR"/>
        </w:rPr>
        <w:lastRenderedPageBreak/>
        <w:t>Circulação Oceânica e Sismicidade</w:t>
      </w:r>
    </w:p>
    <w:p w14:paraId="6922F714" w14:textId="77777777" w:rsidR="00025DA1" w:rsidRPr="00BE6CF9" w:rsidRDefault="00025DA1" w:rsidP="00025DA1">
      <w:pPr>
        <w:jc w:val="both"/>
        <w:rPr>
          <w:rFonts w:ascii="Arial" w:hAnsi="Arial" w:cs="Arial"/>
          <w:szCs w:val="24"/>
          <w:lang w:val="pt-BR"/>
        </w:rPr>
      </w:pPr>
      <w:proofErr w:type="spellStart"/>
      <w:r w:rsidRPr="00BE6CF9">
        <w:rPr>
          <w:rFonts w:ascii="Arial" w:hAnsi="Arial" w:cs="Arial"/>
          <w:szCs w:val="24"/>
          <w:lang w:val="pt-BR"/>
        </w:rPr>
        <w:t>Nature</w:t>
      </w:r>
      <w:proofErr w:type="spellEnd"/>
      <w:r w:rsidRPr="00BE6CF9">
        <w:rPr>
          <w:rFonts w:ascii="Arial" w:hAnsi="Arial" w:cs="Arial"/>
          <w:szCs w:val="24"/>
          <w:lang w:val="pt-BR"/>
        </w:rPr>
        <w:t xml:space="preserve"> </w:t>
      </w:r>
      <w:proofErr w:type="spellStart"/>
      <w:r w:rsidRPr="00BE6CF9">
        <w:rPr>
          <w:rFonts w:ascii="Arial" w:hAnsi="Arial" w:cs="Arial"/>
          <w:szCs w:val="24"/>
          <w:lang w:val="pt-BR"/>
        </w:rPr>
        <w:t>Geoscience</w:t>
      </w:r>
      <w:proofErr w:type="spellEnd"/>
      <w:r w:rsidRPr="00BE6CF9">
        <w:rPr>
          <w:rFonts w:ascii="Arial" w:hAnsi="Arial" w:cs="Arial"/>
          <w:szCs w:val="24"/>
          <w:lang w:val="pt-BR"/>
        </w:rPr>
        <w:t xml:space="preserve"> – Degelo e Instabilidade Geológica</w:t>
      </w:r>
    </w:p>
    <w:p w14:paraId="7D6DA243" w14:textId="77777777" w:rsidR="00025DA1" w:rsidRPr="00025DA1" w:rsidRDefault="00025DA1" w:rsidP="00025DA1">
      <w:pPr>
        <w:jc w:val="both"/>
        <w:rPr>
          <w:rFonts w:ascii="Arial" w:hAnsi="Arial" w:cs="Arial"/>
          <w:szCs w:val="24"/>
          <w:lang w:val="pt-BR"/>
        </w:rPr>
      </w:pPr>
      <w:r w:rsidRPr="00BE6CF9">
        <w:rPr>
          <w:rFonts w:ascii="Arial" w:hAnsi="Arial" w:cs="Arial"/>
          <w:szCs w:val="24"/>
          <w:lang w:val="pt-BR"/>
        </w:rPr>
        <w:t xml:space="preserve">“A retirada de gelo de cobertura altera o equilíbrio de pressão na crosta, podendo desencadear instabilidade tectônica e aumento de atividade sísmica em certas regiões polares.” </w:t>
      </w:r>
      <w:proofErr w:type="spellStart"/>
      <w:r w:rsidRPr="00BE6CF9">
        <w:rPr>
          <w:rFonts w:ascii="Arial" w:hAnsi="Arial" w:cs="Arial"/>
          <w:szCs w:val="24"/>
        </w:rPr>
        <w:t>Rignot</w:t>
      </w:r>
      <w:proofErr w:type="spellEnd"/>
      <w:r w:rsidRPr="00BE6CF9">
        <w:rPr>
          <w:rFonts w:ascii="Arial" w:hAnsi="Arial" w:cs="Arial"/>
          <w:szCs w:val="24"/>
        </w:rPr>
        <w:t xml:space="preserve">, E., et al. (2019). Four decades of Antarctic Ice Sheet mass balance from 1979–2017. </w:t>
      </w:r>
      <w:proofErr w:type="spellStart"/>
      <w:r w:rsidRPr="00025DA1">
        <w:rPr>
          <w:rFonts w:ascii="Arial" w:hAnsi="Arial" w:cs="Arial"/>
          <w:szCs w:val="24"/>
          <w:lang w:val="pt-BR"/>
        </w:rPr>
        <w:t>Nature</w:t>
      </w:r>
      <w:proofErr w:type="spellEnd"/>
      <w:r w:rsidRPr="00025DA1">
        <w:rPr>
          <w:rFonts w:ascii="Arial" w:hAnsi="Arial" w:cs="Arial"/>
          <w:szCs w:val="24"/>
          <w:lang w:val="pt-BR"/>
        </w:rPr>
        <w:t>, 558(7709), 219–222.</w:t>
      </w:r>
    </w:p>
    <w:p w14:paraId="71F6E909" w14:textId="77777777" w:rsidR="00025DA1" w:rsidRPr="00025DA1" w:rsidRDefault="00025DA1" w:rsidP="00025DA1">
      <w:pPr>
        <w:jc w:val="both"/>
        <w:rPr>
          <w:rFonts w:ascii="Arial" w:hAnsi="Arial" w:cs="Arial"/>
          <w:szCs w:val="24"/>
          <w:lang w:val="pt-BR"/>
        </w:rPr>
      </w:pPr>
    </w:p>
    <w:p w14:paraId="2856F27C" w14:textId="77777777" w:rsidR="00025DA1" w:rsidRPr="00BE6CF9" w:rsidRDefault="00025DA1" w:rsidP="00025DA1">
      <w:pPr>
        <w:jc w:val="both"/>
        <w:rPr>
          <w:rFonts w:ascii="Arial" w:hAnsi="Arial" w:cs="Arial"/>
          <w:szCs w:val="24"/>
          <w:lang w:val="pt-BR"/>
        </w:rPr>
      </w:pPr>
      <w:r w:rsidRPr="00BE6CF9">
        <w:rPr>
          <w:rFonts w:ascii="Arial" w:hAnsi="Arial" w:cs="Arial"/>
          <w:szCs w:val="24"/>
          <w:lang w:val="pt-BR"/>
        </w:rPr>
        <w:t>Referências Nacionais Correlatas</w:t>
      </w:r>
    </w:p>
    <w:p w14:paraId="2AA14E66" w14:textId="77777777" w:rsidR="00025DA1" w:rsidRPr="00BE6CF9" w:rsidRDefault="00025DA1" w:rsidP="00025DA1">
      <w:pPr>
        <w:jc w:val="both"/>
        <w:rPr>
          <w:rFonts w:ascii="Arial" w:hAnsi="Arial" w:cs="Arial"/>
          <w:szCs w:val="24"/>
          <w:lang w:val="pt-BR"/>
        </w:rPr>
      </w:pPr>
      <w:r w:rsidRPr="00BE6CF9">
        <w:rPr>
          <w:rFonts w:ascii="Arial" w:hAnsi="Arial" w:cs="Arial"/>
          <w:szCs w:val="24"/>
          <w:lang w:val="pt-BR"/>
        </w:rPr>
        <w:t>1. Quebra de coerência sistêmica , Limites e Sustentabilidade</w:t>
      </w:r>
    </w:p>
    <w:p w14:paraId="0949603F" w14:textId="77777777" w:rsidR="00025DA1" w:rsidRPr="00BE6CF9" w:rsidRDefault="00025DA1" w:rsidP="00025DA1">
      <w:pPr>
        <w:jc w:val="both"/>
        <w:rPr>
          <w:rFonts w:ascii="Arial" w:hAnsi="Arial" w:cs="Arial"/>
          <w:szCs w:val="24"/>
          <w:lang w:val="pt-BR"/>
        </w:rPr>
      </w:pPr>
    </w:p>
    <w:p w14:paraId="5EFE0569" w14:textId="77777777" w:rsidR="00025DA1" w:rsidRPr="00BE6CF9" w:rsidRDefault="00025DA1" w:rsidP="00025DA1">
      <w:pPr>
        <w:jc w:val="both"/>
        <w:rPr>
          <w:rFonts w:ascii="Arial" w:hAnsi="Arial" w:cs="Arial"/>
          <w:szCs w:val="24"/>
          <w:lang w:val="pt-BR"/>
        </w:rPr>
      </w:pPr>
      <w:r w:rsidRPr="00BE6CF9">
        <w:rPr>
          <w:rFonts w:ascii="Arial" w:hAnsi="Arial" w:cs="Arial"/>
          <w:szCs w:val="24"/>
          <w:lang w:val="pt-BR"/>
        </w:rPr>
        <w:t>Leis, Hildete Pereira de Melo; SANTOS, Mauro Osório. Limites do crescimento: sustentabilidade ambiental e economia no Brasil. Rio de Janeiro: Editora UFRJ, 2002.</w:t>
      </w:r>
    </w:p>
    <w:p w14:paraId="522273A5" w14:textId="77777777" w:rsidR="00025DA1" w:rsidRPr="00BE6CF9" w:rsidRDefault="00025DA1" w:rsidP="00025DA1">
      <w:pPr>
        <w:jc w:val="both"/>
        <w:rPr>
          <w:rFonts w:ascii="Arial" w:hAnsi="Arial" w:cs="Arial"/>
          <w:szCs w:val="24"/>
          <w:lang w:val="pt-BR"/>
        </w:rPr>
      </w:pPr>
    </w:p>
    <w:p w14:paraId="0EBB6D5E" w14:textId="77777777" w:rsidR="00025DA1" w:rsidRPr="00BE6CF9" w:rsidRDefault="00025DA1" w:rsidP="00025DA1">
      <w:pPr>
        <w:jc w:val="both"/>
        <w:rPr>
          <w:rFonts w:ascii="Arial" w:hAnsi="Arial" w:cs="Arial"/>
          <w:szCs w:val="24"/>
          <w:lang w:val="pt-BR"/>
        </w:rPr>
      </w:pPr>
      <w:r w:rsidRPr="00BE6CF9">
        <w:rPr>
          <w:rFonts w:ascii="Arial" w:hAnsi="Arial" w:cs="Arial"/>
          <w:szCs w:val="24"/>
          <w:lang w:val="pt-BR"/>
        </w:rPr>
        <w:t>PÁDUA, José Augusto. Um Sopro de Destruição: Pensamento Político e Crítica Ambiental no Brasil Escravista (1786-1888). Rio de Janeiro: Jorge Zahar Editor, 2002.</w:t>
      </w:r>
    </w:p>
    <w:p w14:paraId="475F5C41" w14:textId="77777777" w:rsidR="00025DA1" w:rsidRPr="00BE6CF9" w:rsidRDefault="00025DA1" w:rsidP="00025DA1">
      <w:pPr>
        <w:jc w:val="both"/>
        <w:rPr>
          <w:rFonts w:ascii="Arial" w:hAnsi="Arial" w:cs="Arial"/>
          <w:szCs w:val="24"/>
          <w:lang w:val="pt-BR"/>
        </w:rPr>
      </w:pPr>
    </w:p>
    <w:p w14:paraId="306310CA" w14:textId="77777777" w:rsidR="00025DA1" w:rsidRPr="00BE6CF9" w:rsidRDefault="00025DA1" w:rsidP="00025DA1">
      <w:pPr>
        <w:jc w:val="both"/>
        <w:rPr>
          <w:rFonts w:ascii="Arial" w:hAnsi="Arial" w:cs="Arial"/>
          <w:szCs w:val="24"/>
          <w:lang w:val="pt-BR"/>
        </w:rPr>
      </w:pPr>
      <w:r w:rsidRPr="00BE6CF9">
        <w:rPr>
          <w:rFonts w:ascii="Arial" w:hAnsi="Arial" w:cs="Arial"/>
          <w:szCs w:val="24"/>
          <w:lang w:val="pt-BR"/>
        </w:rPr>
        <w:t xml:space="preserve">ACSELRAD, Henri. Sustentabilidade e Espaço: Sustentabilidade, Território e Desigualdade no Brasil. Rio de Janeiro: </w:t>
      </w:r>
      <w:proofErr w:type="spellStart"/>
      <w:r w:rsidRPr="00BE6CF9">
        <w:rPr>
          <w:rFonts w:ascii="Arial" w:hAnsi="Arial" w:cs="Arial"/>
          <w:szCs w:val="24"/>
          <w:lang w:val="pt-BR"/>
        </w:rPr>
        <w:t>Garamond</w:t>
      </w:r>
      <w:proofErr w:type="spellEnd"/>
      <w:r w:rsidRPr="00BE6CF9">
        <w:rPr>
          <w:rFonts w:ascii="Arial" w:hAnsi="Arial" w:cs="Arial"/>
          <w:szCs w:val="24"/>
          <w:lang w:val="pt-BR"/>
        </w:rPr>
        <w:t>, 2001.</w:t>
      </w:r>
    </w:p>
    <w:p w14:paraId="6387F3CA" w14:textId="77777777" w:rsidR="00025DA1" w:rsidRPr="00BE6CF9" w:rsidRDefault="00025DA1" w:rsidP="00025DA1">
      <w:pPr>
        <w:jc w:val="both"/>
        <w:rPr>
          <w:rFonts w:ascii="Arial" w:hAnsi="Arial" w:cs="Arial"/>
          <w:szCs w:val="24"/>
          <w:lang w:val="pt-BR"/>
        </w:rPr>
      </w:pPr>
    </w:p>
    <w:p w14:paraId="71A0877D" w14:textId="77777777" w:rsidR="00025DA1" w:rsidRPr="00BE6CF9" w:rsidRDefault="00025DA1" w:rsidP="00025DA1">
      <w:pPr>
        <w:jc w:val="both"/>
        <w:rPr>
          <w:rFonts w:ascii="Arial" w:hAnsi="Arial" w:cs="Arial"/>
          <w:szCs w:val="24"/>
          <w:lang w:val="pt-BR"/>
        </w:rPr>
      </w:pPr>
      <w:r w:rsidRPr="00BE6CF9">
        <w:rPr>
          <w:rFonts w:ascii="Arial" w:hAnsi="Arial" w:cs="Arial"/>
          <w:szCs w:val="24"/>
          <w:lang w:val="pt-BR"/>
        </w:rPr>
        <w:t xml:space="preserve">2. Ecologia, Pressão Ambiental e entropia </w:t>
      </w:r>
      <w:proofErr w:type="gramStart"/>
      <w:r w:rsidRPr="00BE6CF9">
        <w:rPr>
          <w:rFonts w:ascii="Arial" w:hAnsi="Arial" w:cs="Arial"/>
          <w:szCs w:val="24"/>
          <w:lang w:val="pt-BR"/>
        </w:rPr>
        <w:t>critica</w:t>
      </w:r>
      <w:proofErr w:type="gramEnd"/>
      <w:r w:rsidRPr="00BE6CF9">
        <w:rPr>
          <w:rFonts w:ascii="Arial" w:hAnsi="Arial" w:cs="Arial"/>
          <w:szCs w:val="24"/>
          <w:lang w:val="pt-BR"/>
        </w:rPr>
        <w:t xml:space="preserve"> de Ecossistemas</w:t>
      </w:r>
    </w:p>
    <w:p w14:paraId="367AB0F6" w14:textId="77777777" w:rsidR="00025DA1" w:rsidRPr="00BE6CF9" w:rsidRDefault="00025DA1" w:rsidP="00025DA1">
      <w:pPr>
        <w:jc w:val="both"/>
        <w:rPr>
          <w:rFonts w:ascii="Arial" w:hAnsi="Arial" w:cs="Arial"/>
          <w:szCs w:val="24"/>
          <w:lang w:val="pt-BR"/>
        </w:rPr>
      </w:pPr>
    </w:p>
    <w:p w14:paraId="1BE38C3C" w14:textId="77777777" w:rsidR="00025DA1" w:rsidRPr="00BE6CF9" w:rsidRDefault="00025DA1" w:rsidP="00025DA1">
      <w:pPr>
        <w:jc w:val="both"/>
        <w:rPr>
          <w:rFonts w:ascii="Arial" w:hAnsi="Arial" w:cs="Arial"/>
          <w:szCs w:val="24"/>
          <w:lang w:val="pt-BR"/>
        </w:rPr>
      </w:pPr>
      <w:r w:rsidRPr="00BE6CF9">
        <w:rPr>
          <w:rFonts w:ascii="Arial" w:hAnsi="Arial" w:cs="Arial"/>
          <w:szCs w:val="24"/>
          <w:lang w:val="pt-BR"/>
        </w:rPr>
        <w:t>MAGNAGO, Luiz Fernando Silva et al. “Desmatamento e degradação ambiental na Amazônia: desafios e perspectivas para o desenvolvimento sustentável.” Cadernos do Desenvolvimento Fluminense, v. 16, n. 28, p. 27-42, 2020.</w:t>
      </w:r>
    </w:p>
    <w:p w14:paraId="03879C7D" w14:textId="77777777" w:rsidR="00025DA1" w:rsidRPr="00BE6CF9" w:rsidRDefault="00025DA1" w:rsidP="00025DA1">
      <w:pPr>
        <w:jc w:val="both"/>
        <w:rPr>
          <w:rFonts w:ascii="Arial" w:hAnsi="Arial" w:cs="Arial"/>
          <w:szCs w:val="24"/>
          <w:lang w:val="pt-BR"/>
        </w:rPr>
      </w:pPr>
    </w:p>
    <w:p w14:paraId="048B0DDA" w14:textId="77777777" w:rsidR="00025DA1" w:rsidRPr="00BE6CF9" w:rsidRDefault="00025DA1" w:rsidP="00025DA1">
      <w:pPr>
        <w:jc w:val="both"/>
        <w:rPr>
          <w:rFonts w:ascii="Arial" w:hAnsi="Arial" w:cs="Arial"/>
          <w:szCs w:val="24"/>
          <w:lang w:val="pt-BR"/>
        </w:rPr>
      </w:pPr>
      <w:r w:rsidRPr="00BE6CF9">
        <w:rPr>
          <w:rFonts w:ascii="Arial" w:hAnsi="Arial" w:cs="Arial"/>
          <w:szCs w:val="24"/>
          <w:lang w:val="pt-BR"/>
        </w:rPr>
        <w:lastRenderedPageBreak/>
        <w:t>BARRETO, Paulo et al. “Os custos econômicos e ecológicos do colapso ambiental na Amazônia.” Instituto do Homem e Meio Ambiente da Amazônia – IMAZON, Belém, 2022. [Relatório]</w:t>
      </w:r>
    </w:p>
    <w:p w14:paraId="659F1EA3" w14:textId="77777777" w:rsidR="00025DA1" w:rsidRPr="00BE6CF9" w:rsidRDefault="00025DA1" w:rsidP="00025DA1">
      <w:pPr>
        <w:jc w:val="both"/>
        <w:rPr>
          <w:rFonts w:ascii="Arial" w:hAnsi="Arial" w:cs="Arial"/>
          <w:szCs w:val="24"/>
          <w:lang w:val="pt-BR"/>
        </w:rPr>
      </w:pPr>
    </w:p>
    <w:p w14:paraId="24674722" w14:textId="77777777" w:rsidR="00025DA1" w:rsidRPr="00BE6CF9" w:rsidRDefault="00025DA1" w:rsidP="00025DA1">
      <w:pPr>
        <w:jc w:val="both"/>
        <w:rPr>
          <w:rFonts w:ascii="Arial" w:hAnsi="Arial" w:cs="Arial"/>
          <w:szCs w:val="24"/>
          <w:lang w:val="pt-BR"/>
        </w:rPr>
      </w:pPr>
      <w:r w:rsidRPr="00BE6CF9">
        <w:rPr>
          <w:rFonts w:ascii="Arial" w:hAnsi="Arial" w:cs="Arial"/>
          <w:szCs w:val="24"/>
          <w:lang w:val="pt-BR"/>
        </w:rPr>
        <w:t>BRITO, Marcelo Cid; MOURA, Rodrigo. Amazônia: uma década de desafios, ameaças e esperança. São Paulo: Editora Peirópolis, 2019.</w:t>
      </w:r>
    </w:p>
    <w:p w14:paraId="292096C1" w14:textId="77777777" w:rsidR="00025DA1" w:rsidRPr="00BE6CF9" w:rsidRDefault="00025DA1" w:rsidP="00025DA1">
      <w:pPr>
        <w:jc w:val="both"/>
        <w:rPr>
          <w:rFonts w:ascii="Arial" w:hAnsi="Arial" w:cs="Arial"/>
          <w:szCs w:val="24"/>
          <w:lang w:val="pt-BR"/>
        </w:rPr>
      </w:pPr>
    </w:p>
    <w:p w14:paraId="624434D1" w14:textId="77777777" w:rsidR="00025DA1" w:rsidRPr="00BE6CF9" w:rsidRDefault="00025DA1" w:rsidP="00025DA1">
      <w:pPr>
        <w:jc w:val="both"/>
        <w:rPr>
          <w:rFonts w:ascii="Arial" w:hAnsi="Arial" w:cs="Arial"/>
          <w:szCs w:val="24"/>
          <w:lang w:val="pt-BR"/>
        </w:rPr>
      </w:pPr>
      <w:r w:rsidRPr="00BE6CF9">
        <w:rPr>
          <w:rFonts w:ascii="Arial" w:hAnsi="Arial" w:cs="Arial"/>
          <w:szCs w:val="24"/>
          <w:lang w:val="pt-BR"/>
        </w:rPr>
        <w:t>3. População, Urbanização e Limites de Suporte</w:t>
      </w:r>
    </w:p>
    <w:p w14:paraId="6DAB136F" w14:textId="77777777" w:rsidR="00025DA1" w:rsidRPr="00BE6CF9" w:rsidRDefault="00025DA1" w:rsidP="00025DA1">
      <w:pPr>
        <w:jc w:val="both"/>
        <w:rPr>
          <w:rFonts w:ascii="Arial" w:hAnsi="Arial" w:cs="Arial"/>
          <w:szCs w:val="24"/>
          <w:lang w:val="pt-BR"/>
        </w:rPr>
      </w:pPr>
    </w:p>
    <w:p w14:paraId="57157D89" w14:textId="77777777" w:rsidR="00025DA1" w:rsidRPr="00BE6CF9" w:rsidRDefault="00025DA1" w:rsidP="00025DA1">
      <w:pPr>
        <w:jc w:val="both"/>
        <w:rPr>
          <w:rFonts w:ascii="Arial" w:hAnsi="Arial" w:cs="Arial"/>
          <w:szCs w:val="24"/>
          <w:lang w:val="pt-BR"/>
        </w:rPr>
      </w:pPr>
      <w:r w:rsidRPr="00BE6CF9">
        <w:rPr>
          <w:rFonts w:ascii="Arial" w:hAnsi="Arial" w:cs="Arial"/>
          <w:szCs w:val="24"/>
          <w:lang w:val="pt-BR"/>
        </w:rPr>
        <w:t>CAVALCANTI, Clóvis. Economia, Ecologia e Sustentabilidade. Recife: Ed. Universitária da UFPE, 2007.</w:t>
      </w:r>
    </w:p>
    <w:p w14:paraId="6E7DE67B" w14:textId="77777777" w:rsidR="00025DA1" w:rsidRPr="00BE6CF9" w:rsidRDefault="00025DA1" w:rsidP="00025DA1">
      <w:pPr>
        <w:jc w:val="both"/>
        <w:rPr>
          <w:rFonts w:ascii="Arial" w:hAnsi="Arial" w:cs="Arial"/>
          <w:szCs w:val="24"/>
          <w:lang w:val="pt-BR"/>
        </w:rPr>
      </w:pPr>
    </w:p>
    <w:p w14:paraId="6EFFE43B" w14:textId="77777777" w:rsidR="00025DA1" w:rsidRPr="00BE6CF9" w:rsidRDefault="00025DA1" w:rsidP="00025DA1">
      <w:pPr>
        <w:jc w:val="both"/>
        <w:rPr>
          <w:rFonts w:ascii="Arial" w:hAnsi="Arial" w:cs="Arial"/>
          <w:szCs w:val="24"/>
          <w:lang w:val="pt-BR"/>
        </w:rPr>
      </w:pPr>
      <w:r w:rsidRPr="00BE6CF9">
        <w:rPr>
          <w:rFonts w:ascii="Arial" w:hAnsi="Arial" w:cs="Arial"/>
          <w:szCs w:val="24"/>
          <w:lang w:val="pt-BR"/>
        </w:rPr>
        <w:t>VEIGA, José Eli da. Sustentabilidade: a legitimação de um novo valor. São Paulo: Senac, 2008.</w:t>
      </w:r>
    </w:p>
    <w:p w14:paraId="69E3ACD5" w14:textId="77777777" w:rsidR="00025DA1" w:rsidRPr="00BE6CF9" w:rsidRDefault="00025DA1" w:rsidP="00025DA1">
      <w:pPr>
        <w:jc w:val="both"/>
        <w:rPr>
          <w:rFonts w:ascii="Arial" w:hAnsi="Arial" w:cs="Arial"/>
          <w:szCs w:val="24"/>
          <w:lang w:val="pt-BR"/>
        </w:rPr>
      </w:pPr>
    </w:p>
    <w:p w14:paraId="5E6A5BE4" w14:textId="77777777" w:rsidR="00025DA1" w:rsidRPr="00BE6CF9" w:rsidRDefault="00025DA1" w:rsidP="00025DA1">
      <w:pPr>
        <w:jc w:val="both"/>
        <w:rPr>
          <w:rFonts w:ascii="Arial" w:hAnsi="Arial" w:cs="Arial"/>
          <w:szCs w:val="24"/>
          <w:lang w:val="pt-BR"/>
        </w:rPr>
      </w:pPr>
      <w:r w:rsidRPr="00BE6CF9">
        <w:rPr>
          <w:rFonts w:ascii="Arial" w:hAnsi="Arial" w:cs="Arial"/>
          <w:szCs w:val="24"/>
          <w:lang w:val="pt-BR"/>
        </w:rPr>
        <w:t>4. Pandemias, Pressão Viral e Saúde Ambiental</w:t>
      </w:r>
    </w:p>
    <w:p w14:paraId="315424FA" w14:textId="77777777" w:rsidR="00025DA1" w:rsidRPr="00BE6CF9" w:rsidRDefault="00025DA1" w:rsidP="00025DA1">
      <w:pPr>
        <w:jc w:val="both"/>
        <w:rPr>
          <w:rFonts w:ascii="Arial" w:hAnsi="Arial" w:cs="Arial"/>
          <w:szCs w:val="24"/>
          <w:lang w:val="pt-BR"/>
        </w:rPr>
      </w:pPr>
    </w:p>
    <w:p w14:paraId="041B5AEC" w14:textId="77777777" w:rsidR="00025DA1" w:rsidRPr="00BE6CF9" w:rsidRDefault="00025DA1" w:rsidP="00025DA1">
      <w:pPr>
        <w:jc w:val="both"/>
        <w:rPr>
          <w:rFonts w:ascii="Arial" w:hAnsi="Arial" w:cs="Arial"/>
          <w:szCs w:val="24"/>
          <w:lang w:val="pt-BR"/>
        </w:rPr>
      </w:pPr>
      <w:r w:rsidRPr="00BE6CF9">
        <w:rPr>
          <w:rFonts w:ascii="Arial" w:hAnsi="Arial" w:cs="Arial"/>
          <w:szCs w:val="24"/>
          <w:lang w:val="pt-BR"/>
        </w:rPr>
        <w:t>VIANA, Ana Luiza d’Ávila et al. “Determinantes ambientais das pandemias e o Sistema Único de Saúde.” Ciência &amp; Saúde Coletiva, v. 26, n. 6, p. 2261-2272, 2021.</w:t>
      </w:r>
    </w:p>
    <w:p w14:paraId="287BC9E1" w14:textId="77777777" w:rsidR="00025DA1" w:rsidRPr="00BE6CF9" w:rsidRDefault="00025DA1" w:rsidP="00025DA1">
      <w:pPr>
        <w:jc w:val="both"/>
        <w:rPr>
          <w:rFonts w:ascii="Arial" w:hAnsi="Arial" w:cs="Arial"/>
          <w:szCs w:val="24"/>
          <w:lang w:val="pt-BR"/>
        </w:rPr>
      </w:pPr>
    </w:p>
    <w:p w14:paraId="2FFC94C8" w14:textId="77777777" w:rsidR="00025DA1" w:rsidRPr="00BE6CF9" w:rsidRDefault="00025DA1" w:rsidP="00025DA1">
      <w:pPr>
        <w:jc w:val="both"/>
        <w:rPr>
          <w:rFonts w:ascii="Arial" w:hAnsi="Arial" w:cs="Arial"/>
          <w:szCs w:val="24"/>
          <w:lang w:val="pt-BR"/>
        </w:rPr>
      </w:pPr>
      <w:r w:rsidRPr="00BE6CF9">
        <w:rPr>
          <w:rFonts w:ascii="Arial" w:hAnsi="Arial" w:cs="Arial"/>
          <w:szCs w:val="24"/>
          <w:lang w:val="pt-BR"/>
        </w:rPr>
        <w:t>BARRETO, Maurício Lima et al. “Mudanças ambientais globais e o risco de doenças infecciosas emergentes: desafios para o Brasil.” Revista de Saúde Pública, v. 54, 2020.</w:t>
      </w:r>
    </w:p>
    <w:p w14:paraId="07E4808C" w14:textId="77777777" w:rsidR="00025DA1" w:rsidRPr="00BE6CF9" w:rsidRDefault="00025DA1" w:rsidP="00025DA1">
      <w:pPr>
        <w:jc w:val="both"/>
        <w:rPr>
          <w:rFonts w:ascii="Arial" w:hAnsi="Arial" w:cs="Arial"/>
          <w:szCs w:val="24"/>
          <w:lang w:val="pt-BR"/>
        </w:rPr>
      </w:pPr>
    </w:p>
    <w:p w14:paraId="64241DB3" w14:textId="77777777" w:rsidR="00025DA1" w:rsidRPr="00BE6CF9" w:rsidRDefault="00025DA1" w:rsidP="00025DA1">
      <w:pPr>
        <w:jc w:val="both"/>
        <w:rPr>
          <w:rFonts w:ascii="Arial" w:hAnsi="Arial" w:cs="Arial"/>
          <w:szCs w:val="24"/>
          <w:lang w:val="pt-BR"/>
        </w:rPr>
      </w:pPr>
      <w:r w:rsidRPr="00BE6CF9">
        <w:rPr>
          <w:rFonts w:ascii="Arial" w:hAnsi="Arial" w:cs="Arial"/>
          <w:szCs w:val="24"/>
          <w:lang w:val="pt-BR"/>
        </w:rPr>
        <w:t>5. Visão Sistêmica e Abordagem Interdisciplinar</w:t>
      </w:r>
    </w:p>
    <w:p w14:paraId="589447A0" w14:textId="77777777" w:rsidR="00025DA1" w:rsidRPr="00BE6CF9" w:rsidRDefault="00025DA1" w:rsidP="00025DA1">
      <w:pPr>
        <w:jc w:val="both"/>
        <w:rPr>
          <w:rFonts w:ascii="Arial" w:hAnsi="Arial" w:cs="Arial"/>
          <w:szCs w:val="24"/>
          <w:lang w:val="pt-BR"/>
        </w:rPr>
      </w:pPr>
    </w:p>
    <w:p w14:paraId="4B8C98AB" w14:textId="77777777" w:rsidR="00025DA1" w:rsidRPr="00BE6CF9" w:rsidRDefault="00025DA1" w:rsidP="00025DA1">
      <w:pPr>
        <w:jc w:val="both"/>
        <w:rPr>
          <w:rFonts w:ascii="Arial" w:hAnsi="Arial" w:cs="Arial"/>
          <w:szCs w:val="24"/>
          <w:lang w:val="pt-BR"/>
        </w:rPr>
      </w:pPr>
      <w:r w:rsidRPr="00BE6CF9">
        <w:rPr>
          <w:rFonts w:ascii="Arial" w:hAnsi="Arial" w:cs="Arial"/>
          <w:szCs w:val="24"/>
          <w:lang w:val="pt-BR"/>
        </w:rPr>
        <w:lastRenderedPageBreak/>
        <w:t xml:space="preserve">SACHS, </w:t>
      </w:r>
      <w:proofErr w:type="spellStart"/>
      <w:r w:rsidRPr="00BE6CF9">
        <w:rPr>
          <w:rFonts w:ascii="Arial" w:hAnsi="Arial" w:cs="Arial"/>
          <w:szCs w:val="24"/>
          <w:lang w:val="pt-BR"/>
        </w:rPr>
        <w:t>Ignacy</w:t>
      </w:r>
      <w:proofErr w:type="spellEnd"/>
      <w:r w:rsidRPr="00BE6CF9">
        <w:rPr>
          <w:rFonts w:ascii="Arial" w:hAnsi="Arial" w:cs="Arial"/>
          <w:szCs w:val="24"/>
          <w:lang w:val="pt-BR"/>
        </w:rPr>
        <w:t xml:space="preserve">. Rumo à </w:t>
      </w:r>
      <w:proofErr w:type="spellStart"/>
      <w:r w:rsidRPr="00BE6CF9">
        <w:rPr>
          <w:rFonts w:ascii="Arial" w:hAnsi="Arial" w:cs="Arial"/>
          <w:szCs w:val="24"/>
          <w:lang w:val="pt-BR"/>
        </w:rPr>
        <w:t>Ecossocioeconomia</w:t>
      </w:r>
      <w:proofErr w:type="spellEnd"/>
      <w:r w:rsidRPr="00BE6CF9">
        <w:rPr>
          <w:rFonts w:ascii="Arial" w:hAnsi="Arial" w:cs="Arial"/>
          <w:szCs w:val="24"/>
          <w:lang w:val="pt-BR"/>
        </w:rPr>
        <w:t>: Teoria e Prática do Desenvolvimento. São Paulo: Cortez, 2009.</w:t>
      </w:r>
    </w:p>
    <w:p w14:paraId="6BC9C643" w14:textId="77777777" w:rsidR="00025DA1" w:rsidRPr="00BE6CF9" w:rsidRDefault="00025DA1" w:rsidP="00025DA1">
      <w:pPr>
        <w:jc w:val="both"/>
        <w:rPr>
          <w:rFonts w:ascii="Arial" w:hAnsi="Arial" w:cs="Arial"/>
          <w:szCs w:val="24"/>
          <w:lang w:val="pt-BR"/>
        </w:rPr>
      </w:pPr>
    </w:p>
    <w:p w14:paraId="36C7F8FE" w14:textId="77777777" w:rsidR="00025DA1" w:rsidRPr="00BE6CF9" w:rsidRDefault="00025DA1" w:rsidP="00025DA1">
      <w:pPr>
        <w:jc w:val="both"/>
        <w:rPr>
          <w:rFonts w:ascii="Arial" w:hAnsi="Arial" w:cs="Arial"/>
          <w:szCs w:val="24"/>
        </w:rPr>
      </w:pPr>
      <w:r w:rsidRPr="00BE6CF9">
        <w:rPr>
          <w:rFonts w:ascii="Arial" w:hAnsi="Arial" w:cs="Arial"/>
          <w:szCs w:val="24"/>
          <w:lang w:val="pt-BR"/>
        </w:rPr>
        <w:t xml:space="preserve">LOUREIRO, Carlos Frederico Bernardo. Educação Ambiental e Cidadania Planetária. </w:t>
      </w:r>
      <w:r w:rsidRPr="00BE6CF9">
        <w:rPr>
          <w:rFonts w:ascii="Arial" w:hAnsi="Arial" w:cs="Arial"/>
          <w:szCs w:val="24"/>
        </w:rPr>
        <w:t>São Paulo: Cortez, 2007.</w:t>
      </w:r>
    </w:p>
    <w:p w14:paraId="30A7FD78" w14:textId="77777777" w:rsidR="00025DA1" w:rsidRPr="00BE6CF9" w:rsidRDefault="00025DA1" w:rsidP="00025DA1">
      <w:pPr>
        <w:jc w:val="both"/>
        <w:rPr>
          <w:rFonts w:ascii="Arial" w:hAnsi="Arial" w:cs="Arial"/>
          <w:szCs w:val="24"/>
        </w:rPr>
      </w:pPr>
      <w:r w:rsidRPr="00BE6CF9">
        <w:rPr>
          <w:rFonts w:ascii="Arial" w:hAnsi="Arial" w:cs="Arial"/>
          <w:szCs w:val="24"/>
        </w:rPr>
        <w:t>Meadows, D.H. et al. (1972). The Limits to Growth. Club of Rome.</w:t>
      </w:r>
    </w:p>
    <w:p w14:paraId="37B3AC3A" w14:textId="77777777" w:rsidR="00025DA1" w:rsidRPr="00BE6CF9" w:rsidRDefault="00025DA1" w:rsidP="00025DA1">
      <w:pPr>
        <w:jc w:val="both"/>
        <w:rPr>
          <w:rFonts w:ascii="Arial" w:hAnsi="Arial" w:cs="Arial"/>
          <w:szCs w:val="24"/>
        </w:rPr>
      </w:pPr>
      <w:r w:rsidRPr="00BE6CF9">
        <w:rPr>
          <w:rFonts w:ascii="Arial" w:hAnsi="Arial" w:cs="Arial"/>
          <w:szCs w:val="24"/>
        </w:rPr>
        <w:t xml:space="preserve">Prigogine, I. &amp; </w:t>
      </w:r>
      <w:proofErr w:type="spellStart"/>
      <w:r w:rsidRPr="00BE6CF9">
        <w:rPr>
          <w:rFonts w:ascii="Arial" w:hAnsi="Arial" w:cs="Arial"/>
          <w:szCs w:val="24"/>
        </w:rPr>
        <w:t>Stengers</w:t>
      </w:r>
      <w:proofErr w:type="spellEnd"/>
      <w:r w:rsidRPr="00BE6CF9">
        <w:rPr>
          <w:rFonts w:ascii="Arial" w:hAnsi="Arial" w:cs="Arial"/>
          <w:szCs w:val="24"/>
        </w:rPr>
        <w:t>, I. (1984). Order Out of Chaos: Man's New Dialogue with Nature.</w:t>
      </w:r>
    </w:p>
    <w:p w14:paraId="02E2F96D" w14:textId="77777777" w:rsidR="00025DA1" w:rsidRPr="00BE6CF9" w:rsidRDefault="00025DA1" w:rsidP="00025DA1">
      <w:pPr>
        <w:jc w:val="both"/>
        <w:rPr>
          <w:rFonts w:ascii="Arial" w:hAnsi="Arial" w:cs="Arial"/>
          <w:szCs w:val="24"/>
        </w:rPr>
      </w:pPr>
      <w:r w:rsidRPr="00BE6CF9">
        <w:rPr>
          <w:rFonts w:ascii="Arial" w:hAnsi="Arial" w:cs="Arial"/>
          <w:szCs w:val="24"/>
        </w:rPr>
        <w:t>Tainter, J.A. (1988). The Collapse of Complex Societies.</w:t>
      </w:r>
    </w:p>
    <w:p w14:paraId="58878198" w14:textId="77777777" w:rsidR="00025DA1" w:rsidRPr="00BE6CF9" w:rsidRDefault="00025DA1" w:rsidP="00025DA1">
      <w:pPr>
        <w:jc w:val="both"/>
        <w:rPr>
          <w:rFonts w:ascii="Arial" w:hAnsi="Arial" w:cs="Arial"/>
          <w:szCs w:val="24"/>
        </w:rPr>
      </w:pPr>
      <w:proofErr w:type="spellStart"/>
      <w:r w:rsidRPr="00BE6CF9">
        <w:rPr>
          <w:rFonts w:ascii="Arial" w:hAnsi="Arial" w:cs="Arial"/>
          <w:szCs w:val="24"/>
        </w:rPr>
        <w:t>Rockström</w:t>
      </w:r>
      <w:proofErr w:type="spellEnd"/>
      <w:r w:rsidRPr="00BE6CF9">
        <w:rPr>
          <w:rFonts w:ascii="Arial" w:hAnsi="Arial" w:cs="Arial"/>
          <w:szCs w:val="24"/>
        </w:rPr>
        <w:t>, J. et al. (2009). Planetary Boundaries: Exploring the Safe Operating Space for Humanity. Nature.</w:t>
      </w:r>
    </w:p>
    <w:p w14:paraId="61838A7F" w14:textId="77777777" w:rsidR="00025DA1" w:rsidRPr="00BE6CF9" w:rsidRDefault="00025DA1" w:rsidP="00025DA1">
      <w:pPr>
        <w:jc w:val="both"/>
        <w:rPr>
          <w:rFonts w:ascii="Arial" w:hAnsi="Arial" w:cs="Arial"/>
          <w:szCs w:val="24"/>
          <w:lang w:val="pt-BR"/>
        </w:rPr>
      </w:pPr>
      <w:r w:rsidRPr="00BE6CF9">
        <w:rPr>
          <w:rFonts w:ascii="Arial" w:hAnsi="Arial" w:cs="Arial"/>
          <w:szCs w:val="24"/>
        </w:rPr>
        <w:t xml:space="preserve"> </w:t>
      </w:r>
      <w:proofErr w:type="spellStart"/>
      <w:r w:rsidRPr="00BE6CF9">
        <w:rPr>
          <w:rFonts w:ascii="Arial" w:hAnsi="Arial" w:cs="Arial"/>
          <w:szCs w:val="24"/>
        </w:rPr>
        <w:t>Motesharrei</w:t>
      </w:r>
      <w:proofErr w:type="spellEnd"/>
      <w:r w:rsidRPr="00BE6CF9">
        <w:rPr>
          <w:rFonts w:ascii="Arial" w:hAnsi="Arial" w:cs="Arial"/>
          <w:szCs w:val="24"/>
        </w:rPr>
        <w:t xml:space="preserve">, S., Rivas, J., &amp; </w:t>
      </w:r>
      <w:proofErr w:type="spellStart"/>
      <w:r w:rsidRPr="00BE6CF9">
        <w:rPr>
          <w:rFonts w:ascii="Arial" w:hAnsi="Arial" w:cs="Arial"/>
          <w:szCs w:val="24"/>
        </w:rPr>
        <w:t>Kalnay</w:t>
      </w:r>
      <w:proofErr w:type="spellEnd"/>
      <w:r w:rsidRPr="00BE6CF9">
        <w:rPr>
          <w:rFonts w:ascii="Arial" w:hAnsi="Arial" w:cs="Arial"/>
          <w:szCs w:val="24"/>
        </w:rPr>
        <w:t xml:space="preserve">, E. (2014). Human and Nature Dynamics (HANDY): Modeling Inequality and Use of Resources in the Collapse or Sustainability of Societies. </w:t>
      </w:r>
      <w:proofErr w:type="spellStart"/>
      <w:r w:rsidRPr="00BE6CF9">
        <w:rPr>
          <w:rFonts w:ascii="Arial" w:hAnsi="Arial" w:cs="Arial"/>
          <w:szCs w:val="24"/>
          <w:lang w:val="pt-BR"/>
        </w:rPr>
        <w:t>Ecological</w:t>
      </w:r>
      <w:proofErr w:type="spellEnd"/>
      <w:r w:rsidRPr="00BE6CF9">
        <w:rPr>
          <w:rFonts w:ascii="Arial" w:hAnsi="Arial" w:cs="Arial"/>
          <w:szCs w:val="24"/>
          <w:lang w:val="pt-BR"/>
        </w:rPr>
        <w:t xml:space="preserve"> </w:t>
      </w:r>
      <w:proofErr w:type="spellStart"/>
      <w:r w:rsidRPr="00BE6CF9">
        <w:rPr>
          <w:rFonts w:ascii="Arial" w:hAnsi="Arial" w:cs="Arial"/>
          <w:szCs w:val="24"/>
          <w:lang w:val="pt-BR"/>
        </w:rPr>
        <w:t>Economics</w:t>
      </w:r>
      <w:proofErr w:type="spellEnd"/>
      <w:r w:rsidRPr="00BE6CF9">
        <w:rPr>
          <w:rFonts w:ascii="Arial" w:hAnsi="Arial" w:cs="Arial"/>
          <w:szCs w:val="24"/>
          <w:lang w:val="pt-BR"/>
        </w:rPr>
        <w:t>.</w:t>
      </w:r>
    </w:p>
    <w:p w14:paraId="0E6518A9" w14:textId="77777777" w:rsidR="00025DA1" w:rsidRPr="00BE6CF9" w:rsidRDefault="00025DA1" w:rsidP="00025DA1">
      <w:pPr>
        <w:rPr>
          <w:rFonts w:ascii="Arial" w:hAnsi="Arial" w:cs="Arial"/>
          <w:szCs w:val="24"/>
          <w:lang w:val="pt-BR"/>
        </w:rPr>
      </w:pPr>
      <w:r w:rsidRPr="00BE6CF9">
        <w:rPr>
          <w:rFonts w:ascii="Arial" w:hAnsi="Arial" w:cs="Arial"/>
          <w:szCs w:val="24"/>
          <w:lang w:val="pt-BR"/>
        </w:rPr>
        <w:t xml:space="preserve">CNN Portugal. Energia geotérmica profunda: tecnologia de nova geração pode fornecer energia limpa 24 horas por dia. Lisboa, 2024. Disponível em: </w:t>
      </w:r>
      <w:hyperlink r:id="rId14" w:history="1">
        <w:r w:rsidRPr="00BE6CF9">
          <w:rPr>
            <w:rStyle w:val="Hyperlink"/>
            <w:rFonts w:ascii="Arial" w:hAnsi="Arial" w:cs="Arial"/>
            <w:color w:val="auto"/>
            <w:szCs w:val="24"/>
            <w:lang w:val="pt-BR"/>
          </w:rPr>
          <w:t>https://cnnportugal.iol.pt</w:t>
        </w:r>
      </w:hyperlink>
      <w:r w:rsidRPr="00BE6CF9">
        <w:rPr>
          <w:rFonts w:ascii="Arial" w:hAnsi="Arial" w:cs="Arial"/>
          <w:szCs w:val="24"/>
          <w:lang w:val="pt-BR"/>
        </w:rPr>
        <w:t>.</w:t>
      </w:r>
    </w:p>
    <w:p w14:paraId="576FBBCC" w14:textId="77777777" w:rsidR="00025DA1" w:rsidRPr="00BE6CF9" w:rsidRDefault="00025DA1" w:rsidP="00025DA1">
      <w:pPr>
        <w:rPr>
          <w:rFonts w:ascii="Arial" w:hAnsi="Arial" w:cs="Arial"/>
          <w:szCs w:val="24"/>
          <w:lang w:val="pt-BR"/>
        </w:rPr>
      </w:pPr>
      <w:r w:rsidRPr="00BE6CF9">
        <w:rPr>
          <w:rFonts w:ascii="Arial" w:hAnsi="Arial" w:cs="Arial"/>
          <w:szCs w:val="24"/>
          <w:lang w:val="pt-BR"/>
        </w:rPr>
        <w:t xml:space="preserve">FERVO ENERGY. Cape </w:t>
      </w:r>
      <w:proofErr w:type="spellStart"/>
      <w:r w:rsidRPr="00BE6CF9">
        <w:rPr>
          <w:rFonts w:ascii="Arial" w:hAnsi="Arial" w:cs="Arial"/>
          <w:szCs w:val="24"/>
          <w:lang w:val="pt-BR"/>
        </w:rPr>
        <w:t>Station</w:t>
      </w:r>
      <w:proofErr w:type="spellEnd"/>
      <w:r w:rsidRPr="00BE6CF9">
        <w:rPr>
          <w:rFonts w:ascii="Arial" w:hAnsi="Arial" w:cs="Arial"/>
          <w:szCs w:val="24"/>
          <w:lang w:val="pt-BR"/>
        </w:rPr>
        <w:t xml:space="preserve"> Project. Houston, 2024. Disponível em: </w:t>
      </w:r>
      <w:hyperlink r:id="rId15" w:history="1">
        <w:r w:rsidRPr="00BE6CF9">
          <w:rPr>
            <w:rStyle w:val="Hyperlink"/>
            <w:rFonts w:ascii="Arial" w:hAnsi="Arial" w:cs="Arial"/>
            <w:color w:val="auto"/>
            <w:szCs w:val="24"/>
            <w:lang w:val="pt-BR"/>
          </w:rPr>
          <w:t>https://www.fervoenergy.com</w:t>
        </w:r>
      </w:hyperlink>
      <w:r w:rsidRPr="00BE6CF9">
        <w:rPr>
          <w:rFonts w:ascii="Arial" w:hAnsi="Arial" w:cs="Arial"/>
          <w:szCs w:val="24"/>
          <w:lang w:val="pt-BR"/>
        </w:rPr>
        <w:t>.</w:t>
      </w:r>
    </w:p>
    <w:p w14:paraId="748467FC" w14:textId="77777777" w:rsidR="00025DA1" w:rsidRPr="00BE6CF9" w:rsidRDefault="00025DA1" w:rsidP="00025DA1">
      <w:pPr>
        <w:rPr>
          <w:rFonts w:ascii="Arial" w:hAnsi="Arial" w:cs="Arial"/>
          <w:szCs w:val="24"/>
          <w:lang w:val="pt-BR"/>
        </w:rPr>
      </w:pPr>
      <w:r w:rsidRPr="00BE6CF9">
        <w:rPr>
          <w:rFonts w:ascii="Arial" w:hAnsi="Arial" w:cs="Arial"/>
          <w:szCs w:val="24"/>
        </w:rPr>
        <w:t xml:space="preserve">UTAH FORGE. Enhanced Geothermal Systems Overview. </w:t>
      </w:r>
      <w:r w:rsidRPr="00BE6CF9">
        <w:rPr>
          <w:rFonts w:ascii="Arial" w:hAnsi="Arial" w:cs="Arial"/>
          <w:szCs w:val="24"/>
          <w:lang w:val="pt-BR"/>
        </w:rPr>
        <w:t xml:space="preserve">Utah, 2024. Disponível em: </w:t>
      </w:r>
      <w:hyperlink r:id="rId16" w:history="1">
        <w:r w:rsidRPr="00BE6CF9">
          <w:rPr>
            <w:rStyle w:val="Hyperlink"/>
            <w:rFonts w:ascii="Arial" w:hAnsi="Arial" w:cs="Arial"/>
            <w:color w:val="auto"/>
            <w:szCs w:val="24"/>
            <w:lang w:val="pt-BR"/>
          </w:rPr>
          <w:t>https://utahforge.com</w:t>
        </w:r>
      </w:hyperlink>
      <w:r w:rsidRPr="00BE6CF9">
        <w:rPr>
          <w:rFonts w:ascii="Arial" w:hAnsi="Arial" w:cs="Arial"/>
          <w:szCs w:val="24"/>
          <w:lang w:val="pt-BR"/>
        </w:rPr>
        <w:t>.</w:t>
      </w:r>
    </w:p>
    <w:p w14:paraId="16961773" w14:textId="77777777" w:rsidR="00025DA1" w:rsidRPr="00BE6CF9" w:rsidRDefault="00025DA1" w:rsidP="00025DA1">
      <w:pPr>
        <w:rPr>
          <w:rFonts w:ascii="Arial" w:hAnsi="Arial" w:cs="Arial"/>
          <w:szCs w:val="24"/>
          <w:lang w:val="pt-BR"/>
        </w:rPr>
      </w:pPr>
      <w:r w:rsidRPr="00BE6CF9">
        <w:rPr>
          <w:rFonts w:ascii="Arial" w:hAnsi="Arial" w:cs="Arial"/>
          <w:szCs w:val="24"/>
        </w:rPr>
        <w:t xml:space="preserve">THE GUARDIAN. Google backs geothermal project in Utah. </w:t>
      </w:r>
      <w:r w:rsidRPr="00BE6CF9">
        <w:rPr>
          <w:rFonts w:ascii="Arial" w:hAnsi="Arial" w:cs="Arial"/>
          <w:szCs w:val="24"/>
          <w:lang w:val="pt-BR"/>
        </w:rPr>
        <w:t xml:space="preserve">Londres, 2024. Disponível em: </w:t>
      </w:r>
      <w:hyperlink r:id="rId17" w:history="1">
        <w:r w:rsidRPr="00BE6CF9">
          <w:rPr>
            <w:rStyle w:val="Hyperlink"/>
            <w:rFonts w:ascii="Arial" w:hAnsi="Arial" w:cs="Arial"/>
            <w:color w:val="auto"/>
            <w:szCs w:val="24"/>
            <w:lang w:val="pt-BR"/>
          </w:rPr>
          <w:t>https://www.theguardian.com</w:t>
        </w:r>
      </w:hyperlink>
      <w:r w:rsidRPr="00BE6CF9">
        <w:rPr>
          <w:rFonts w:ascii="Arial" w:hAnsi="Arial" w:cs="Arial"/>
          <w:szCs w:val="24"/>
          <w:lang w:val="pt-BR"/>
        </w:rPr>
        <w:t>.</w:t>
      </w:r>
    </w:p>
    <w:p w14:paraId="170E55A5" w14:textId="77777777" w:rsidR="00025DA1" w:rsidRPr="00BE6CF9" w:rsidRDefault="00025DA1" w:rsidP="00025DA1">
      <w:pPr>
        <w:rPr>
          <w:rFonts w:ascii="Arial" w:hAnsi="Arial" w:cs="Arial"/>
          <w:szCs w:val="24"/>
          <w:lang w:val="pt-BR"/>
        </w:rPr>
      </w:pPr>
    </w:p>
    <w:p w14:paraId="1BF85DA1" w14:textId="77777777" w:rsidR="00025DA1" w:rsidRPr="00BE6CF9" w:rsidRDefault="00025DA1" w:rsidP="00025DA1">
      <w:pPr>
        <w:rPr>
          <w:rFonts w:ascii="Arial" w:hAnsi="Arial" w:cs="Arial"/>
          <w:szCs w:val="24"/>
          <w:lang w:val="pt-BR"/>
        </w:rPr>
      </w:pPr>
      <w:r w:rsidRPr="00BE6CF9">
        <w:rPr>
          <w:rFonts w:ascii="Arial" w:hAnsi="Arial" w:cs="Arial"/>
          <w:szCs w:val="24"/>
          <w:lang w:val="pt-BR"/>
        </w:rPr>
        <w:t>Extração e Aproveitamento de Hidrogênio do Núcleo Terrestre</w:t>
      </w:r>
    </w:p>
    <w:p w14:paraId="222CB64B" w14:textId="77777777" w:rsidR="00025DA1" w:rsidRPr="00BE6CF9" w:rsidRDefault="00025DA1" w:rsidP="00025DA1">
      <w:pPr>
        <w:rPr>
          <w:rFonts w:ascii="Arial" w:hAnsi="Arial" w:cs="Arial"/>
          <w:szCs w:val="24"/>
        </w:rPr>
      </w:pPr>
      <w:r w:rsidRPr="00BE6CF9">
        <w:rPr>
          <w:rFonts w:ascii="Arial" w:hAnsi="Arial" w:cs="Arial"/>
          <w:szCs w:val="24"/>
        </w:rPr>
        <w:t>IKOMA, Masahiro et al. Hydrogen in the Earth’s core: a geophysical perspective. Earth and Planetary Science Letters, v. 574, p. 117176, 2021.</w:t>
      </w:r>
    </w:p>
    <w:p w14:paraId="285A15B1" w14:textId="77777777" w:rsidR="00025DA1" w:rsidRPr="00BE6CF9" w:rsidRDefault="00025DA1" w:rsidP="00025DA1">
      <w:pPr>
        <w:rPr>
          <w:rFonts w:ascii="Arial" w:hAnsi="Arial" w:cs="Arial"/>
          <w:szCs w:val="24"/>
        </w:rPr>
      </w:pPr>
      <w:r w:rsidRPr="00025DA1">
        <w:rPr>
          <w:rFonts w:ascii="Arial" w:hAnsi="Arial" w:cs="Arial"/>
          <w:szCs w:val="24"/>
          <w:lang w:val="fr-FR"/>
        </w:rPr>
        <w:lastRenderedPageBreak/>
        <w:t xml:space="preserve">MAO, Ho-Kwang et al. </w:t>
      </w:r>
      <w:r w:rsidRPr="00BE6CF9">
        <w:rPr>
          <w:rFonts w:ascii="Arial" w:hAnsi="Arial" w:cs="Arial"/>
          <w:szCs w:val="24"/>
        </w:rPr>
        <w:t>Hydrogen-bearing iron in the Earth’s core. Proceedings of the National Academy of Sciences, v. 108, n. 47, p. 18845–18848, 2011.</w:t>
      </w:r>
    </w:p>
    <w:p w14:paraId="22FEF4DB" w14:textId="77777777" w:rsidR="00025DA1" w:rsidRPr="00BE6CF9" w:rsidRDefault="00025DA1" w:rsidP="00025DA1">
      <w:pPr>
        <w:rPr>
          <w:rFonts w:ascii="Arial" w:hAnsi="Arial" w:cs="Arial"/>
          <w:szCs w:val="24"/>
        </w:rPr>
      </w:pPr>
    </w:p>
    <w:p w14:paraId="2A0428F6" w14:textId="77777777" w:rsidR="00025DA1" w:rsidRPr="00BE6CF9" w:rsidRDefault="00025DA1" w:rsidP="00025DA1">
      <w:pPr>
        <w:rPr>
          <w:rFonts w:ascii="Arial" w:hAnsi="Arial" w:cs="Arial"/>
          <w:szCs w:val="24"/>
          <w:lang w:val="pt-BR"/>
        </w:rPr>
      </w:pPr>
      <w:r w:rsidRPr="00BE6CF9">
        <w:rPr>
          <w:rFonts w:ascii="Arial" w:hAnsi="Arial" w:cs="Arial"/>
          <w:szCs w:val="24"/>
          <w:lang w:val="pt-BR"/>
        </w:rPr>
        <w:t>Aproveitamento do Hélio-3 para Fusão Nuclear</w:t>
      </w:r>
    </w:p>
    <w:p w14:paraId="7CA43011" w14:textId="77777777" w:rsidR="00025DA1" w:rsidRPr="00BE6CF9" w:rsidRDefault="00025DA1" w:rsidP="00025DA1">
      <w:pPr>
        <w:rPr>
          <w:rFonts w:ascii="Arial" w:hAnsi="Arial" w:cs="Arial"/>
          <w:szCs w:val="24"/>
        </w:rPr>
      </w:pPr>
      <w:r w:rsidRPr="00BE6CF9">
        <w:rPr>
          <w:rFonts w:ascii="Arial" w:hAnsi="Arial" w:cs="Arial"/>
          <w:szCs w:val="24"/>
        </w:rPr>
        <w:t>CULBERTSON, William. Helium-3: lunar mining prospects and fusion potential. Journal of Energy Research, v. 45, n. 2, p. 215–232, 2023.</w:t>
      </w:r>
    </w:p>
    <w:p w14:paraId="41D5000D" w14:textId="77777777" w:rsidR="00025DA1" w:rsidRPr="00BE6CF9" w:rsidRDefault="00025DA1" w:rsidP="00025DA1">
      <w:pPr>
        <w:rPr>
          <w:rFonts w:ascii="Arial" w:hAnsi="Arial" w:cs="Arial"/>
          <w:szCs w:val="24"/>
        </w:rPr>
      </w:pPr>
      <w:r w:rsidRPr="00BE6CF9">
        <w:rPr>
          <w:rFonts w:ascii="Arial" w:hAnsi="Arial" w:cs="Arial"/>
          <w:szCs w:val="24"/>
        </w:rPr>
        <w:t>CARTER, Troy et al. Progress and challenges in Helium-3 fusion. Nuclear Fusion, v. 62, n. 9, p. 092001, 2022.</w:t>
      </w:r>
    </w:p>
    <w:p w14:paraId="236FC093" w14:textId="77777777" w:rsidR="00025DA1" w:rsidRPr="00BE6CF9" w:rsidRDefault="00025DA1" w:rsidP="00025DA1">
      <w:pPr>
        <w:rPr>
          <w:rFonts w:ascii="Arial" w:hAnsi="Arial" w:cs="Arial"/>
          <w:szCs w:val="24"/>
          <w:lang w:val="pt-BR"/>
        </w:rPr>
      </w:pPr>
      <w:r w:rsidRPr="00BE6CF9">
        <w:rPr>
          <w:rFonts w:ascii="Arial" w:hAnsi="Arial" w:cs="Arial"/>
          <w:szCs w:val="24"/>
          <w:lang w:val="pt-BR"/>
        </w:rPr>
        <w:t>BRITO, João P. Sistemas entrópicos e estabilidade energética. Revista Brasileira de Física Aplicada, v. 59, n. 4, p. 312–329, 2024.</w:t>
      </w:r>
    </w:p>
    <w:p w14:paraId="113B96AE" w14:textId="77777777" w:rsidR="00025DA1" w:rsidRPr="00BE6CF9" w:rsidRDefault="00025DA1" w:rsidP="00025DA1">
      <w:pPr>
        <w:rPr>
          <w:rFonts w:ascii="Arial" w:hAnsi="Arial" w:cs="Arial"/>
          <w:szCs w:val="24"/>
          <w:lang w:val="pt-BR"/>
        </w:rPr>
      </w:pPr>
      <w:r w:rsidRPr="00BE6CF9">
        <w:rPr>
          <w:rFonts w:ascii="Arial" w:hAnsi="Arial" w:cs="Arial"/>
          <w:szCs w:val="24"/>
        </w:rPr>
        <w:t xml:space="preserve">FERVO ENERGY. Cape Station Project. </w:t>
      </w:r>
      <w:r w:rsidRPr="00BE6CF9">
        <w:rPr>
          <w:rFonts w:ascii="Arial" w:hAnsi="Arial" w:cs="Arial"/>
          <w:szCs w:val="24"/>
          <w:lang w:val="pt-BR"/>
        </w:rPr>
        <w:t xml:space="preserve">Houston, 2024. Disponível em: </w:t>
      </w:r>
      <w:hyperlink r:id="rId18" w:history="1">
        <w:r w:rsidRPr="00BE6CF9">
          <w:rPr>
            <w:rStyle w:val="Hyperlink"/>
            <w:rFonts w:ascii="Arial" w:hAnsi="Arial" w:cs="Arial"/>
            <w:color w:val="auto"/>
            <w:szCs w:val="24"/>
            <w:lang w:val="pt-BR"/>
          </w:rPr>
          <w:t>https://www.fervoenergy.com</w:t>
        </w:r>
      </w:hyperlink>
      <w:r w:rsidRPr="00BE6CF9">
        <w:rPr>
          <w:rFonts w:ascii="Arial" w:hAnsi="Arial" w:cs="Arial"/>
          <w:szCs w:val="24"/>
          <w:lang w:val="pt-BR"/>
        </w:rPr>
        <w:t>.</w:t>
      </w:r>
    </w:p>
    <w:p w14:paraId="36104B6E" w14:textId="77777777" w:rsidR="00025DA1" w:rsidRPr="00BE6CF9" w:rsidRDefault="00025DA1" w:rsidP="00025DA1">
      <w:pPr>
        <w:rPr>
          <w:rFonts w:ascii="Arial" w:hAnsi="Arial" w:cs="Arial"/>
          <w:szCs w:val="24"/>
        </w:rPr>
      </w:pPr>
      <w:r w:rsidRPr="00BE6CF9">
        <w:rPr>
          <w:rFonts w:ascii="Arial" w:hAnsi="Arial" w:cs="Arial"/>
          <w:szCs w:val="24"/>
          <w:lang w:val="fr-FR"/>
        </w:rPr>
        <w:t xml:space="preserve">Watts, E. J., et al. </w:t>
      </w:r>
      <w:r w:rsidRPr="00BE6CF9">
        <w:rPr>
          <w:rFonts w:ascii="Arial" w:hAnsi="Arial" w:cs="Arial"/>
          <w:szCs w:val="24"/>
        </w:rPr>
        <w:t>(2025). Mantle upwelling at the Afar triple junction shaped by overriding plate dynamics. Nature Geoscience, 18:661–669.</w:t>
      </w:r>
    </w:p>
    <w:p w14:paraId="2A2A99F9" w14:textId="77777777" w:rsidR="00025DA1" w:rsidRPr="00BE6CF9" w:rsidRDefault="00025DA1" w:rsidP="00025DA1">
      <w:pPr>
        <w:rPr>
          <w:rFonts w:ascii="Arial" w:hAnsi="Arial" w:cs="Arial"/>
          <w:szCs w:val="24"/>
          <w:lang w:val="pt-BR"/>
        </w:rPr>
      </w:pPr>
      <w:r w:rsidRPr="00BE6CF9">
        <w:rPr>
          <w:rFonts w:ascii="Arial" w:hAnsi="Arial" w:cs="Arial"/>
          <w:szCs w:val="24"/>
        </w:rPr>
        <w:t xml:space="preserve">Tortelli, G., et al. (2025). Volcanism records plate thinning driven rift localization in Afar. </w:t>
      </w:r>
      <w:proofErr w:type="spellStart"/>
      <w:r w:rsidRPr="00BE6CF9">
        <w:rPr>
          <w:rFonts w:ascii="Arial" w:hAnsi="Arial" w:cs="Arial"/>
          <w:szCs w:val="24"/>
          <w:lang w:val="pt-BR"/>
        </w:rPr>
        <w:t>Preprint</w:t>
      </w:r>
      <w:proofErr w:type="spellEnd"/>
      <w:r w:rsidRPr="00BE6CF9">
        <w:rPr>
          <w:rFonts w:ascii="Arial" w:hAnsi="Arial" w:cs="Arial"/>
          <w:szCs w:val="24"/>
          <w:lang w:val="pt-BR"/>
        </w:rPr>
        <w:t>/Divulgação científica complementar.</w:t>
      </w:r>
    </w:p>
    <w:p w14:paraId="3F61A539" w14:textId="77777777" w:rsidR="00025DA1" w:rsidRPr="003D79A0" w:rsidRDefault="00025DA1" w:rsidP="00025DA1">
      <w:pPr>
        <w:jc w:val="both"/>
        <w:rPr>
          <w:rFonts w:ascii="Arial" w:hAnsi="Arial" w:cs="Arial"/>
          <w:szCs w:val="24"/>
          <w:lang w:val="pt-BR"/>
        </w:rPr>
      </w:pPr>
      <w:r w:rsidRPr="00BE6CF9">
        <w:rPr>
          <w:rFonts w:ascii="Arial" w:hAnsi="Arial" w:cs="Arial"/>
          <w:szCs w:val="24"/>
          <w:lang w:val="pt-BR"/>
        </w:rPr>
        <w:t xml:space="preserve">Comunicados institucionais (Universidade de Southampton, </w:t>
      </w:r>
      <w:proofErr w:type="spellStart"/>
      <w:r w:rsidRPr="00BE6CF9">
        <w:rPr>
          <w:rFonts w:ascii="Arial" w:hAnsi="Arial" w:cs="Arial"/>
          <w:szCs w:val="24"/>
          <w:lang w:val="pt-BR"/>
        </w:rPr>
        <w:t>EurekAlert</w:t>
      </w:r>
      <w:proofErr w:type="spellEnd"/>
      <w:r w:rsidRPr="00BE6CF9">
        <w:rPr>
          <w:rFonts w:ascii="Arial" w:hAnsi="Arial" w:cs="Arial"/>
          <w:szCs w:val="24"/>
          <w:lang w:val="pt-BR"/>
        </w:rPr>
        <w:t xml:space="preserve">) — apoio de </w:t>
      </w:r>
      <w:r w:rsidRPr="003D79A0">
        <w:rPr>
          <w:rFonts w:ascii="Arial" w:hAnsi="Arial" w:cs="Arial"/>
          <w:szCs w:val="24"/>
          <w:lang w:val="pt-BR"/>
        </w:rPr>
        <w:t>divulgação.</w:t>
      </w:r>
    </w:p>
    <w:p w14:paraId="200C454A" w14:textId="77777777" w:rsidR="00025DA1" w:rsidRPr="003D79A0" w:rsidRDefault="00025DA1" w:rsidP="00025DA1">
      <w:pPr>
        <w:jc w:val="both"/>
        <w:rPr>
          <w:rFonts w:ascii="Arial" w:hAnsi="Arial" w:cs="Arial"/>
          <w:szCs w:val="24"/>
        </w:rPr>
      </w:pPr>
      <w:r w:rsidRPr="003D79A0">
        <w:rPr>
          <w:rFonts w:ascii="Arial" w:hAnsi="Arial" w:cs="Arial"/>
          <w:szCs w:val="24"/>
        </w:rPr>
        <w:t>NOAA Global Monitoring Laboratory — Trends in globally-averaged CO</w:t>
      </w:r>
      <w:r w:rsidRPr="003D79A0">
        <w:rPr>
          <w:rFonts w:ascii="Cambria Math" w:hAnsi="Cambria Math" w:cs="Cambria Math"/>
          <w:szCs w:val="24"/>
        </w:rPr>
        <w:t>₂</w:t>
      </w:r>
      <w:r w:rsidRPr="003D79A0">
        <w:rPr>
          <w:rFonts w:ascii="Arial" w:hAnsi="Arial" w:cs="Arial"/>
          <w:szCs w:val="24"/>
        </w:rPr>
        <w:t>: https://gml.noaa.gov/ccgg/trends/global.html</w:t>
      </w:r>
    </w:p>
    <w:p w14:paraId="11CAE999" w14:textId="77777777" w:rsidR="00025DA1" w:rsidRPr="003D79A0" w:rsidRDefault="00025DA1" w:rsidP="00025DA1">
      <w:pPr>
        <w:jc w:val="both"/>
        <w:rPr>
          <w:rFonts w:ascii="Arial" w:hAnsi="Arial" w:cs="Arial"/>
          <w:szCs w:val="24"/>
        </w:rPr>
      </w:pPr>
      <w:r w:rsidRPr="003D79A0">
        <w:rPr>
          <w:rFonts w:ascii="Arial" w:hAnsi="Arial" w:cs="Arial"/>
          <w:szCs w:val="24"/>
        </w:rPr>
        <w:t>United Nations Population Division — World Population Prospects 2024: https://population.un.org/wpp/</w:t>
      </w:r>
    </w:p>
    <w:p w14:paraId="30705186" w14:textId="77777777" w:rsidR="00025DA1" w:rsidRPr="003D79A0" w:rsidRDefault="00025DA1" w:rsidP="00025DA1">
      <w:pPr>
        <w:jc w:val="both"/>
        <w:rPr>
          <w:rFonts w:ascii="Arial" w:hAnsi="Arial" w:cs="Arial"/>
          <w:szCs w:val="24"/>
        </w:rPr>
      </w:pPr>
      <w:r w:rsidRPr="003D79A0">
        <w:rPr>
          <w:rFonts w:ascii="Arial" w:hAnsi="Arial" w:cs="Arial"/>
          <w:szCs w:val="24"/>
        </w:rPr>
        <w:t>International Energy Agency — Global Critical Minerals Outlook 2025: https://www.iea.org/reports/global-critical-minerals-outlook-2025</w:t>
      </w:r>
    </w:p>
    <w:p w14:paraId="5FF44B55" w14:textId="77777777" w:rsidR="00025DA1" w:rsidRPr="003D79A0" w:rsidRDefault="00025DA1" w:rsidP="00025DA1">
      <w:pPr>
        <w:jc w:val="both"/>
        <w:rPr>
          <w:rFonts w:ascii="Arial" w:hAnsi="Arial" w:cs="Arial"/>
          <w:szCs w:val="24"/>
        </w:rPr>
      </w:pPr>
      <w:r w:rsidRPr="003D79A0">
        <w:rPr>
          <w:rFonts w:ascii="Arial" w:hAnsi="Arial" w:cs="Arial"/>
          <w:szCs w:val="24"/>
        </w:rPr>
        <w:t>Richardson et al. — Earth beyond six of nine planetary boundaries: https://www.science.org/doi/10.1126/sciadv.adh2458</w:t>
      </w:r>
    </w:p>
    <w:p w14:paraId="39FAEAEC" w14:textId="77777777" w:rsidR="00025DA1" w:rsidRPr="003D79A0" w:rsidRDefault="00025DA1" w:rsidP="00025DA1">
      <w:pPr>
        <w:jc w:val="both"/>
        <w:rPr>
          <w:rFonts w:ascii="Arial" w:hAnsi="Arial" w:cs="Arial"/>
          <w:szCs w:val="24"/>
        </w:rPr>
      </w:pPr>
      <w:r w:rsidRPr="003D79A0">
        <w:rPr>
          <w:rFonts w:ascii="Arial" w:hAnsi="Arial" w:cs="Arial"/>
          <w:szCs w:val="24"/>
        </w:rPr>
        <w:lastRenderedPageBreak/>
        <w:t>World Meteorological Organization — State of the Global Climate 2024: https://wmo.int/publication-series/state-of-global-climate-2024</w:t>
      </w:r>
    </w:p>
    <w:p w14:paraId="6A1340EA" w14:textId="77777777" w:rsidR="00025DA1" w:rsidRPr="003D79A0" w:rsidRDefault="00025DA1" w:rsidP="00025DA1">
      <w:pPr>
        <w:jc w:val="both"/>
        <w:rPr>
          <w:rFonts w:ascii="Arial" w:hAnsi="Arial" w:cs="Arial"/>
          <w:szCs w:val="24"/>
        </w:rPr>
      </w:pPr>
      <w:r w:rsidRPr="003D79A0">
        <w:rPr>
          <w:rFonts w:ascii="Arial" w:hAnsi="Arial" w:cs="Arial"/>
          <w:szCs w:val="24"/>
        </w:rPr>
        <w:t>World Bank — Water Resources Management: https://www.worldbank.org/en/topic/waterresourcesmanagement</w:t>
      </w:r>
    </w:p>
    <w:p w14:paraId="7FAE4166" w14:textId="77777777" w:rsidR="00025DA1" w:rsidRPr="003D79A0" w:rsidRDefault="00025DA1" w:rsidP="00025DA1">
      <w:pPr>
        <w:jc w:val="both"/>
        <w:rPr>
          <w:rFonts w:ascii="Arial" w:hAnsi="Arial" w:cs="Arial"/>
          <w:szCs w:val="24"/>
        </w:rPr>
      </w:pPr>
      <w:r w:rsidRPr="003D79A0">
        <w:rPr>
          <w:rFonts w:ascii="Arial" w:hAnsi="Arial" w:cs="Arial"/>
          <w:szCs w:val="24"/>
        </w:rPr>
        <w:t>IPCC — AR6 Synthesis Report: https://www.ipcc.ch/report/ar6/syr/</w:t>
      </w:r>
    </w:p>
    <w:p w14:paraId="7496E953" w14:textId="1AA35145" w:rsidR="006D7EED" w:rsidRPr="00025DA1" w:rsidRDefault="006D7EED" w:rsidP="00025DA1">
      <w:pPr>
        <w:ind w:firstLine="0"/>
        <w:jc w:val="both"/>
        <w:rPr>
          <w:b/>
          <w:bCs/>
        </w:rPr>
      </w:pPr>
    </w:p>
    <w:sectPr w:rsidR="006D7EED" w:rsidRPr="00025DA1" w:rsidSect="00034616">
      <w:headerReference w:type="even" r:id="rId19"/>
      <w:headerReference w:type="default" r:id="rId20"/>
      <w:footerReference w:type="even" r:id="rId21"/>
      <w:footerReference w:type="default" r:id="rId22"/>
      <w:headerReference w:type="first" r:id="rId23"/>
      <w:footerReference w:type="first" r:id="rId24"/>
      <w:pgSz w:w="12240" w:h="15840"/>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00402" w14:textId="77777777" w:rsidR="00E778F2" w:rsidRDefault="00E778F2" w:rsidP="00336D4D">
      <w:pPr>
        <w:spacing w:after="0" w:line="240" w:lineRule="auto"/>
      </w:pPr>
      <w:r>
        <w:separator/>
      </w:r>
    </w:p>
  </w:endnote>
  <w:endnote w:type="continuationSeparator" w:id="0">
    <w:p w14:paraId="00012841" w14:textId="77777777" w:rsidR="00E778F2" w:rsidRDefault="00E778F2" w:rsidP="00336D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D4033" w14:textId="77777777" w:rsidR="00336D4D" w:rsidRDefault="00336D4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1FD8B" w14:textId="005C7C93" w:rsidR="00336D4D" w:rsidRPr="00336D4D" w:rsidRDefault="00336D4D" w:rsidP="00336D4D">
    <w:pPr>
      <w:pStyle w:val="Rodap"/>
      <w:tabs>
        <w:tab w:val="left" w:pos="5130"/>
      </w:tabs>
      <w:jc w:val="both"/>
      <w:rPr>
        <w:lang w:val="fr-FR"/>
      </w:rPr>
    </w:pPr>
    <w:r>
      <w:rPr>
        <w:noProof/>
        <w:color w:val="808080" w:themeColor="background1" w:themeShade="80"/>
      </w:rPr>
      <mc:AlternateContent>
        <mc:Choice Requires="wps">
          <w:drawing>
            <wp:anchor distT="0" distB="0" distL="182880" distR="182880" simplePos="0" relativeHeight="251660288" behindDoc="0" locked="0" layoutInCell="1" allowOverlap="1" wp14:anchorId="013897F1" wp14:editId="0E7FBFE9">
              <wp:simplePos x="0" y="0"/>
              <wp:positionH relativeFrom="rightMargin">
                <wp:align>left</wp:align>
              </wp:positionH>
              <mc:AlternateContent>
                <mc:Choice Requires="wp14">
                  <wp:positionV relativeFrom="page">
                    <wp14:pctPosVOffset>91000</wp14:pctPosVOffset>
                  </wp:positionV>
                </mc:Choice>
                <mc:Fallback>
                  <wp:positionV relativeFrom="page">
                    <wp:posOffset>9152890</wp:posOffset>
                  </wp:positionV>
                </mc:Fallback>
              </mc:AlternateContent>
              <wp:extent cx="457200" cy="320634"/>
              <wp:effectExtent l="0" t="0" r="0" b="3810"/>
              <wp:wrapNone/>
              <wp:docPr id="41" name="Retângulo 41"/>
              <wp:cNvGraphicFramePr/>
              <a:graphic xmlns:a="http://schemas.openxmlformats.org/drawingml/2006/main">
                <a:graphicData uri="http://schemas.microsoft.com/office/word/2010/wordprocessingShape">
                  <wps:wsp>
                    <wps:cNvSpPr/>
                    <wps:spPr>
                      <a:xfrm>
                        <a:off x="0" y="0"/>
                        <a:ext cx="457200" cy="320634"/>
                      </a:xfrm>
                      <a:prstGeom prst="rect">
                        <a:avLst/>
                      </a:prstGeom>
                      <a:solidFill>
                        <a:srgbClr val="92D050"/>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D0A8F74" w14:textId="77777777" w:rsidR="00336D4D" w:rsidRDefault="00336D4D">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pt-BR"/>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013897F1" id="Retângulo 41" o:spid="_x0000_s1026" style="position:absolute;left:0;text-align:left;margin-left:0;margin-top:0;width:36pt;height:25.25pt;z-index:251660288;visibility:visible;mso-wrap-style:square;mso-top-percent:910;mso-wrap-distance-left:14.4pt;mso-wrap-distance-top:0;mso-wrap-distance-right:14.4pt;mso-wrap-distance-bottom:0;mso-position-horizontal:left;mso-position-horizontal-relative:right-margin-area;mso-position-vertical-relative:page;mso-top-percent:910;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" fillcolor="#92d050" stroked="f" strokeweight="3pt">
              <v:textbox>
                <w:txbxContent>
                  <w:p w14:paraId="0D0A8F74" w14:textId="77777777" w:rsidR="00336D4D" w:rsidRDefault="00336D4D">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pt-BR"/>
                      </w:rPr>
                      <w:t>2</w:t>
                    </w:r>
                    <w:r>
                      <w:rPr>
                        <w:color w:val="FFFFFF" w:themeColor="background1"/>
                        <w:sz w:val="28"/>
                        <w:szCs w:val="28"/>
                      </w:rPr>
                      <w:fldChar w:fldCharType="end"/>
                    </w:r>
                  </w:p>
                </w:txbxContent>
              </v:textbox>
              <w10:wrap anchorx="margin" anchory="page"/>
            </v:rect>
          </w:pict>
        </mc:Fallback>
      </mc:AlternateContent>
    </w:r>
    <w:r>
      <w:rPr>
        <w:noProof/>
        <w:color w:val="808080" w:themeColor="background1" w:themeShade="80"/>
      </w:rPr>
      <mc:AlternateContent>
        <mc:Choice Requires="wpg">
          <w:drawing>
            <wp:anchor distT="0" distB="0" distL="182880" distR="182880" simplePos="0" relativeHeight="251659264" behindDoc="1" locked="0" layoutInCell="1" allowOverlap="1" wp14:anchorId="1E12F8BD" wp14:editId="58DD36B6">
              <wp:simplePos x="0" y="0"/>
              <wp:positionH relativeFrom="rightMargin">
                <wp:align>left</wp:align>
              </wp:positionH>
              <mc:AlternateContent>
                <mc:Choice Requires="wp14">
                  <wp:positionV relativeFrom="page">
                    <wp14:pctPosVOffset>9500</wp14:pctPosVOffset>
                  </wp:positionV>
                </mc:Choice>
                <mc:Fallback>
                  <wp:positionV relativeFrom="page">
                    <wp:posOffset>955040</wp:posOffset>
                  </wp:positionV>
                </mc:Fallback>
              </mc:AlternateContent>
              <wp:extent cx="457200" cy="8229600"/>
              <wp:effectExtent l="0" t="0" r="0" b="635"/>
              <wp:wrapNone/>
              <wp:docPr id="42" name="Grupo 42"/>
              <wp:cNvGraphicFramePr/>
              <a:graphic xmlns:a="http://schemas.openxmlformats.org/drawingml/2006/main">
                <a:graphicData uri="http://schemas.microsoft.com/office/word/2010/wordprocessingGroup">
                  <wpg:wgp>
                    <wpg:cNvGrpSpPr/>
                    <wpg:grpSpPr>
                      <a:xfrm>
                        <a:off x="0" y="0"/>
                        <a:ext cx="457200" cy="8229600"/>
                        <a:chOff x="0" y="0"/>
                        <a:chExt cx="457200" cy="8229600"/>
                      </a:xfrm>
                    </wpg:grpSpPr>
                    <wps:wsp>
                      <wps:cNvPr id="43" name="Retângulo 43"/>
                      <wps:cNvSpPr/>
                      <wps:spPr>
                        <a:xfrm>
                          <a:off x="439387" y="0"/>
                          <a:ext cx="17813" cy="82296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Caixa de Texto 44"/>
                      <wps:cNvSpPr txBox="1"/>
                      <wps:spPr>
                        <a:xfrm>
                          <a:off x="0" y="0"/>
                          <a:ext cx="457200" cy="8229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a"/>
                              <w:tag w:val=""/>
                              <w:id w:val="932940624"/>
                              <w:showingPlcHdr/>
                              <w:dataBinding w:prefixMappings="xmlns:ns0='http://schemas.microsoft.com/office/2006/coverPageProps' " w:xpath="/ns0:CoverPageProperties[1]/ns0:PublishDate[1]" w:storeItemID="{55AF091B-3C7A-41E3-B477-F2FDAA23CFDA}"/>
                              <w:date>
                                <w:dateFormat w:val="d/M/yyyy"/>
                                <w:lid w:val="pt-BR"/>
                                <w:storeMappedDataAs w:val="dateTime"/>
                                <w:calendar w:val="gregorian"/>
                              </w:date>
                            </w:sdtPr>
                            <w:sdtEndPr/>
                            <w:sdtContent>
                              <w:p w14:paraId="24A8F71C" w14:textId="77777777" w:rsidR="00336D4D" w:rsidRDefault="00336D4D">
                                <w:pPr>
                                  <w:rPr>
                                    <w:color w:val="7F7F7F" w:themeColor="text1" w:themeTint="80"/>
                                  </w:rPr>
                                </w:pPr>
                                <w:r>
                                  <w:rPr>
                                    <w:color w:val="7F7F7F" w:themeColor="text1" w:themeTint="80"/>
                                    <w:lang w:val="pt-BR"/>
                                  </w:rPr>
                                  <w:t>[Data]</w:t>
                                </w:r>
                              </w:p>
                            </w:sdtContent>
                          </w:sdt>
                        </w:txbxContent>
                      </wps:txbx>
                      <wps:bodyPr rot="0" spcFirstLastPara="0" vertOverflow="overflow" horzOverflow="overflow" vert="vert270" wrap="square" lIns="182880" tIns="45720" rIns="91440" bIns="137160" numCol="1" spcCol="0" rtlCol="0" fromWordArt="0" anchor="b" anchorCtr="0" forceAA="0" compatLnSpc="1">
                        <a:prstTxWarp prst="textNoShape">
                          <a:avLst/>
                        </a:prstTxWarp>
                        <a:noAutofit/>
                      </wps:bodyPr>
                    </wps:wsp>
                  </wpg:wgp>
                </a:graphicData>
              </a:graphic>
              <wp14:sizeRelV relativeFrom="page">
                <wp14:pctHeight>82000</wp14:pctHeight>
              </wp14:sizeRelV>
            </wp:anchor>
          </w:drawing>
        </mc:Choice>
        <mc:Fallback>
          <w:pict>
            <v:group w14:anchorId="1E12F8BD" id="Grupo 42" o:spid="_x0000_s1027" style="position:absolute;left:0;text-align:left;margin-left:0;margin-top:0;width:36pt;height:9in;z-index:-251657216;mso-height-percent:820;mso-top-percent:95;mso-wrap-distance-left:14.4pt;mso-wrap-distance-right:14.4pt;mso-position-horizontal:left;mso-position-horizontal-relative:right-margin-area;mso-position-vertical-relative:page;mso-height-percent:820;mso-top-percent:95" coordsize="4572,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">
              <v:rect id="Retângulo 43" o:spid="_x0000_s1028" style="position:absolute;left:4393;width:179;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" fillcolor="black [3213]" stroked="f" strokeweight="2pt"/>
              <v:shapetype id="_x0000_t202" coordsize="21600,21600" o:spt="202" path="m,l,21600r21600,l21600,xe">
                <v:stroke joinstyle="miter"/>
                <v:path gradientshapeok="t" o:connecttype="rect"/>
              </v:shapetype>
              <v:shape id="Caixa de Texto 44" o:spid="_x0000_s1029" type="#_x0000_t202" style="position:absolute;width:4572;height:8229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" filled="f" stroked="f" strokeweight=".5pt">
                <v:textbox style="layout-flow:vertical;mso-layout-flow-alt:bottom-to-top" inset="14.4pt,,,10.8pt">
                  <w:txbxContent>
                    <w:sdt>
                      <w:sdtPr>
                        <w:rPr>
                          <w:color w:val="7F7F7F" w:themeColor="text1" w:themeTint="80"/>
                        </w:rPr>
                        <w:alias w:val="Data"/>
                        <w:tag w:val=""/>
                        <w:id w:val="932940624"/>
                        <w:showingPlcHdr/>
                        <w:dataBinding w:prefixMappings="xmlns:ns0='http://schemas.microsoft.com/office/2006/coverPageProps' " w:xpath="/ns0:CoverPageProperties[1]/ns0:PublishDate[1]" w:storeItemID="{55AF091B-3C7A-41E3-B477-F2FDAA23CFDA}"/>
                        <w:date>
                          <w:dateFormat w:val="d/M/yyyy"/>
                          <w:lid w:val="pt-BR"/>
                          <w:storeMappedDataAs w:val="dateTime"/>
                          <w:calendar w:val="gregorian"/>
                        </w:date>
                      </w:sdtPr>
                      <w:sdtEndPr/>
                      <w:sdtContent>
                        <w:p w14:paraId="24A8F71C" w14:textId="77777777" w:rsidR="00336D4D" w:rsidRDefault="00336D4D">
                          <w:pPr>
                            <w:rPr>
                              <w:color w:val="7F7F7F" w:themeColor="text1" w:themeTint="80"/>
                            </w:rPr>
                          </w:pPr>
                          <w:r>
                            <w:rPr>
                              <w:color w:val="7F7F7F" w:themeColor="text1" w:themeTint="80"/>
                              <w:lang w:val="pt-BR"/>
                            </w:rPr>
                            <w:t>[Data]</w:t>
                          </w:r>
                        </w:p>
                      </w:sdtContent>
                    </w:sdt>
                  </w:txbxContent>
                </v:textbox>
              </v:shape>
              <w10:wrap anchorx="margin" anchory="page"/>
            </v:group>
          </w:pict>
        </mc:Fallback>
      </mc:AlternateContent>
    </w:r>
    <w:proofErr w:type="gramStart"/>
    <w:r w:rsidRPr="00336D4D">
      <w:rPr>
        <w:lang w:val="fr-FR"/>
      </w:rPr>
      <w:t>Aut</w:t>
    </w:r>
    <w:r>
      <w:rPr>
        <w:lang w:val="fr-FR"/>
      </w:rPr>
      <w:t>h</w:t>
    </w:r>
    <w:r w:rsidRPr="00336D4D">
      <w:rPr>
        <w:lang w:val="fr-FR"/>
      </w:rPr>
      <w:t>or:</w:t>
    </w:r>
    <w:proofErr w:type="gramEnd"/>
    <w:r w:rsidRPr="00336D4D">
      <w:rPr>
        <w:lang w:val="fr-FR"/>
      </w:rPr>
      <w:t xml:space="preserve"> Charles de Paula Eu</w:t>
    </w:r>
    <w:r>
      <w:rPr>
        <w:lang w:val="fr-FR"/>
      </w:rPr>
      <w:t>gênio</w:t>
    </w:r>
  </w:p>
  <w:p w14:paraId="27E96749" w14:textId="77777777" w:rsidR="00336D4D" w:rsidRPr="00336D4D" w:rsidRDefault="00336D4D">
    <w:pPr>
      <w:pStyle w:val="Rodap"/>
      <w:rPr>
        <w:lang w:val="fr-F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CC477" w14:textId="77777777" w:rsidR="00336D4D" w:rsidRDefault="00336D4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24C95" w14:textId="77777777" w:rsidR="00E778F2" w:rsidRDefault="00E778F2" w:rsidP="00336D4D">
      <w:pPr>
        <w:spacing w:after="0" w:line="240" w:lineRule="auto"/>
      </w:pPr>
      <w:r>
        <w:separator/>
      </w:r>
    </w:p>
  </w:footnote>
  <w:footnote w:type="continuationSeparator" w:id="0">
    <w:p w14:paraId="163A4405" w14:textId="77777777" w:rsidR="00E778F2" w:rsidRDefault="00E778F2" w:rsidP="00336D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1F5EC" w14:textId="77777777" w:rsidR="00336D4D" w:rsidRDefault="00336D4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5A2FF" w14:textId="77777777" w:rsidR="00336D4D" w:rsidRDefault="00336D4D">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1DC09" w14:textId="77777777" w:rsidR="00336D4D" w:rsidRDefault="00336D4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603881329">
    <w:abstractNumId w:val="8"/>
  </w:num>
  <w:num w:numId="2" w16cid:durableId="44793063">
    <w:abstractNumId w:val="6"/>
  </w:num>
  <w:num w:numId="3" w16cid:durableId="698628410">
    <w:abstractNumId w:val="5"/>
  </w:num>
  <w:num w:numId="4" w16cid:durableId="1322253">
    <w:abstractNumId w:val="4"/>
  </w:num>
  <w:num w:numId="5" w16cid:durableId="903103949">
    <w:abstractNumId w:val="7"/>
  </w:num>
  <w:num w:numId="6" w16cid:durableId="2063207426">
    <w:abstractNumId w:val="3"/>
  </w:num>
  <w:num w:numId="7" w16cid:durableId="446051797">
    <w:abstractNumId w:val="2"/>
  </w:num>
  <w:num w:numId="8" w16cid:durableId="1066992897">
    <w:abstractNumId w:val="1"/>
  </w:num>
  <w:num w:numId="9" w16cid:durableId="2134786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DA1"/>
    <w:rsid w:val="00034616"/>
    <w:rsid w:val="000406FD"/>
    <w:rsid w:val="0006063C"/>
    <w:rsid w:val="0008690A"/>
    <w:rsid w:val="0015074B"/>
    <w:rsid w:val="002556C8"/>
    <w:rsid w:val="0029639D"/>
    <w:rsid w:val="00326F90"/>
    <w:rsid w:val="00336D4D"/>
    <w:rsid w:val="005863AC"/>
    <w:rsid w:val="006D7EED"/>
    <w:rsid w:val="008F5846"/>
    <w:rsid w:val="00AA1D8D"/>
    <w:rsid w:val="00B47730"/>
    <w:rsid w:val="00CB0664"/>
    <w:rsid w:val="00E778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AD8CBD9"/>
  <w14:defaultImageDpi w14:val="300"/>
  <w15:docId w15:val="{FD6E2446-7F37-4990-A806-D8DBECB6A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firstLine="425"/>
    </w:pPr>
    <w:rPr>
      <w:rFonts w:ascii="Times New Roman" w:eastAsia="Times New Roman" w:hAnsi="Times New Roman"/>
      <w:sz w:val="24"/>
    </w:rPr>
  </w:style>
  <w:style w:type="paragraph" w:styleId="Ttulo1">
    <w:name w:val="heading 1"/>
    <w:basedOn w:val="Normal"/>
    <w:next w:val="Normal"/>
    <w:link w:val="Ttulo1Char"/>
    <w:uiPriority w:val="9"/>
    <w:qFormat/>
    <w:rsid w:val="00FC693F"/>
    <w:pPr>
      <w:keepNext/>
      <w:keepLines/>
      <w:spacing w:before="240"/>
      <w:outlineLvl w:val="0"/>
    </w:pPr>
    <w:rPr>
      <w:rFonts w:asciiTheme="majorHAnsi" w:eastAsiaTheme="majorEastAsia" w:hAnsiTheme="majorHAnsi" w:cstheme="majorBidi"/>
      <w:b/>
      <w:bCs/>
      <w:color w:val="000000"/>
      <w:sz w:val="28"/>
      <w:szCs w:val="28"/>
    </w:rPr>
  </w:style>
  <w:style w:type="paragraph" w:styleId="Ttulo2">
    <w:name w:val="heading 2"/>
    <w:basedOn w:val="Normal"/>
    <w:next w:val="Normal"/>
    <w:link w:val="Ttulo2Char"/>
    <w:uiPriority w:val="9"/>
    <w:unhideWhenUsed/>
    <w:qFormat/>
    <w:rsid w:val="00FC693F"/>
    <w:pPr>
      <w:keepNext/>
      <w:keepLines/>
      <w:spacing w:before="240"/>
      <w:outlineLvl w:val="1"/>
    </w:pPr>
    <w:rPr>
      <w:rFonts w:asciiTheme="majorHAnsi" w:eastAsiaTheme="majorEastAsia" w:hAnsiTheme="majorHAnsi" w:cstheme="majorBidi"/>
      <w:b/>
      <w:bCs/>
      <w:color w:val="000000"/>
      <w:sz w:val="26"/>
      <w:szCs w:val="26"/>
    </w:rPr>
  </w:style>
  <w:style w:type="paragraph" w:styleId="Ttulo3">
    <w:name w:val="heading 3"/>
    <w:basedOn w:val="Normal"/>
    <w:next w:val="Normal"/>
    <w:link w:val="Ttulo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Ttulo4">
    <w:name w:val="heading 4"/>
    <w:basedOn w:val="Normal"/>
    <w:next w:val="Normal"/>
    <w:link w:val="Ttulo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before="240" w:line="240" w:lineRule="auto"/>
      <w:contextualSpacing/>
    </w:pPr>
    <w:rPr>
      <w:rFonts w:asciiTheme="majorHAnsi" w:eastAsiaTheme="majorEastAsia" w:hAnsiTheme="majorHAnsi" w:cstheme="majorBidi"/>
      <w:b/>
      <w:color w:val="000000"/>
      <w:spacing w:val="5"/>
      <w:kern w:val="28"/>
      <w:sz w:val="3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ind w:firstLine="425"/>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60" w:line="240" w:lineRule="auto"/>
      <w:ind w:left="283"/>
    </w:pPr>
    <w:rPr>
      <w:rFonts w:ascii="Courier New" w:eastAsia="Courier New" w:hAnsi="Courier New"/>
      <w:sz w:val="20"/>
    </w:rPr>
  </w:style>
  <w:style w:type="character" w:styleId="Hyperlink">
    <w:name w:val="Hyperlink"/>
    <w:basedOn w:val="Fontepargpadro"/>
    <w:uiPriority w:val="99"/>
    <w:unhideWhenUsed/>
    <w:rsid w:val="00025DA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pcc.ch/report/ar6/wg1/downloads/report/IPCC_AR6_WGI_TS.pdf" TargetMode="External"/><Relationship Id="rId13" Type="http://schemas.openxmlformats.org/officeDocument/2006/relationships/hyperlink" Target="https://www.science.org/doi/10.1126/science.aay8380" TargetMode="External"/><Relationship Id="rId18" Type="http://schemas.openxmlformats.org/officeDocument/2006/relationships/hyperlink" Target="https://www.fervoenergy.com"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earthobservatory.nasa.gov/features/SeaIce/page3.php" TargetMode="External"/><Relationship Id="rId17" Type="http://schemas.openxmlformats.org/officeDocument/2006/relationships/hyperlink" Target="https://www.theguardian.co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utahforge.com"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ournals.ametsoc.org/view/journals/clim/8/2/15200442_1995_008_0240_sicf_2_0_co_2.xml" TargetMode="Externa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www.fervoenergy.com" TargetMode="External"/><Relationship Id="rId23" Type="http://schemas.openxmlformats.org/officeDocument/2006/relationships/header" Target="header3.xml"/><Relationship Id="rId10" Type="http://schemas.openxmlformats.org/officeDocument/2006/relationships/hyperlink" Target="https://agupubs.onlinelibrary.wiley.com/doi/full/10.1029/2008GL035028"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nsidc.org/cryosphere/seaice/processes/albedo.html" TargetMode="External"/><Relationship Id="rId14" Type="http://schemas.openxmlformats.org/officeDocument/2006/relationships/hyperlink" Target="https://cnnportugal.iol.pt"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22</Pages>
  <Words>5833</Words>
  <Characters>31504</Characters>
  <Application>Microsoft Office Word</Application>
  <DocSecurity>0</DocSecurity>
  <Lines>262</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37263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Faithful Translation Mathematics of Structural Entropy - Highlighted Technical Issues</dc:title>
  <dc:subject/>
  <dc:creator>Charles de Paula Eugenio</dc:creator>
  <cp:keywords/>
  <dc:description>generated by python-docx</dc:description>
  <cp:lastModifiedBy>charles eugenio</cp:lastModifiedBy>
  <cp:revision>2</cp:revision>
  <dcterms:created xsi:type="dcterms:W3CDTF">2026-06-26T23:38:00Z</dcterms:created>
  <dcterms:modified xsi:type="dcterms:W3CDTF">2026-06-26T23:38:00Z</dcterms:modified>
  <cp:category/>
</cp:coreProperties>
</file>