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9A08" w14:textId="0A1D6843" w:rsidR="00D85371" w:rsidRPr="00842B9B" w:rsidRDefault="004F2E45">
      <w:pPr>
        <w:spacing w:after="120"/>
        <w:jc w:val="center"/>
        <w:rPr>
          <w:lang w:val="pt-BR"/>
        </w:rPr>
      </w:pPr>
      <w:r w:rsidRPr="00842B9B">
        <w:rPr>
          <w:rFonts w:ascii="Arial" w:hAnsi="Arial"/>
          <w:b/>
          <w:color w:val="17365D"/>
          <w:sz w:val="40"/>
          <w:lang w:val="pt-BR"/>
        </w:rPr>
        <w:t xml:space="preserve">HVE: </w:t>
      </w:r>
      <w:r w:rsidR="00DF0995">
        <w:rPr>
          <w:rFonts w:ascii="Arial" w:hAnsi="Arial"/>
          <w:b/>
          <w:color w:val="17365D"/>
          <w:sz w:val="40"/>
          <w:lang w:val="pt-BR"/>
        </w:rPr>
        <w:t>A</w:t>
      </w:r>
      <w:r w:rsidRPr="00842B9B">
        <w:rPr>
          <w:rFonts w:ascii="Arial" w:hAnsi="Arial"/>
          <w:b/>
          <w:color w:val="17365D"/>
          <w:sz w:val="40"/>
          <w:lang w:val="pt-BR"/>
        </w:rPr>
        <w:t xml:space="preserve">rquitetura harmônica, </w:t>
      </w:r>
      <w:proofErr w:type="spellStart"/>
      <w:r w:rsidRPr="00842B9B">
        <w:rPr>
          <w:rFonts w:ascii="Arial" w:hAnsi="Arial"/>
          <w:b/>
          <w:color w:val="17365D"/>
          <w:sz w:val="40"/>
          <w:lang w:val="pt-BR"/>
        </w:rPr>
        <w:t>versionada</w:t>
      </w:r>
      <w:proofErr w:type="spellEnd"/>
      <w:r w:rsidRPr="00842B9B">
        <w:rPr>
          <w:rFonts w:ascii="Arial" w:hAnsi="Arial"/>
          <w:b/>
          <w:color w:val="17365D"/>
          <w:sz w:val="40"/>
          <w:lang w:val="pt-BR"/>
        </w:rPr>
        <w:t xml:space="preserve"> e falsificável para codificação estruturada</w:t>
      </w:r>
    </w:p>
    <w:p w14:paraId="06661D05" w14:textId="77777777" w:rsidR="00D85371" w:rsidRPr="00842B9B" w:rsidRDefault="004F2E45">
      <w:pPr>
        <w:jc w:val="center"/>
        <w:rPr>
          <w:lang w:val="pt-BR"/>
        </w:rPr>
      </w:pPr>
      <w:r w:rsidRPr="00842B9B">
        <w:rPr>
          <w:i/>
          <w:sz w:val="22"/>
          <w:lang w:val="pt-BR"/>
        </w:rPr>
        <w:t>Fundamentos algébricos, protocolo canônico, extensão cromática, EFQ-128 e evidência computacional</w:t>
      </w:r>
    </w:p>
    <w:p w14:paraId="167402D0" w14:textId="77777777" w:rsidR="00D85371" w:rsidRPr="00842B9B" w:rsidRDefault="004F2E45">
      <w:pPr>
        <w:jc w:val="center"/>
        <w:rPr>
          <w:lang w:val="pt-BR"/>
        </w:rPr>
      </w:pPr>
      <w:r w:rsidRPr="00842B9B">
        <w:rPr>
          <w:sz w:val="19"/>
          <w:lang w:val="pt-BR"/>
        </w:rPr>
        <w:t>Charles de Paula Eugênio</w:t>
      </w:r>
    </w:p>
    <w:p w14:paraId="7B9CAFAA" w14:textId="77777777" w:rsidR="00D85371" w:rsidRPr="00842B9B" w:rsidRDefault="004F2E45">
      <w:pPr>
        <w:jc w:val="center"/>
        <w:rPr>
          <w:lang w:val="pt-BR"/>
        </w:rPr>
      </w:pPr>
      <w:r w:rsidRPr="00842B9B">
        <w:rPr>
          <w:sz w:val="19"/>
          <w:lang w:val="pt-BR"/>
        </w:rPr>
        <w:t>Pesquisador independente, Parauapebas, Pará, Brasil</w:t>
      </w:r>
    </w:p>
    <w:p w14:paraId="450BFF40" w14:textId="77777777" w:rsidR="00D85371" w:rsidRPr="00842B9B" w:rsidRDefault="004F2E45">
      <w:pPr>
        <w:jc w:val="center"/>
        <w:rPr>
          <w:lang w:val="pt-BR"/>
        </w:rPr>
      </w:pPr>
      <w:r w:rsidRPr="00842B9B">
        <w:rPr>
          <w:sz w:val="19"/>
          <w:lang w:val="pt-BR"/>
        </w:rPr>
        <w:t>ORCID: 0009-0004-0273-0872</w:t>
      </w:r>
    </w:p>
    <w:p w14:paraId="784C02B4" w14:textId="77777777" w:rsidR="00D85371" w:rsidRPr="00842B9B" w:rsidRDefault="004F2E45">
      <w:pPr>
        <w:jc w:val="center"/>
        <w:rPr>
          <w:lang w:val="pt-BR"/>
        </w:rPr>
      </w:pPr>
      <w:r w:rsidRPr="00842B9B">
        <w:rPr>
          <w:sz w:val="19"/>
          <w:lang w:val="pt-BR"/>
        </w:rPr>
        <w:t>Versão consolidada: 28 de julho de 2026</w:t>
      </w:r>
    </w:p>
    <w:p w14:paraId="1710A609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Resumo</w:t>
      </w:r>
    </w:p>
    <w:p w14:paraId="74BE5772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Apresenta-se a versão consolidada do </w:t>
      </w:r>
      <w:proofErr w:type="spellStart"/>
      <w:r w:rsidRPr="00842B9B">
        <w:rPr>
          <w:lang w:val="pt-BR"/>
        </w:rPr>
        <w:t>Harmonic</w:t>
      </w:r>
      <w:proofErr w:type="spellEnd"/>
      <w:r w:rsidRPr="00842B9B">
        <w:rPr>
          <w:lang w:val="pt-BR"/>
        </w:rPr>
        <w:t xml:space="preserve"> Vector </w:t>
      </w:r>
      <w:proofErr w:type="spellStart"/>
      <w:r w:rsidRPr="00842B9B">
        <w:rPr>
          <w:lang w:val="pt-BR"/>
        </w:rPr>
        <w:t>Encoding</w:t>
      </w:r>
      <w:proofErr w:type="spellEnd"/>
      <w:r w:rsidRPr="00842B9B">
        <w:rPr>
          <w:lang w:val="pt-BR"/>
        </w:rPr>
        <w:t xml:space="preserve"> (HVE), uma arquitetura discreta e </w:t>
      </w:r>
      <w:proofErr w:type="spellStart"/>
      <w:r w:rsidRPr="00842B9B">
        <w:rPr>
          <w:lang w:val="pt-BR"/>
        </w:rPr>
        <w:t>versionada</w:t>
      </w:r>
      <w:proofErr w:type="spellEnd"/>
      <w:r w:rsidRPr="00842B9B">
        <w:rPr>
          <w:lang w:val="pt-BR"/>
        </w:rPr>
        <w:t xml:space="preserve"> cuja unidade fundamental é o estado g=(</w:t>
      </w:r>
      <w:r>
        <w:t>θ</w:t>
      </w:r>
      <w:r w:rsidRPr="00842B9B">
        <w:rPr>
          <w:lang w:val="pt-BR"/>
        </w:rPr>
        <w:t>,s,</w:t>
      </w:r>
      <w:r>
        <w:t>τ</w:t>
      </w:r>
      <w:r w:rsidRPr="00842B9B">
        <w:rPr>
          <w:lang w:val="pt-BR"/>
        </w:rPr>
        <w:t>,</w:t>
      </w:r>
      <w:r>
        <w:t>φ</w:t>
      </w:r>
      <w:r w:rsidRPr="00842B9B">
        <w:rPr>
          <w:lang w:val="pt-BR"/>
        </w:rPr>
        <w:t xml:space="preserve">) no grupo </w:t>
      </w:r>
      <w:proofErr w:type="spellStart"/>
      <w:r w:rsidRPr="00842B9B">
        <w:rPr>
          <w:lang w:val="pt-BR"/>
        </w:rPr>
        <w:t>abeliano</w:t>
      </w:r>
      <w:proofErr w:type="spellEnd"/>
      <w:r w:rsidRPr="00842B9B">
        <w:rPr>
          <w:lang w:val="pt-BR"/>
        </w:rPr>
        <w:t xml:space="preserve"> finito G=Z₃₆₀×Z₂×Z₅×Z₉. O núcleo possui exatamente 32.400 estados, decompostos em 720 posições simbólicas e 45 estados auxiliares por posição. Define-se como canônico o índice E_D(</w:t>
      </w:r>
      <w:r>
        <w:t>θ</w:t>
      </w:r>
      <w:r w:rsidRPr="00842B9B">
        <w:rPr>
          <w:lang w:val="pt-BR"/>
        </w:rPr>
        <w:t>,s,</w:t>
      </w:r>
      <w:r>
        <w:t>τ</w:t>
      </w:r>
      <w:r w:rsidRPr="00842B9B">
        <w:rPr>
          <w:lang w:val="pt-BR"/>
        </w:rPr>
        <w:t>,</w:t>
      </w:r>
      <w:r>
        <w:t>φ</w:t>
      </w:r>
      <w:r w:rsidRPr="00842B9B">
        <w:rPr>
          <w:lang w:val="pt-BR"/>
        </w:rPr>
        <w:t>)=</w:t>
      </w:r>
      <w:r>
        <w:t>φ</w:t>
      </w:r>
      <w:r w:rsidRPr="00842B9B">
        <w:rPr>
          <w:lang w:val="pt-BR"/>
        </w:rPr>
        <w:t>·3600+</w:t>
      </w:r>
      <w:r>
        <w:t>τ</w:t>
      </w:r>
      <w:r w:rsidRPr="00842B9B">
        <w:rPr>
          <w:lang w:val="pt-BR"/>
        </w:rPr>
        <w:t>·720+s·360+</w:t>
      </w:r>
      <w:r>
        <w:t>θ</w:t>
      </w:r>
      <w:r w:rsidRPr="00842B9B">
        <w:rPr>
          <w:lang w:val="pt-BR"/>
        </w:rPr>
        <w:t>, compatível com a especificação documental e com a enumeração HVE-6480+</w:t>
      </w:r>
      <w:r>
        <w:t>τ</w:t>
      </w:r>
      <w:r w:rsidRPr="00842B9B">
        <w:rPr>
          <w:lang w:val="pt-BR"/>
        </w:rPr>
        <w:t xml:space="preserve"> de 32.400 linhas. Um segundo layout, E_E=(((</w:t>
      </w:r>
      <w:r>
        <w:t>θ</w:t>
      </w:r>
      <w:r w:rsidRPr="00842B9B">
        <w:rPr>
          <w:lang w:val="pt-BR"/>
        </w:rPr>
        <w:t>·2+s)·5+</w:t>
      </w:r>
      <w:r>
        <w:t>τ</w:t>
      </w:r>
      <w:r w:rsidRPr="00842B9B">
        <w:rPr>
          <w:lang w:val="pt-BR"/>
        </w:rPr>
        <w:t>)·9+</w:t>
      </w:r>
      <w:r>
        <w:t>φ</w:t>
      </w:r>
      <w:r w:rsidRPr="00842B9B">
        <w:rPr>
          <w:lang w:val="pt-BR"/>
        </w:rPr>
        <w:t>), é preservado como perfil interoperável, mas não é identificado byte a byte com E_D. Demonstram-se a bijeção, a estrutura de grupo, métricas circulares, o grafo cartesiano 7-regular e a transformada harmônica sobre o grupo. A extensão cromática HVE-</w:t>
      </w:r>
      <w:r>
        <w:t>χ</w:t>
      </w:r>
      <w:r w:rsidRPr="00842B9B">
        <w:rPr>
          <w:lang w:val="pt-BR"/>
        </w:rPr>
        <w:t xml:space="preserve"> distingue ausência de cor de preto RGB e possui 543.581.830.800 estados. O envelope EFQ-128 é especificado em perfil canônico e perfil legado, com vetor que prova sua incompatibilidade binária. A implementação foi submetida a enumeração exaustiva do núcleo, rejeição dos 368 padrões inválidos de 15 bits, testes de transformada e </w:t>
      </w:r>
      <w:proofErr w:type="spellStart"/>
      <w:r w:rsidRPr="00842B9B">
        <w:rPr>
          <w:lang w:val="pt-BR"/>
        </w:rPr>
        <w:t>Parseval</w:t>
      </w:r>
      <w:proofErr w:type="spellEnd"/>
      <w:r w:rsidRPr="00842B9B">
        <w:rPr>
          <w:lang w:val="pt-BR"/>
        </w:rPr>
        <w:t xml:space="preserve">, 100.000 transcodificações EFQ-128 aleatórias e referência C11 com compilação estrita. Em texto de teste mantido fora do treinamento, um perfil tokenizado apresentou </w:t>
      </w:r>
      <w:proofErr w:type="spellStart"/>
      <w:r w:rsidRPr="00842B9B">
        <w:rPr>
          <w:lang w:val="pt-BR"/>
        </w:rPr>
        <w:t>payload</w:t>
      </w:r>
      <w:proofErr w:type="spellEnd"/>
      <w:r w:rsidRPr="00842B9B">
        <w:rPr>
          <w:lang w:val="pt-BR"/>
        </w:rPr>
        <w:t xml:space="preserve"> 26,12% menor que UTF-8, mas o custo de vocabulário somente se amortizou após 11.408 caracteres; UTF-8 venceu textos ASCII e vários textos comuns na comparação por caractere. Assim, o resultado sustentado não é superioridade universal de compactação, mas uma arquitetura estrutural reversível, testável e refutável, com vantagens dependentes do domínio.</w:t>
      </w:r>
    </w:p>
    <w:p w14:paraId="452DA8C0" w14:textId="77777777" w:rsidR="00D85371" w:rsidRPr="00842B9B" w:rsidRDefault="004F2E45">
      <w:pPr>
        <w:rPr>
          <w:lang w:val="pt-BR"/>
        </w:rPr>
      </w:pPr>
      <w:r w:rsidRPr="00842B9B">
        <w:rPr>
          <w:i/>
          <w:lang w:val="pt-BR"/>
        </w:rPr>
        <w:t xml:space="preserve">Palavras-chave: codificação harmônica; grupo </w:t>
      </w:r>
      <w:proofErr w:type="spellStart"/>
      <w:r w:rsidRPr="00842B9B">
        <w:rPr>
          <w:i/>
          <w:lang w:val="pt-BR"/>
        </w:rPr>
        <w:t>abeliano</w:t>
      </w:r>
      <w:proofErr w:type="spellEnd"/>
      <w:r w:rsidRPr="00842B9B">
        <w:rPr>
          <w:i/>
          <w:lang w:val="pt-BR"/>
        </w:rPr>
        <w:t xml:space="preserve"> finito; bijeção em base mista; análise harmônica discreta; protocolo </w:t>
      </w:r>
      <w:proofErr w:type="spellStart"/>
      <w:r w:rsidRPr="00842B9B">
        <w:rPr>
          <w:i/>
          <w:lang w:val="pt-BR"/>
        </w:rPr>
        <w:t>versionado</w:t>
      </w:r>
      <w:proofErr w:type="spellEnd"/>
      <w:r w:rsidRPr="00842B9B">
        <w:rPr>
          <w:i/>
          <w:lang w:val="pt-BR"/>
        </w:rPr>
        <w:t>; RGB; reprodutibilidade.</w:t>
      </w:r>
    </w:p>
    <w:p w14:paraId="03AF9CCE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1. Introdução</w:t>
      </w:r>
    </w:p>
    <w:p w14:paraId="031F3027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Codificações convencionais preservam identidade, transmissão e interoperabilidade. UTF-8 representa valores escalares Unicode por sequências de um a quatro octetos [1,2]. O valor numérico de um ponto de código, entretanto, não foi projetado para expressar por si só distância circular, polaridade, torção, plano operacional ou vizinhança de grupo. Isso é uma escolha de engenharia, não um defeito lógico.</w:t>
      </w:r>
    </w:p>
    <w:p w14:paraId="5E870D2D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O HVE parte de uma escolha diferente: expor coordenadas discretas e operadores sobre os estados. A proposta não é tornar o binário fisicamente incapaz de representar algo que o HVE represente. Todo estado finito pode ser serializado em bits. A questão científica é se uma camada </w:t>
      </w:r>
      <w:proofErr w:type="spellStart"/>
      <w:r w:rsidRPr="00842B9B">
        <w:rPr>
          <w:lang w:val="pt-BR"/>
        </w:rPr>
        <w:t>tipada</w:t>
      </w:r>
      <w:proofErr w:type="spellEnd"/>
      <w:r w:rsidRPr="00842B9B">
        <w:rPr>
          <w:lang w:val="pt-BR"/>
        </w:rPr>
        <w:t>, geométrica e algébrica pode ser definida de modo inequívoco, reversível, interoperável e útil em tarefas específicas.</w:t>
      </w:r>
    </w:p>
    <w:p w14:paraId="7E115C5A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A versão inicial HVE-720 estabeleceu a intuição angular. A consolidação atual corrige três fragilidades: mistura entre símbolo e estado auxiliar; coexistência silenciosa de duas ordens de indexação; e afirmações de eficiência não condicionadas ao corpus. Este artigo fixa perfis, declara limites e </w:t>
      </w:r>
      <w:proofErr w:type="gramStart"/>
      <w:r w:rsidRPr="00842B9B">
        <w:rPr>
          <w:lang w:val="pt-BR"/>
        </w:rPr>
        <w:t>formula</w:t>
      </w:r>
      <w:proofErr w:type="gramEnd"/>
      <w:r w:rsidRPr="00842B9B">
        <w:rPr>
          <w:lang w:val="pt-BR"/>
        </w:rPr>
        <w:t xml:space="preserve"> testes capazes de rejeitar cada hipótese.</w:t>
      </w:r>
    </w:p>
    <w:p w14:paraId="7B10D3D7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As contribuições são: (i) especificação canônica do núcleo de 32.400 estados; (</w:t>
      </w:r>
      <w:proofErr w:type="spellStart"/>
      <w:r w:rsidRPr="00842B9B">
        <w:rPr>
          <w:lang w:val="pt-BR"/>
        </w:rPr>
        <w:t>ii</w:t>
      </w:r>
      <w:proofErr w:type="spellEnd"/>
      <w:r w:rsidRPr="00842B9B">
        <w:rPr>
          <w:lang w:val="pt-BR"/>
        </w:rPr>
        <w:t>) prova e verificação exaustiva das duas bijeções históricas, com conversão explícita; (</w:t>
      </w:r>
      <w:proofErr w:type="spellStart"/>
      <w:r w:rsidRPr="00842B9B">
        <w:rPr>
          <w:lang w:val="pt-BR"/>
        </w:rPr>
        <w:t>iii</w:t>
      </w:r>
      <w:proofErr w:type="spellEnd"/>
      <w:r w:rsidRPr="00842B9B">
        <w:rPr>
          <w:lang w:val="pt-BR"/>
        </w:rPr>
        <w:t>) geometria e análise harmônica no grupo finito; (</w:t>
      </w:r>
      <w:proofErr w:type="spellStart"/>
      <w:r w:rsidRPr="00842B9B">
        <w:rPr>
          <w:lang w:val="pt-BR"/>
        </w:rPr>
        <w:t>iv</w:t>
      </w:r>
      <w:proofErr w:type="spellEnd"/>
      <w:r w:rsidRPr="00842B9B">
        <w:rPr>
          <w:lang w:val="pt-BR"/>
        </w:rPr>
        <w:t>) HVE-</w:t>
      </w:r>
      <w:r>
        <w:t>χ</w:t>
      </w:r>
      <w:r w:rsidRPr="00842B9B">
        <w:rPr>
          <w:lang w:val="pt-BR"/>
        </w:rPr>
        <w:t xml:space="preserve"> </w:t>
      </w:r>
      <w:r w:rsidRPr="00842B9B">
        <w:rPr>
          <w:lang w:val="pt-BR"/>
        </w:rPr>
        <w:lastRenderedPageBreak/>
        <w:t>com ausência cromática distinta de preto; (v) EFQ-128 canônico e legado; (vi) protocolo universal RAW/Unicode; (</w:t>
      </w:r>
      <w:proofErr w:type="spellStart"/>
      <w:r w:rsidRPr="00842B9B">
        <w:rPr>
          <w:lang w:val="pt-BR"/>
        </w:rPr>
        <w:t>vii</w:t>
      </w:r>
      <w:proofErr w:type="spellEnd"/>
      <w:r w:rsidRPr="00842B9B">
        <w:rPr>
          <w:lang w:val="pt-BR"/>
        </w:rPr>
        <w:t>) benchmark delimitado; e (</w:t>
      </w:r>
      <w:proofErr w:type="spellStart"/>
      <w:r w:rsidRPr="00842B9B">
        <w:rPr>
          <w:lang w:val="pt-BR"/>
        </w:rPr>
        <w:t>viii</w:t>
      </w:r>
      <w:proofErr w:type="spellEnd"/>
      <w:r w:rsidRPr="00842B9B">
        <w:rPr>
          <w:lang w:val="pt-BR"/>
        </w:rPr>
        <w:t>) matriz de falsificação e pacote reprodutível.</w:t>
      </w:r>
    </w:p>
    <w:p w14:paraId="4F9BD5B7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2. Escopo e estatuto matemático</w:t>
      </w:r>
    </w:p>
    <w:p w14:paraId="2862BC00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Definição 1. O alfabeto estrutural é A=Z₃₆₀×Z₂, com |A|=720. O espaço auxiliar é M=Z₅×Z₉, com |M|=45. O núcleo é G=A×M, com |G|=32.400. Uma posição simbólica é um elemento de A; um estado HVE completo é um elemento de G. Logo, o sistema não contém necessariamente 32.400 caracteres independentes: contém 720 posições, cada uma com uma fibra de 45 configurações auxiliares.</w:t>
      </w:r>
    </w:p>
    <w:p w14:paraId="6ED322C4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O termo “vetor” é computacional. G não é espaço vetorial sobre R ou C: não se definem multiplicação escalar real, base linear ou dimensão vetorial. Tampouco G é uma variedade </w:t>
      </w:r>
      <w:proofErr w:type="spellStart"/>
      <w:r w:rsidRPr="00842B9B">
        <w:rPr>
          <w:lang w:val="pt-BR"/>
        </w:rPr>
        <w:t>diferenciável</w:t>
      </w:r>
      <w:proofErr w:type="spellEnd"/>
      <w:r w:rsidRPr="00842B9B">
        <w:rPr>
          <w:lang w:val="pt-BR"/>
        </w:rPr>
        <w:t>. Gradiente, divergente e rotacional contínuos não seguem da arquitetura. Operadores discretos podem ser construídos em grafos ou complexos, mas exigem definição adicional.</w:t>
      </w:r>
    </w:p>
    <w:p w14:paraId="34E9A015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A semântica de intervalos angulares é convencional e </w:t>
      </w:r>
      <w:proofErr w:type="spellStart"/>
      <w:r w:rsidRPr="00842B9B">
        <w:rPr>
          <w:lang w:val="pt-BR"/>
        </w:rPr>
        <w:t>versionada</w:t>
      </w:r>
      <w:proofErr w:type="spellEnd"/>
      <w:r w:rsidRPr="00842B9B">
        <w:rPr>
          <w:lang w:val="pt-BR"/>
        </w:rPr>
        <w:t>. A álgebra garante cardinalidade, operações e reversibilidade; não garante que símbolos próximos sejam linguisticamente semelhantes. Qualquer alegação semântica deve ser testada em dados que não tenham sido usados para construir a tabela.</w:t>
      </w:r>
    </w:p>
    <w:p w14:paraId="01AF083F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3. Núcleo canônico HVE-4D</w:t>
      </w:r>
    </w:p>
    <w:p w14:paraId="32DBF85C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Os domínios são </w:t>
      </w:r>
      <w:r>
        <w:t>θ</w:t>
      </w:r>
      <w:r w:rsidRPr="00842B9B">
        <w:rPr>
          <w:lang w:val="pt-BR"/>
        </w:rPr>
        <w:t>∈{</w:t>
      </w:r>
      <w:proofErr w:type="gramStart"/>
      <w:r w:rsidRPr="00842B9B">
        <w:rPr>
          <w:lang w:val="pt-BR"/>
        </w:rPr>
        <w:t>0,…</w:t>
      </w:r>
      <w:proofErr w:type="gramEnd"/>
      <w:r w:rsidRPr="00842B9B">
        <w:rPr>
          <w:lang w:val="pt-BR"/>
        </w:rPr>
        <w:t xml:space="preserve">,359}, s∈{0,1}, </w:t>
      </w:r>
      <w:r>
        <w:t>τ</w:t>
      </w:r>
      <w:r w:rsidRPr="00842B9B">
        <w:rPr>
          <w:lang w:val="pt-BR"/>
        </w:rPr>
        <w:t>∈{</w:t>
      </w:r>
      <w:proofErr w:type="gramStart"/>
      <w:r w:rsidRPr="00842B9B">
        <w:rPr>
          <w:lang w:val="pt-BR"/>
        </w:rPr>
        <w:t>0,…</w:t>
      </w:r>
      <w:proofErr w:type="gramEnd"/>
      <w:r w:rsidRPr="00842B9B">
        <w:rPr>
          <w:lang w:val="pt-BR"/>
        </w:rPr>
        <w:t xml:space="preserve">,4} e </w:t>
      </w:r>
      <w:r>
        <w:t>φ</w:t>
      </w:r>
      <w:r w:rsidRPr="00842B9B">
        <w:rPr>
          <w:lang w:val="pt-BR"/>
        </w:rPr>
        <w:t>∈{</w:t>
      </w:r>
      <w:proofErr w:type="gramStart"/>
      <w:r w:rsidRPr="00842B9B">
        <w:rPr>
          <w:lang w:val="pt-BR"/>
        </w:rPr>
        <w:t>0,…</w:t>
      </w:r>
      <w:proofErr w:type="gramEnd"/>
      <w:r w:rsidRPr="00842B9B">
        <w:rPr>
          <w:lang w:val="pt-BR"/>
        </w:rPr>
        <w:t xml:space="preserve">,8}. A polaridade externa é </w:t>
      </w:r>
      <w:r>
        <w:t>σ</w:t>
      </w:r>
      <w:r w:rsidRPr="00842B9B">
        <w:rPr>
          <w:lang w:val="pt-BR"/>
        </w:rPr>
        <w:t xml:space="preserve">=(-1)^s. A operação é componente a componente: </w:t>
      </w:r>
      <w:proofErr w:type="spellStart"/>
      <w:r w:rsidRPr="00842B9B">
        <w:rPr>
          <w:lang w:val="pt-BR"/>
        </w:rPr>
        <w:t>g⊕h</w:t>
      </w:r>
      <w:proofErr w:type="spellEnd"/>
      <w:r w:rsidRPr="00842B9B">
        <w:rPr>
          <w:lang w:val="pt-BR"/>
        </w:rPr>
        <w:t>=(</w:t>
      </w:r>
      <w:r>
        <w:t>θ</w:t>
      </w:r>
      <w:r w:rsidRPr="00842B9B">
        <w:rPr>
          <w:lang w:val="pt-BR"/>
        </w:rPr>
        <w:t>+</w:t>
      </w:r>
      <w:r>
        <w:t>θ</w:t>
      </w:r>
      <w:r w:rsidRPr="00842B9B">
        <w:rPr>
          <w:lang w:val="pt-BR"/>
        </w:rPr>
        <w:t xml:space="preserve">' </w:t>
      </w:r>
      <w:proofErr w:type="spellStart"/>
      <w:r w:rsidRPr="00842B9B">
        <w:rPr>
          <w:lang w:val="pt-BR"/>
        </w:rPr>
        <w:t>mod</w:t>
      </w:r>
      <w:proofErr w:type="spellEnd"/>
      <w:r w:rsidRPr="00842B9B">
        <w:rPr>
          <w:lang w:val="pt-BR"/>
        </w:rPr>
        <w:t xml:space="preserve"> 360, </w:t>
      </w:r>
      <w:proofErr w:type="spellStart"/>
      <w:r w:rsidRPr="00842B9B">
        <w:rPr>
          <w:lang w:val="pt-BR"/>
        </w:rPr>
        <w:t>s+s</w:t>
      </w:r>
      <w:proofErr w:type="spellEnd"/>
      <w:r w:rsidRPr="00842B9B">
        <w:rPr>
          <w:lang w:val="pt-BR"/>
        </w:rPr>
        <w:t xml:space="preserve">' </w:t>
      </w:r>
      <w:proofErr w:type="spellStart"/>
      <w:r w:rsidRPr="00842B9B">
        <w:rPr>
          <w:lang w:val="pt-BR"/>
        </w:rPr>
        <w:t>mod</w:t>
      </w:r>
      <w:proofErr w:type="spellEnd"/>
      <w:r w:rsidRPr="00842B9B">
        <w:rPr>
          <w:lang w:val="pt-BR"/>
        </w:rPr>
        <w:t xml:space="preserve"> 2, </w:t>
      </w:r>
      <w:r>
        <w:t>τ</w:t>
      </w:r>
      <w:r w:rsidRPr="00842B9B">
        <w:rPr>
          <w:lang w:val="pt-BR"/>
        </w:rPr>
        <w:t>+</w:t>
      </w:r>
      <w:r>
        <w:t>τ</w:t>
      </w:r>
      <w:r w:rsidRPr="00842B9B">
        <w:rPr>
          <w:lang w:val="pt-BR"/>
        </w:rPr>
        <w:t xml:space="preserve">' </w:t>
      </w:r>
      <w:proofErr w:type="spellStart"/>
      <w:r w:rsidRPr="00842B9B">
        <w:rPr>
          <w:lang w:val="pt-BR"/>
        </w:rPr>
        <w:t>mod</w:t>
      </w:r>
      <w:proofErr w:type="spellEnd"/>
      <w:r w:rsidRPr="00842B9B">
        <w:rPr>
          <w:lang w:val="pt-BR"/>
        </w:rPr>
        <w:t xml:space="preserve"> 5, </w:t>
      </w:r>
      <w:r>
        <w:t>φ</w:t>
      </w:r>
      <w:r w:rsidRPr="00842B9B">
        <w:rPr>
          <w:lang w:val="pt-BR"/>
        </w:rPr>
        <w:t>+</w:t>
      </w:r>
      <w:r>
        <w:t>φ</w:t>
      </w:r>
      <w:r w:rsidRPr="00842B9B">
        <w:rPr>
          <w:lang w:val="pt-BR"/>
        </w:rPr>
        <w:t xml:space="preserve">' </w:t>
      </w:r>
      <w:proofErr w:type="spellStart"/>
      <w:r w:rsidRPr="00842B9B">
        <w:rPr>
          <w:lang w:val="pt-BR"/>
        </w:rPr>
        <w:t>mod</w:t>
      </w:r>
      <w:proofErr w:type="spellEnd"/>
      <w:r w:rsidRPr="00842B9B">
        <w:rPr>
          <w:lang w:val="pt-BR"/>
        </w:rPr>
        <w:t xml:space="preserve"> 9). O neutro é (0,0,0,0) e o inverso é obtido pela negação modular.</w:t>
      </w:r>
    </w:p>
    <w:p w14:paraId="3BD39FFD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Proposição 1. (G,⊕) é grupo </w:t>
      </w:r>
      <w:proofErr w:type="spellStart"/>
      <w:r w:rsidRPr="00842B9B">
        <w:rPr>
          <w:lang w:val="pt-BR"/>
        </w:rPr>
        <w:t>abeliano</w:t>
      </w:r>
      <w:proofErr w:type="spellEnd"/>
      <w:r w:rsidRPr="00842B9B">
        <w:rPr>
          <w:lang w:val="pt-BR"/>
        </w:rPr>
        <w:t xml:space="preserve"> finito de ordem 32.400. Prova. Cada fator </w:t>
      </w:r>
      <w:proofErr w:type="spellStart"/>
      <w:r w:rsidRPr="00842B9B">
        <w:rPr>
          <w:lang w:val="pt-BR"/>
        </w:rPr>
        <w:t>Z_n</w:t>
      </w:r>
      <w:proofErr w:type="spellEnd"/>
      <w:r w:rsidRPr="00842B9B">
        <w:rPr>
          <w:lang w:val="pt-BR"/>
        </w:rPr>
        <w:t xml:space="preserve"> é cíclico e </w:t>
      </w:r>
      <w:proofErr w:type="spellStart"/>
      <w:r w:rsidRPr="00842B9B">
        <w:rPr>
          <w:lang w:val="pt-BR"/>
        </w:rPr>
        <w:t>abeliano</w:t>
      </w:r>
      <w:proofErr w:type="spellEnd"/>
      <w:r w:rsidRPr="00842B9B">
        <w:rPr>
          <w:lang w:val="pt-BR"/>
        </w:rPr>
        <w:t>; o produto direto finito preserva essas propriedades e sua cardinalidade é 360·2·5·9=32.400.</w:t>
      </w:r>
    </w:p>
    <w:p w14:paraId="40AD9117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Definição 2 (layout documental canônico, canonical-doc-v1). E_D(</w:t>
      </w:r>
      <w:r>
        <w:t>θ</w:t>
      </w:r>
      <w:r w:rsidRPr="00842B9B">
        <w:rPr>
          <w:lang w:val="pt-BR"/>
        </w:rPr>
        <w:t>,s,</w:t>
      </w:r>
      <w:r>
        <w:t>τ</w:t>
      </w:r>
      <w:r w:rsidRPr="00842B9B">
        <w:rPr>
          <w:lang w:val="pt-BR"/>
        </w:rPr>
        <w:t>,</w:t>
      </w:r>
      <w:r>
        <w:t>φ</w:t>
      </w:r>
      <w:r w:rsidRPr="00842B9B">
        <w:rPr>
          <w:lang w:val="pt-BR"/>
        </w:rPr>
        <w:t>)=</w:t>
      </w:r>
      <w:r>
        <w:t>φ</w:t>
      </w:r>
      <w:r w:rsidRPr="00842B9B">
        <w:rPr>
          <w:lang w:val="pt-BR"/>
        </w:rPr>
        <w:t>·3600+</w:t>
      </w:r>
      <w:r>
        <w:t>τ</w:t>
      </w:r>
      <w:r w:rsidRPr="00842B9B">
        <w:rPr>
          <w:lang w:val="pt-BR"/>
        </w:rPr>
        <w:t>·720+s·360+</w:t>
      </w:r>
      <w:r>
        <w:t>θ</w:t>
      </w:r>
      <w:r w:rsidRPr="00842B9B">
        <w:rPr>
          <w:lang w:val="pt-BR"/>
        </w:rPr>
        <w:t xml:space="preserve">. A inversa é </w:t>
      </w:r>
      <w:r>
        <w:t>θ</w:t>
      </w:r>
      <w:r w:rsidRPr="00842B9B">
        <w:rPr>
          <w:lang w:val="pt-BR"/>
        </w:rPr>
        <w:t xml:space="preserve">=n </w:t>
      </w:r>
      <w:proofErr w:type="spellStart"/>
      <w:r w:rsidRPr="00842B9B">
        <w:rPr>
          <w:lang w:val="pt-BR"/>
        </w:rPr>
        <w:t>mod</w:t>
      </w:r>
      <w:proofErr w:type="spellEnd"/>
      <w:r w:rsidRPr="00842B9B">
        <w:rPr>
          <w:lang w:val="pt-BR"/>
        </w:rPr>
        <w:t xml:space="preserve"> 360; q₁=⌊n/360⌋; s=q₁ </w:t>
      </w:r>
      <w:proofErr w:type="spellStart"/>
      <w:r w:rsidRPr="00842B9B">
        <w:rPr>
          <w:lang w:val="pt-BR"/>
        </w:rPr>
        <w:t>mod</w:t>
      </w:r>
      <w:proofErr w:type="spellEnd"/>
      <w:r w:rsidRPr="00842B9B">
        <w:rPr>
          <w:lang w:val="pt-BR"/>
        </w:rPr>
        <w:t xml:space="preserve"> 2; q₂=⌊q₁/2⌋; </w:t>
      </w:r>
      <w:r>
        <w:t>τ</w:t>
      </w:r>
      <w:r w:rsidRPr="00842B9B">
        <w:rPr>
          <w:lang w:val="pt-BR"/>
        </w:rPr>
        <w:t xml:space="preserve">=q₂ </w:t>
      </w:r>
      <w:proofErr w:type="spellStart"/>
      <w:r w:rsidRPr="00842B9B">
        <w:rPr>
          <w:lang w:val="pt-BR"/>
        </w:rPr>
        <w:t>mod</w:t>
      </w:r>
      <w:proofErr w:type="spellEnd"/>
      <w:r w:rsidRPr="00842B9B">
        <w:rPr>
          <w:lang w:val="pt-BR"/>
        </w:rPr>
        <w:t xml:space="preserve"> 5; </w:t>
      </w:r>
      <w:r>
        <w:t>φ</w:t>
      </w:r>
      <w:r w:rsidRPr="00842B9B">
        <w:rPr>
          <w:lang w:val="pt-BR"/>
        </w:rPr>
        <w:t>=⌊q₂/5⌋.</w:t>
      </w:r>
    </w:p>
    <w:p w14:paraId="5DA3F393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Teorema 1. E_D é uma bijeção de G em {</w:t>
      </w:r>
      <w:proofErr w:type="gramStart"/>
      <w:r w:rsidRPr="00842B9B">
        <w:rPr>
          <w:lang w:val="pt-BR"/>
        </w:rPr>
        <w:t>0,…</w:t>
      </w:r>
      <w:proofErr w:type="gramEnd"/>
      <w:r w:rsidRPr="00842B9B">
        <w:rPr>
          <w:lang w:val="pt-BR"/>
        </w:rPr>
        <w:t>,32.399}. Prova. O resultado segue da unicidade da representação em base mista com radicais 360,2,5,9. As divisões sucessivas recuperam exatamente cada dígito em seu domínio. Uma única colisão ou falha de round-</w:t>
      </w:r>
      <w:proofErr w:type="spellStart"/>
      <w:r w:rsidRPr="00842B9B">
        <w:rPr>
          <w:lang w:val="pt-BR"/>
        </w:rPr>
        <w:t>trip</w:t>
      </w:r>
      <w:proofErr w:type="spellEnd"/>
      <w:r w:rsidRPr="00842B9B">
        <w:rPr>
          <w:lang w:val="pt-BR"/>
        </w:rPr>
        <w:t xml:space="preserve"> entre os 32.400 estados falsificaria a implementação, mas não foi encontrada.</w:t>
      </w:r>
    </w:p>
    <w:p w14:paraId="75C42E88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O perfil engine-v1 usa E_E(</w:t>
      </w:r>
      <w:r>
        <w:t>θ</w:t>
      </w:r>
      <w:r w:rsidRPr="00842B9B">
        <w:rPr>
          <w:lang w:val="pt-BR"/>
        </w:rPr>
        <w:t>,s,</w:t>
      </w:r>
      <w:r>
        <w:t>τ</w:t>
      </w:r>
      <w:r w:rsidRPr="00842B9B">
        <w:rPr>
          <w:lang w:val="pt-BR"/>
        </w:rPr>
        <w:t>,</w:t>
      </w:r>
      <w:r>
        <w:t>φ</w:t>
      </w:r>
      <w:r w:rsidRPr="00842B9B">
        <w:rPr>
          <w:lang w:val="pt-BR"/>
        </w:rPr>
        <w:t>)=(((</w:t>
      </w:r>
      <w:r>
        <w:t>θ</w:t>
      </w:r>
      <w:r w:rsidRPr="00842B9B">
        <w:rPr>
          <w:lang w:val="pt-BR"/>
        </w:rPr>
        <w:t>·2+s)·5+</w:t>
      </w:r>
      <w:r>
        <w:t>τ</w:t>
      </w:r>
      <w:r w:rsidRPr="00842B9B">
        <w:rPr>
          <w:lang w:val="pt-BR"/>
        </w:rPr>
        <w:t>)·9+</w:t>
      </w:r>
      <w:r>
        <w:t>φ</w:t>
      </w:r>
      <w:r w:rsidRPr="00842B9B">
        <w:rPr>
          <w:lang w:val="pt-BR"/>
        </w:rPr>
        <w:t xml:space="preserve">). Ele também é </w:t>
      </w:r>
      <w:proofErr w:type="spellStart"/>
      <w:r w:rsidRPr="00842B9B">
        <w:rPr>
          <w:lang w:val="pt-BR"/>
        </w:rPr>
        <w:t>bijetivo</w:t>
      </w:r>
      <w:proofErr w:type="spellEnd"/>
      <w:r w:rsidRPr="00842B9B">
        <w:rPr>
          <w:lang w:val="pt-BR"/>
        </w:rPr>
        <w:t>, porém atribui índices diferentes aos mesmos estados. O protocolo deve carregar o identificador do layout; igualdade de cardinalidade não implica interoperabilidade binária.</w:t>
      </w:r>
    </w:p>
    <w:p w14:paraId="023A1956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4. Geometria discreta e estrutura espectral</w:t>
      </w:r>
    </w:p>
    <w:p w14:paraId="09EAAA86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A distância angular correta em </w:t>
      </w:r>
      <w:proofErr w:type="spellStart"/>
      <w:r w:rsidRPr="00842B9B">
        <w:rPr>
          <w:lang w:val="pt-BR"/>
        </w:rPr>
        <w:t>Z_n</w:t>
      </w:r>
      <w:proofErr w:type="spellEnd"/>
      <w:r w:rsidRPr="00842B9B">
        <w:rPr>
          <w:lang w:val="pt-BR"/>
        </w:rPr>
        <w:t xml:space="preserve"> é </w:t>
      </w:r>
      <w:r>
        <w:t>δ</w:t>
      </w:r>
      <w:r w:rsidRPr="00842B9B">
        <w:rPr>
          <w:lang w:val="pt-BR"/>
        </w:rPr>
        <w:t>_n(</w:t>
      </w:r>
      <w:proofErr w:type="spellStart"/>
      <w:r w:rsidRPr="00842B9B">
        <w:rPr>
          <w:lang w:val="pt-BR"/>
        </w:rPr>
        <w:t>x,y</w:t>
      </w:r>
      <w:proofErr w:type="spellEnd"/>
      <w:r w:rsidRPr="00842B9B">
        <w:rPr>
          <w:lang w:val="pt-BR"/>
        </w:rPr>
        <w:t>)=min(|</w:t>
      </w:r>
      <w:proofErr w:type="spellStart"/>
      <w:r w:rsidRPr="00842B9B">
        <w:rPr>
          <w:lang w:val="pt-BR"/>
        </w:rPr>
        <w:t>x-y|,n</w:t>
      </w:r>
      <w:proofErr w:type="spellEnd"/>
      <w:r w:rsidRPr="00842B9B">
        <w:rPr>
          <w:lang w:val="pt-BR"/>
        </w:rPr>
        <w:t xml:space="preserve">-|x-y|). Uma métrica de produto pode combinar versões normalizadas de </w:t>
      </w:r>
      <w:r>
        <w:t>δ</w:t>
      </w:r>
      <w:r w:rsidRPr="00842B9B">
        <w:rPr>
          <w:lang w:val="pt-BR"/>
        </w:rPr>
        <w:t xml:space="preserve">₃₆₀, </w:t>
      </w:r>
      <w:r>
        <w:t>δ</w:t>
      </w:r>
      <w:r w:rsidRPr="00842B9B">
        <w:rPr>
          <w:lang w:val="pt-BR"/>
        </w:rPr>
        <w:t xml:space="preserve">₂, </w:t>
      </w:r>
      <w:r>
        <w:t>δ</w:t>
      </w:r>
      <w:r w:rsidRPr="00842B9B">
        <w:rPr>
          <w:lang w:val="pt-BR"/>
        </w:rPr>
        <w:t xml:space="preserve">₅ e </w:t>
      </w:r>
      <w:r>
        <w:t>δ</w:t>
      </w:r>
      <w:r w:rsidRPr="00842B9B">
        <w:rPr>
          <w:lang w:val="pt-BR"/>
        </w:rPr>
        <w:t>₉ com pesos positivos declarados. Pesos são parâmetros de aplicação e não constantes universais.</w:t>
      </w:r>
    </w:p>
    <w:p w14:paraId="0A9C8597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Defina </w:t>
      </w:r>
      <w:r>
        <w:t>Γ</w:t>
      </w:r>
      <w:r w:rsidRPr="00842B9B">
        <w:rPr>
          <w:lang w:val="pt-BR"/>
        </w:rPr>
        <w:t xml:space="preserve">(G)=C₃₆₀ □ K₂ □ C₅ □ C₉, em que dois estados são adjacentes quando diferem por uma unidade modular em exatamente uma coordenada. </w:t>
      </w:r>
      <w:r>
        <w:t>Γ</w:t>
      </w:r>
      <w:r w:rsidRPr="00842B9B">
        <w:rPr>
          <w:lang w:val="pt-BR"/>
        </w:rPr>
        <w:t xml:space="preserve"> é conectado, 7-regular, possui 32.400 vértices, 113.400 arestas e diâmetro 187. Esses valores seguem das propriedades do produto cartesiano: graus 2+1+2+2, lema do aperto de mãos e soma dos diâmetros 180+1+2+4 [3].</w:t>
      </w:r>
    </w:p>
    <w:p w14:paraId="31BDB116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Para k=(k</w:t>
      </w:r>
      <w:r>
        <w:t>θ</w:t>
      </w:r>
      <w:r w:rsidRPr="00842B9B">
        <w:rPr>
          <w:lang w:val="pt-BR"/>
        </w:rPr>
        <w:t>,</w:t>
      </w:r>
      <w:proofErr w:type="spellStart"/>
      <w:r w:rsidRPr="00842B9B">
        <w:rPr>
          <w:lang w:val="pt-BR"/>
        </w:rPr>
        <w:t>ks,k</w:t>
      </w:r>
      <w:proofErr w:type="spellEnd"/>
      <w:r>
        <w:t>τ</w:t>
      </w:r>
      <w:r w:rsidRPr="00842B9B">
        <w:rPr>
          <w:lang w:val="pt-BR"/>
        </w:rPr>
        <w:t>,k</w:t>
      </w:r>
      <w:r>
        <w:t>φ</w:t>
      </w:r>
      <w:r w:rsidRPr="00842B9B">
        <w:rPr>
          <w:lang w:val="pt-BR"/>
        </w:rPr>
        <w:t xml:space="preserve">) no grupo dual, </w:t>
      </w:r>
      <w:r>
        <w:t>χ</w:t>
      </w:r>
      <w:r w:rsidRPr="00842B9B">
        <w:rPr>
          <w:lang w:val="pt-BR"/>
        </w:rPr>
        <w:t>_k(g)=</w:t>
      </w:r>
      <w:proofErr w:type="spellStart"/>
      <w:r w:rsidRPr="00842B9B">
        <w:rPr>
          <w:lang w:val="pt-BR"/>
        </w:rPr>
        <w:t>exp</w:t>
      </w:r>
      <w:proofErr w:type="spellEnd"/>
      <w:r w:rsidRPr="00842B9B">
        <w:rPr>
          <w:lang w:val="pt-BR"/>
        </w:rPr>
        <w:t>(2</w:t>
      </w:r>
      <w:r>
        <w:t>π</w:t>
      </w:r>
      <w:r w:rsidRPr="00842B9B">
        <w:rPr>
          <w:lang w:val="pt-BR"/>
        </w:rPr>
        <w:t>i[k</w:t>
      </w:r>
      <w:proofErr w:type="spellStart"/>
      <w:r>
        <w:t>θθ</w:t>
      </w:r>
      <w:proofErr w:type="spellEnd"/>
      <w:r w:rsidRPr="00842B9B">
        <w:rPr>
          <w:lang w:val="pt-BR"/>
        </w:rPr>
        <w:t>/360+kss/2+k</w:t>
      </w:r>
      <w:proofErr w:type="spellStart"/>
      <w:r>
        <w:t>ττ</w:t>
      </w:r>
      <w:proofErr w:type="spellEnd"/>
      <w:r w:rsidRPr="00842B9B">
        <w:rPr>
          <w:lang w:val="pt-BR"/>
        </w:rPr>
        <w:t>/5+k</w:t>
      </w:r>
      <w:proofErr w:type="spellStart"/>
      <w:r>
        <w:t>φφ</w:t>
      </w:r>
      <w:proofErr w:type="spellEnd"/>
      <w:r w:rsidRPr="00842B9B">
        <w:rPr>
          <w:lang w:val="pt-BR"/>
        </w:rPr>
        <w:t>/9]). Os caracteres formam uma base ortogonal para funções complexas em G [4]. Define-se f̂(k)=</w:t>
      </w:r>
      <w:r>
        <w:t>Σ</w:t>
      </w:r>
      <w:r w:rsidRPr="00842B9B">
        <w:rPr>
          <w:lang w:val="pt-BR"/>
        </w:rPr>
        <w:t>_g f(g)</w:t>
      </w:r>
      <w:proofErr w:type="spellStart"/>
      <w:r w:rsidRPr="00842B9B">
        <w:rPr>
          <w:lang w:val="pt-BR"/>
        </w:rPr>
        <w:t>overline</w:t>
      </w:r>
      <w:proofErr w:type="spellEnd"/>
      <w:r w:rsidRPr="00842B9B">
        <w:rPr>
          <w:lang w:val="pt-BR"/>
        </w:rPr>
        <w:t>{</w:t>
      </w:r>
      <w:r>
        <w:t>χ</w:t>
      </w:r>
      <w:r w:rsidRPr="00842B9B">
        <w:rPr>
          <w:lang w:val="pt-BR"/>
        </w:rPr>
        <w:t>_k(g)} e f(g)=|G|⁻¹</w:t>
      </w:r>
      <w:r>
        <w:t>Σ</w:t>
      </w:r>
      <w:r w:rsidRPr="00842B9B">
        <w:rPr>
          <w:lang w:val="pt-BR"/>
        </w:rPr>
        <w:t>_k f̂(k)</w:t>
      </w:r>
      <w:r>
        <w:t>χ</w:t>
      </w:r>
      <w:r w:rsidRPr="00842B9B">
        <w:rPr>
          <w:lang w:val="pt-BR"/>
        </w:rPr>
        <w:t>_k(g). Esta é uma transformada de Fourier em grupo finito, não uma afirmação física.</w:t>
      </w:r>
    </w:p>
    <w:p w14:paraId="553F6F43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lastRenderedPageBreak/>
        <w:t xml:space="preserve">A implementação separável foi testada por reconstrução IDFT e identidade de </w:t>
      </w:r>
      <w:proofErr w:type="spellStart"/>
      <w:r w:rsidRPr="00842B9B">
        <w:rPr>
          <w:lang w:val="pt-BR"/>
        </w:rPr>
        <w:t>Parseval</w:t>
      </w:r>
      <w:proofErr w:type="spellEnd"/>
      <w:r w:rsidRPr="00842B9B">
        <w:rPr>
          <w:lang w:val="pt-BR"/>
        </w:rPr>
        <w:t>. A hipótese operacional é rejeitada se, além da tolerância numérica declarada, a inversa não recuperar a entrada ou a energia espectral não coincidir com a energia no domínio de estados.</w:t>
      </w:r>
    </w:p>
    <w:p w14:paraId="7D9C4137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5. Refinamento, cromática e envelopes</w:t>
      </w:r>
    </w:p>
    <w:p w14:paraId="6E7EE00D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A família de refinamento </w:t>
      </w:r>
      <w:proofErr w:type="spellStart"/>
      <w:r w:rsidRPr="00842B9B">
        <w:rPr>
          <w:lang w:val="pt-BR"/>
        </w:rPr>
        <w:t>G_m</w:t>
      </w:r>
      <w:proofErr w:type="spellEnd"/>
      <w:r w:rsidRPr="00842B9B">
        <w:rPr>
          <w:lang w:val="pt-BR"/>
        </w:rPr>
        <w:t>=Z₃₆₀</w:t>
      </w:r>
      <w:proofErr w:type="spellStart"/>
      <w:r w:rsidRPr="00842B9B">
        <w:rPr>
          <w:lang w:val="pt-BR"/>
        </w:rPr>
        <w:t>m×Z</w:t>
      </w:r>
      <w:proofErr w:type="spellEnd"/>
      <w:r w:rsidRPr="00842B9B">
        <w:rPr>
          <w:lang w:val="pt-BR"/>
        </w:rPr>
        <w:t>₂×Z₅×Z₉ tem |</w:t>
      </w:r>
      <w:proofErr w:type="spellStart"/>
      <w:r w:rsidRPr="00842B9B">
        <w:rPr>
          <w:lang w:val="pt-BR"/>
        </w:rPr>
        <w:t>G_m</w:t>
      </w:r>
      <w:proofErr w:type="spellEnd"/>
      <w:r w:rsidRPr="00842B9B">
        <w:rPr>
          <w:lang w:val="pt-BR"/>
        </w:rPr>
        <w:t>|=32.400m. BASE usa m=1; MICRO usa m=1.000; NANO usa m=1.080.000. Portanto, as cardinalidades são 32.400, 32.400.000 e 34.992.000.000. Refinamento não cria por si só uma variedade contínua.</w:t>
      </w:r>
    </w:p>
    <w:p w14:paraId="14664358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Para cor, C_RGB=Z₂₅₆³ tem 16.777.216 triplas. Define-se C*={∅}⊔C_RGB, união disjunta que diferencia ausência cromática de preto (0,0,0). O espaço G</w:t>
      </w:r>
      <w:r>
        <w:t>χ</w:t>
      </w:r>
      <w:r w:rsidRPr="00842B9B">
        <w:rPr>
          <w:lang w:val="pt-BR"/>
        </w:rPr>
        <w:t>=G×C* possui 32.400·16.777.217=543.581.830.800 estados. O índice monolítico E</w:t>
      </w:r>
      <w:r>
        <w:t>χ</w:t>
      </w:r>
      <w:r w:rsidRPr="00842B9B">
        <w:rPr>
          <w:lang w:val="pt-BR"/>
        </w:rPr>
        <w:t>(</w:t>
      </w:r>
      <w:proofErr w:type="spellStart"/>
      <w:r w:rsidRPr="00842B9B">
        <w:rPr>
          <w:lang w:val="pt-BR"/>
        </w:rPr>
        <w:t>g,c</w:t>
      </w:r>
      <w:proofErr w:type="spellEnd"/>
      <w:r w:rsidRPr="00842B9B">
        <w:rPr>
          <w:lang w:val="pt-BR"/>
        </w:rPr>
        <w:t>)=E_D(g)|C*|+</w:t>
      </w:r>
      <w:r>
        <w:t>κ</w:t>
      </w:r>
      <w:r w:rsidRPr="00842B9B">
        <w:rPr>
          <w:lang w:val="pt-BR"/>
        </w:rPr>
        <w:t xml:space="preserve">(c) é </w:t>
      </w:r>
      <w:proofErr w:type="spellStart"/>
      <w:r w:rsidRPr="00842B9B">
        <w:rPr>
          <w:lang w:val="pt-BR"/>
        </w:rPr>
        <w:t>bijetivo</w:t>
      </w:r>
      <w:proofErr w:type="spellEnd"/>
      <w:r w:rsidRPr="00842B9B">
        <w:rPr>
          <w:lang w:val="pt-BR"/>
        </w:rPr>
        <w:t xml:space="preserve"> e requer 39 bits; um perfil alinhado com </w:t>
      </w:r>
      <w:proofErr w:type="spellStart"/>
      <w:r w:rsidRPr="00842B9B">
        <w:rPr>
          <w:lang w:val="pt-BR"/>
        </w:rPr>
        <w:t>presença+RGB</w:t>
      </w:r>
      <w:proofErr w:type="spellEnd"/>
      <w:r w:rsidRPr="00842B9B">
        <w:rPr>
          <w:lang w:val="pt-BR"/>
        </w:rPr>
        <w:t xml:space="preserve"> ocupa 40 bits.</w:t>
      </w:r>
    </w:p>
    <w:p w14:paraId="32323ABF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O EFQ-128 é um envelope, não o núcleo. O perfil canonical-v1 reserva o bit 87, usa direção nos bits 86–80 e RGB contíguo nos bits 79–56. O perfil attached-toolkit-legacy-v1 usa direção 87–81, RGB alto 80–65, deixa o bit 64 vazio e usa RGB baixo 63–56. Para </w:t>
      </w:r>
      <w:r>
        <w:t>θ</w:t>
      </w:r>
      <w:r w:rsidRPr="00842B9B">
        <w:rPr>
          <w:lang w:val="pt-BR"/>
        </w:rPr>
        <w:t xml:space="preserve">=12, micro=94, s=1, </w:t>
      </w:r>
      <w:r>
        <w:t>τ</w:t>
      </w:r>
      <w:r w:rsidRPr="00842B9B">
        <w:rPr>
          <w:lang w:val="pt-BR"/>
        </w:rPr>
        <w:t>=2, direção=2, RGB=FF0000 e extra=12, o canônico gera 80060bd00202ff00000000000c000000 e o legado gera 80060bd00205fe00000000000c000000. Esse vetor prova incompatibilidade binária.</w:t>
      </w:r>
    </w:p>
    <w:p w14:paraId="4C047891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O perfil Zeta implementado injeta 137.000 identificadores no par (micro,</w:t>
      </w:r>
      <w:r>
        <w:t>τ</w:t>
      </w:r>
      <w:r w:rsidRPr="00842B9B">
        <w:rPr>
          <w:lang w:val="pt-BR"/>
        </w:rPr>
        <w:t xml:space="preserve">_z) por micro=i </w:t>
      </w:r>
      <w:proofErr w:type="spellStart"/>
      <w:r w:rsidRPr="00842B9B">
        <w:rPr>
          <w:lang w:val="pt-BR"/>
        </w:rPr>
        <w:t>mod</w:t>
      </w:r>
      <w:proofErr w:type="spellEnd"/>
      <w:r w:rsidRPr="00842B9B">
        <w:rPr>
          <w:lang w:val="pt-BR"/>
        </w:rPr>
        <w:t xml:space="preserve"> 1000 e </w:t>
      </w:r>
      <w:r>
        <w:t>τ</w:t>
      </w:r>
      <w:r w:rsidRPr="00842B9B">
        <w:rPr>
          <w:lang w:val="pt-BR"/>
        </w:rPr>
        <w:t>_z=⌊i/1000⌋. Foram verificados 137.000 round-</w:t>
      </w:r>
      <w:proofErr w:type="spellStart"/>
      <w:r w:rsidRPr="00842B9B">
        <w:rPr>
          <w:lang w:val="pt-BR"/>
        </w:rPr>
        <w:t>trips</w:t>
      </w:r>
      <w:proofErr w:type="spellEnd"/>
      <w:r w:rsidRPr="00842B9B">
        <w:rPr>
          <w:lang w:val="pt-BR"/>
        </w:rPr>
        <w:t xml:space="preserve"> únicos. Isso prova a injeção do perfil atual, não compatibilidade com qualquer toolkit anterior que não contenha tabela ou vetor Zeta.</w:t>
      </w:r>
    </w:p>
    <w:p w14:paraId="629241F1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6. Perfis universais e dominância estrutural</w:t>
      </w:r>
    </w:p>
    <w:p w14:paraId="1FF8B0A4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O perfil base não cobre todo Unicode. A universalidade operacional exige H_RAW para bytes arbitrários e H_UNICODE para valores escalares não presentes na tabela. Para codificador I e decodificador D, a condição é D(I(x))=x para toda entrada admissível. Os testes incluíram bytes arbitrários e sequências Unicode com </w:t>
      </w:r>
      <w:proofErr w:type="spellStart"/>
      <w:r w:rsidRPr="00842B9B">
        <w:rPr>
          <w:lang w:val="pt-BR"/>
        </w:rPr>
        <w:t>fallback</w:t>
      </w:r>
      <w:proofErr w:type="spellEnd"/>
      <w:r w:rsidRPr="00842B9B">
        <w:rPr>
          <w:lang w:val="pt-BR"/>
        </w:rPr>
        <w:t>.</w:t>
      </w:r>
    </w:p>
    <w:p w14:paraId="229D413F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A expressão “dominância estrutural” é usada em sentido restrito: HVE incorpora </w:t>
      </w:r>
      <w:proofErr w:type="spellStart"/>
      <w:r w:rsidRPr="00842B9B">
        <w:rPr>
          <w:lang w:val="pt-BR"/>
        </w:rPr>
        <w:t>payload</w:t>
      </w:r>
      <w:proofErr w:type="spellEnd"/>
      <w:r w:rsidRPr="00842B9B">
        <w:rPr>
          <w:lang w:val="pt-BR"/>
        </w:rPr>
        <w:t xml:space="preserve"> binário e Unicode por perfis reversíveis e adiciona tipos, coordenadas, distância circular, grupo e operadores harmônicos. Não significa que o binário seja incapaz de serializar essas estruturas, nem que HVE seja menor ou mais rápido em todos os casos. O custo da camada interpretativa deve ser contado.</w:t>
      </w:r>
    </w:p>
    <w:p w14:paraId="05DCD42C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A alegação de extensão estrita é falsificada se existir entrada válida sem round-</w:t>
      </w:r>
      <w:proofErr w:type="spellStart"/>
      <w:r w:rsidRPr="00842B9B">
        <w:rPr>
          <w:lang w:val="pt-BR"/>
        </w:rPr>
        <w:t>trip</w:t>
      </w:r>
      <w:proofErr w:type="spellEnd"/>
      <w:r w:rsidRPr="00842B9B">
        <w:rPr>
          <w:lang w:val="pt-BR"/>
        </w:rPr>
        <w:t xml:space="preserve">, se os perfis não forem </w:t>
      </w:r>
      <w:proofErr w:type="spellStart"/>
      <w:r w:rsidRPr="00842B9B">
        <w:rPr>
          <w:lang w:val="pt-BR"/>
        </w:rPr>
        <w:t>autodescritivos</w:t>
      </w:r>
      <w:proofErr w:type="spellEnd"/>
      <w:r w:rsidRPr="00842B9B">
        <w:rPr>
          <w:lang w:val="pt-BR"/>
        </w:rPr>
        <w:t>, ou se alguma operação alegada não estiver definida sobre estados válidos. A alegação de compactação é separada e depende da distribuição dos dados.</w:t>
      </w:r>
    </w:p>
    <w:p w14:paraId="03C45E00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7. Métodos computacionais e reprodutibilidade</w:t>
      </w:r>
    </w:p>
    <w:p w14:paraId="1F56DA74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Foram auditadas duas bases. O repositório HVE-720-6480 contém o codec 4D, tabela, contêiner, HVE-128, linguagem/VM, testes e documentação. O repositório encode-HVE-CP agrega o manuscrito matemático, a referência C/HDL e os pacotes experimentais embarcados. O </w:t>
      </w:r>
      <w:proofErr w:type="spellStart"/>
      <w:r w:rsidRPr="00842B9B">
        <w:rPr>
          <w:lang w:val="pt-BR"/>
        </w:rPr>
        <w:t>Engine</w:t>
      </w:r>
      <w:proofErr w:type="spellEnd"/>
      <w:r w:rsidRPr="00842B9B">
        <w:rPr>
          <w:lang w:val="pt-BR"/>
        </w:rPr>
        <w:t xml:space="preserve"> 1.3 consolida perfis e conversores sem apagar os formatos históricos.</w:t>
      </w:r>
    </w:p>
    <w:p w14:paraId="62074D4F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A verificação foi classificada em quatro níveis: (a) prova matemática; (b) enumeração exaustiva de domínio finito; (c) testes aleatórios determinísticos com semente registrada; e (d) benchmark empírico. Resultados de (c) e (d) não são promovidos a teoremas.</w:t>
      </w:r>
    </w:p>
    <w:p w14:paraId="4D2DC03E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O núcleo foi enumerado nos dois layouts: 32.400/32.400 round-</w:t>
      </w:r>
      <w:proofErr w:type="spellStart"/>
      <w:r w:rsidRPr="00842B9B">
        <w:rPr>
          <w:lang w:val="pt-BR"/>
        </w:rPr>
        <w:t>trips</w:t>
      </w:r>
      <w:proofErr w:type="spellEnd"/>
      <w:r w:rsidRPr="00842B9B">
        <w:rPr>
          <w:lang w:val="pt-BR"/>
        </w:rPr>
        <w:t xml:space="preserve"> em cada um. Todos os 368 valores de 15 bits fora do intervalo 0…32.399 foram rejeitados. A tabela HVE-6480+</w:t>
      </w:r>
      <w:r>
        <w:t>τ</w:t>
      </w:r>
      <w:r w:rsidRPr="00842B9B">
        <w:rPr>
          <w:lang w:val="pt-BR"/>
        </w:rPr>
        <w:t xml:space="preserve"> apresentou 32.400 linhas únicas e correspondência integral com E_D. Uma tabela legada de 18.000 estados foi migrada </w:t>
      </w:r>
      <w:proofErr w:type="spellStart"/>
      <w:r w:rsidRPr="00842B9B">
        <w:rPr>
          <w:lang w:val="pt-BR"/>
        </w:rPr>
        <w:t>injetivamente</w:t>
      </w:r>
      <w:proofErr w:type="spellEnd"/>
      <w:r w:rsidRPr="00842B9B">
        <w:rPr>
          <w:lang w:val="pt-BR"/>
        </w:rPr>
        <w:t xml:space="preserve">. O </w:t>
      </w:r>
      <w:proofErr w:type="spellStart"/>
      <w:r w:rsidRPr="00842B9B">
        <w:rPr>
          <w:lang w:val="pt-BR"/>
        </w:rPr>
        <w:lastRenderedPageBreak/>
        <w:t>transcodificador</w:t>
      </w:r>
      <w:proofErr w:type="spellEnd"/>
      <w:r w:rsidRPr="00842B9B">
        <w:rPr>
          <w:lang w:val="pt-BR"/>
        </w:rPr>
        <w:t xml:space="preserve"> EFQ-128 passou 100.000 casos válidos aleatórios; as fórmulas de extração SQL foram verificadas em 200.000 amostras. A referência C11 compilou com avisos estritos tratados como erro e passou sua suíte.</w:t>
      </w:r>
    </w:p>
    <w:p w14:paraId="6F34DD9E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Limites do ambiente: </w:t>
      </w:r>
      <w:proofErr w:type="spellStart"/>
      <w:r w:rsidRPr="00842B9B">
        <w:rPr>
          <w:lang w:val="pt-BR"/>
        </w:rPr>
        <w:t>pytest</w:t>
      </w:r>
      <w:proofErr w:type="spellEnd"/>
      <w:r w:rsidRPr="00842B9B">
        <w:rPr>
          <w:lang w:val="pt-BR"/>
        </w:rPr>
        <w:t xml:space="preserve"> não estava disponível, de modo que os arquivos </w:t>
      </w:r>
      <w:proofErr w:type="spellStart"/>
      <w:r w:rsidRPr="00842B9B">
        <w:rPr>
          <w:lang w:val="pt-BR"/>
        </w:rPr>
        <w:t>pytest</w:t>
      </w:r>
      <w:proofErr w:type="spellEnd"/>
      <w:r w:rsidRPr="00842B9B">
        <w:rPr>
          <w:lang w:val="pt-BR"/>
        </w:rPr>
        <w:t xml:space="preserve"> foram compilados, mas a execução principal utilizou autotestes sem dependências e a suíte C. O SQL foi auditado e testado por fórmulas de extração, mas não executado em servidor PostgreSQL. Nenhum alvo físico embarcado nem modelo de aprendizado treinado foi usado nesta avaliação.</w:t>
      </w:r>
    </w:p>
    <w:p w14:paraId="5A26E118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8. Resultados de armazenamento</w:t>
      </w:r>
    </w:p>
    <w:p w14:paraId="209648BC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Quatro comparadores foram separados: UTF-8; Binary21 fixo por valor escalar; LAB-720 de 10 bits no domínio coberto; e HVE-4D de 15 bits, com perfil híbrido quando necessário. Isso impede que a expansão estrutural de 32.400 estados seja confundida com um alfabeto de 32.400 caracteres.</w:t>
      </w:r>
    </w:p>
    <w:p w14:paraId="4071272B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Na codificação por caractere, UTF-8 venceu os corpora ASCII, português e multilíngue avaliados. No domínio canônico LAB-720, o empacotamento de 10 bits foi 21,77% menor que UTF-8 para a amostra empregada. Em um ensaio tokenizado com treino e teste separados, o </w:t>
      </w:r>
      <w:proofErr w:type="spellStart"/>
      <w:r w:rsidRPr="00842B9B">
        <w:rPr>
          <w:lang w:val="pt-BR"/>
        </w:rPr>
        <w:t>payload</w:t>
      </w:r>
      <w:proofErr w:type="spellEnd"/>
      <w:r w:rsidRPr="00842B9B">
        <w:rPr>
          <w:lang w:val="pt-BR"/>
        </w:rPr>
        <w:t xml:space="preserve"> HVE do trecho de teste foi 26,12% menor que UTF-8. O vocabulário ocupou 3.105 bytes, deslocando o ponto de equilíbrio para 11.408 caracteres avaliados.</w:t>
      </w:r>
    </w:p>
    <w:p w14:paraId="4FF8726A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Esses números não provam vantagem geral. A hipótese empírica correta é: para corpora gerados pela mesma distribuição e protocolo, o perfil tokenizado alcança redução positiva após contabilizar vocabulário e </w:t>
      </w:r>
      <w:proofErr w:type="spellStart"/>
      <w:r w:rsidRPr="00842B9B">
        <w:rPr>
          <w:lang w:val="pt-BR"/>
        </w:rPr>
        <w:t>framing</w:t>
      </w:r>
      <w:proofErr w:type="spellEnd"/>
      <w:r w:rsidRPr="00842B9B">
        <w:rPr>
          <w:lang w:val="pt-BR"/>
        </w:rPr>
        <w:t>. Ela é rejeitada quando a redução média ou seu intervalo de confiança inclui desempenho não superior, ou quando o ponto de equilíbrio excede o tamanho operacional do corpus.</w:t>
      </w:r>
    </w:p>
    <w:p w14:paraId="094A2587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9. Matriz de falsificação</w:t>
      </w:r>
    </w:p>
    <w:p w14:paraId="7C8E576C" w14:textId="77777777" w:rsidR="00D85371" w:rsidRDefault="004F2E45">
      <w:pPr>
        <w:jc w:val="both"/>
        <w:rPr>
          <w:lang w:val="pt-BR"/>
        </w:rPr>
      </w:pPr>
      <w:r w:rsidRPr="00842B9B">
        <w:rPr>
          <w:lang w:val="pt-BR"/>
        </w:rPr>
        <w:t>O projeto é científico somente se seus enunciados puderem falhar. A Tabela 1 associa cada afirmação a um observável e a uma condição de rejeição.</w:t>
      </w:r>
    </w:p>
    <w:p w14:paraId="1E46B99C" w14:textId="77777777" w:rsidR="00DC6C2F" w:rsidRPr="00842B9B" w:rsidRDefault="00DC6C2F">
      <w:pPr>
        <w:jc w:val="both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3300"/>
        <w:gridCol w:w="3260"/>
      </w:tblGrid>
      <w:tr w:rsidR="00D85371" w14:paraId="54D3A514" w14:textId="77777777">
        <w:trPr>
          <w:tblHeader/>
          <w:jc w:val="center"/>
        </w:trPr>
        <w:tc>
          <w:tcPr>
            <w:tcW w:w="2800" w:type="dxa"/>
            <w:shd w:val="clear" w:color="auto" w:fill="D9E5F2"/>
          </w:tcPr>
          <w:p w14:paraId="7BBCD0F4" w14:textId="77777777" w:rsidR="00D85371" w:rsidRDefault="004F2E45">
            <w:proofErr w:type="spellStart"/>
            <w:r>
              <w:rPr>
                <w:b/>
                <w:sz w:val="17"/>
              </w:rPr>
              <w:t>Afirmação</w:t>
            </w:r>
            <w:proofErr w:type="spellEnd"/>
          </w:p>
        </w:tc>
        <w:tc>
          <w:tcPr>
            <w:tcW w:w="3300" w:type="dxa"/>
            <w:shd w:val="clear" w:color="auto" w:fill="D9E5F2"/>
          </w:tcPr>
          <w:p w14:paraId="15A91143" w14:textId="77777777" w:rsidR="00D85371" w:rsidRDefault="004F2E45">
            <w:proofErr w:type="spellStart"/>
            <w:r>
              <w:rPr>
                <w:b/>
                <w:sz w:val="17"/>
              </w:rPr>
              <w:t>Observável</w:t>
            </w:r>
            <w:proofErr w:type="spellEnd"/>
          </w:p>
        </w:tc>
        <w:tc>
          <w:tcPr>
            <w:tcW w:w="3260" w:type="dxa"/>
            <w:shd w:val="clear" w:color="auto" w:fill="D9E5F2"/>
          </w:tcPr>
          <w:p w14:paraId="1207EB1E" w14:textId="77777777" w:rsidR="00D85371" w:rsidRDefault="004F2E45">
            <w:proofErr w:type="spellStart"/>
            <w:r>
              <w:rPr>
                <w:b/>
                <w:sz w:val="17"/>
              </w:rPr>
              <w:t>Rejeição</w:t>
            </w:r>
            <w:proofErr w:type="spellEnd"/>
          </w:p>
        </w:tc>
      </w:tr>
      <w:tr w:rsidR="00D85371" w:rsidRPr="00DC6C2F" w14:paraId="2BC8E01F" w14:textId="77777777">
        <w:trPr>
          <w:jc w:val="center"/>
        </w:trPr>
        <w:tc>
          <w:tcPr>
            <w:tcW w:w="2800" w:type="dxa"/>
            <w:vAlign w:val="center"/>
          </w:tcPr>
          <w:p w14:paraId="5670DF88" w14:textId="77777777" w:rsidR="00D85371" w:rsidRDefault="004F2E45">
            <w:pPr>
              <w:spacing w:after="40"/>
            </w:pPr>
            <w:proofErr w:type="spellStart"/>
            <w:r>
              <w:rPr>
                <w:sz w:val="16"/>
              </w:rPr>
              <w:t>Bijeção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núcleo</w:t>
            </w:r>
            <w:proofErr w:type="spellEnd"/>
          </w:p>
        </w:tc>
        <w:tc>
          <w:tcPr>
            <w:tcW w:w="3300" w:type="dxa"/>
            <w:vAlign w:val="center"/>
          </w:tcPr>
          <w:p w14:paraId="433C5A7E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>D(E(g))=g e 32.400 índices únicos</w:t>
            </w:r>
          </w:p>
        </w:tc>
        <w:tc>
          <w:tcPr>
            <w:tcW w:w="3260" w:type="dxa"/>
            <w:vAlign w:val="center"/>
          </w:tcPr>
          <w:p w14:paraId="7D6877CD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>Uma colisão ou round-</w:t>
            </w:r>
            <w:proofErr w:type="spellStart"/>
            <w:r w:rsidRPr="00842B9B">
              <w:rPr>
                <w:sz w:val="16"/>
                <w:lang w:val="pt-BR"/>
              </w:rPr>
              <w:t>trip</w:t>
            </w:r>
            <w:proofErr w:type="spellEnd"/>
            <w:r w:rsidRPr="00842B9B">
              <w:rPr>
                <w:sz w:val="16"/>
                <w:lang w:val="pt-BR"/>
              </w:rPr>
              <w:t xml:space="preserve"> falho</w:t>
            </w:r>
          </w:p>
        </w:tc>
      </w:tr>
      <w:tr w:rsidR="00D85371" w:rsidRPr="00DC6C2F" w14:paraId="022AE70A" w14:textId="77777777">
        <w:trPr>
          <w:jc w:val="center"/>
        </w:trPr>
        <w:tc>
          <w:tcPr>
            <w:tcW w:w="2800" w:type="dxa"/>
            <w:vAlign w:val="center"/>
          </w:tcPr>
          <w:p w14:paraId="544AC76C" w14:textId="77777777" w:rsidR="00D85371" w:rsidRDefault="004F2E45">
            <w:pPr>
              <w:spacing w:after="40"/>
            </w:pPr>
            <w:proofErr w:type="spellStart"/>
            <w:r>
              <w:rPr>
                <w:sz w:val="16"/>
              </w:rPr>
              <w:t>Interoperabilidade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canônica</w:t>
            </w:r>
            <w:proofErr w:type="spellEnd"/>
          </w:p>
        </w:tc>
        <w:tc>
          <w:tcPr>
            <w:tcW w:w="3300" w:type="dxa"/>
            <w:vAlign w:val="center"/>
          </w:tcPr>
          <w:p w14:paraId="53D162FC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>Vetores dourados idênticos entre implementações</w:t>
            </w:r>
          </w:p>
        </w:tc>
        <w:tc>
          <w:tcPr>
            <w:tcW w:w="3260" w:type="dxa"/>
            <w:vAlign w:val="center"/>
          </w:tcPr>
          <w:p w14:paraId="22CF34D7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>Um vetor divergente sob o mesmo perfil</w:t>
            </w:r>
          </w:p>
        </w:tc>
      </w:tr>
      <w:tr w:rsidR="00D85371" w:rsidRPr="00DC6C2F" w14:paraId="72068522" w14:textId="77777777">
        <w:trPr>
          <w:jc w:val="center"/>
        </w:trPr>
        <w:tc>
          <w:tcPr>
            <w:tcW w:w="2800" w:type="dxa"/>
            <w:vAlign w:val="center"/>
          </w:tcPr>
          <w:p w14:paraId="42EE1052" w14:textId="77777777" w:rsidR="00D85371" w:rsidRDefault="004F2E45">
            <w:pPr>
              <w:spacing w:after="40"/>
            </w:pPr>
            <w:proofErr w:type="spellStart"/>
            <w:r>
              <w:rPr>
                <w:sz w:val="16"/>
              </w:rPr>
              <w:t>Rejeição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inválidos</w:t>
            </w:r>
            <w:proofErr w:type="spellEnd"/>
          </w:p>
        </w:tc>
        <w:tc>
          <w:tcPr>
            <w:tcW w:w="3300" w:type="dxa"/>
            <w:vAlign w:val="center"/>
          </w:tcPr>
          <w:p w14:paraId="41F501A4" w14:textId="77777777" w:rsidR="00D85371" w:rsidRDefault="004F2E45">
            <w:pPr>
              <w:spacing w:after="40"/>
            </w:pPr>
            <w:r>
              <w:rPr>
                <w:sz w:val="16"/>
              </w:rPr>
              <w:t xml:space="preserve">368 </w:t>
            </w:r>
            <w:proofErr w:type="spellStart"/>
            <w:r>
              <w:rPr>
                <w:sz w:val="16"/>
              </w:rPr>
              <w:t>palavras</w:t>
            </w:r>
            <w:proofErr w:type="spellEnd"/>
            <w:r>
              <w:rPr>
                <w:sz w:val="16"/>
              </w:rPr>
              <w:t xml:space="preserve"> 15-bit </w:t>
            </w:r>
            <w:proofErr w:type="spellStart"/>
            <w:r>
              <w:rPr>
                <w:sz w:val="16"/>
              </w:rPr>
              <w:t>recusadas</w:t>
            </w:r>
            <w:proofErr w:type="spellEnd"/>
          </w:p>
        </w:tc>
        <w:tc>
          <w:tcPr>
            <w:tcW w:w="3260" w:type="dxa"/>
            <w:vAlign w:val="center"/>
          </w:tcPr>
          <w:p w14:paraId="6F4CD7FA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>Aceitação silenciosa de qualquer palavra reservada</w:t>
            </w:r>
          </w:p>
        </w:tc>
      </w:tr>
      <w:tr w:rsidR="00D85371" w:rsidRPr="00DC6C2F" w14:paraId="2DB6D618" w14:textId="77777777">
        <w:trPr>
          <w:jc w:val="center"/>
        </w:trPr>
        <w:tc>
          <w:tcPr>
            <w:tcW w:w="2800" w:type="dxa"/>
            <w:vAlign w:val="center"/>
          </w:tcPr>
          <w:p w14:paraId="7F2E582B" w14:textId="77777777" w:rsidR="00D85371" w:rsidRDefault="004F2E45">
            <w:pPr>
              <w:spacing w:after="40"/>
            </w:pPr>
            <w:proofErr w:type="spellStart"/>
            <w:r>
              <w:rPr>
                <w:sz w:val="16"/>
              </w:rPr>
              <w:t>Harmonicidade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computacional</w:t>
            </w:r>
            <w:proofErr w:type="spellEnd"/>
          </w:p>
        </w:tc>
        <w:tc>
          <w:tcPr>
            <w:tcW w:w="3300" w:type="dxa"/>
            <w:vAlign w:val="center"/>
          </w:tcPr>
          <w:p w14:paraId="2FF95C56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 xml:space="preserve">IDFT(DFT(f))≈f e </w:t>
            </w:r>
            <w:proofErr w:type="spellStart"/>
            <w:r w:rsidRPr="00842B9B">
              <w:rPr>
                <w:sz w:val="16"/>
                <w:lang w:val="pt-BR"/>
              </w:rPr>
              <w:t>Parseval</w:t>
            </w:r>
            <w:proofErr w:type="spellEnd"/>
          </w:p>
        </w:tc>
        <w:tc>
          <w:tcPr>
            <w:tcW w:w="3260" w:type="dxa"/>
            <w:vAlign w:val="center"/>
          </w:tcPr>
          <w:p w14:paraId="0C582CAE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>Erro além da tolerância declarada</w:t>
            </w:r>
          </w:p>
        </w:tc>
      </w:tr>
      <w:tr w:rsidR="00D85371" w:rsidRPr="00DC6C2F" w14:paraId="5D97F4F4" w14:textId="77777777">
        <w:trPr>
          <w:jc w:val="center"/>
        </w:trPr>
        <w:tc>
          <w:tcPr>
            <w:tcW w:w="2800" w:type="dxa"/>
            <w:vAlign w:val="center"/>
          </w:tcPr>
          <w:p w14:paraId="5A402A1D" w14:textId="77777777" w:rsidR="00D85371" w:rsidRDefault="004F2E45">
            <w:pPr>
              <w:spacing w:after="40"/>
            </w:pPr>
            <w:proofErr w:type="spellStart"/>
            <w:r>
              <w:rPr>
                <w:sz w:val="16"/>
              </w:rPr>
              <w:t>Universalidade</w:t>
            </w:r>
            <w:proofErr w:type="spellEnd"/>
            <w:r>
              <w:rPr>
                <w:sz w:val="16"/>
              </w:rPr>
              <w:t xml:space="preserve"> do fallback</w:t>
            </w:r>
          </w:p>
        </w:tc>
        <w:tc>
          <w:tcPr>
            <w:tcW w:w="3300" w:type="dxa"/>
            <w:vAlign w:val="center"/>
          </w:tcPr>
          <w:p w14:paraId="6A9C7ABE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>Round-</w:t>
            </w:r>
            <w:proofErr w:type="spellStart"/>
            <w:r w:rsidRPr="00842B9B">
              <w:rPr>
                <w:sz w:val="16"/>
                <w:lang w:val="pt-BR"/>
              </w:rPr>
              <w:t>trip</w:t>
            </w:r>
            <w:proofErr w:type="spellEnd"/>
            <w:r w:rsidRPr="00842B9B">
              <w:rPr>
                <w:sz w:val="16"/>
                <w:lang w:val="pt-BR"/>
              </w:rPr>
              <w:t xml:space="preserve"> de bytes e escalares válidos</w:t>
            </w:r>
          </w:p>
        </w:tc>
        <w:tc>
          <w:tcPr>
            <w:tcW w:w="3260" w:type="dxa"/>
            <w:vAlign w:val="center"/>
          </w:tcPr>
          <w:p w14:paraId="101DAD8F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>Qualquer perda, substituição ou ambiguidade</w:t>
            </w:r>
          </w:p>
        </w:tc>
      </w:tr>
      <w:tr w:rsidR="00D85371" w:rsidRPr="00DC6C2F" w14:paraId="076C32C1" w14:textId="77777777">
        <w:trPr>
          <w:jc w:val="center"/>
        </w:trPr>
        <w:tc>
          <w:tcPr>
            <w:tcW w:w="2800" w:type="dxa"/>
            <w:vAlign w:val="center"/>
          </w:tcPr>
          <w:p w14:paraId="299D22B6" w14:textId="77777777" w:rsidR="00D85371" w:rsidRDefault="004F2E45">
            <w:pPr>
              <w:spacing w:after="40"/>
            </w:pPr>
            <w:proofErr w:type="spellStart"/>
            <w:r>
              <w:rPr>
                <w:sz w:val="16"/>
              </w:rPr>
              <w:t>Vantagem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compactação</w:t>
            </w:r>
            <w:proofErr w:type="spellEnd"/>
          </w:p>
        </w:tc>
        <w:tc>
          <w:tcPr>
            <w:tcW w:w="3300" w:type="dxa"/>
            <w:vAlign w:val="center"/>
          </w:tcPr>
          <w:p w14:paraId="0C497371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 xml:space="preserve">Bytes totais incluindo vocabulário e </w:t>
            </w:r>
            <w:proofErr w:type="spellStart"/>
            <w:r w:rsidRPr="00842B9B">
              <w:rPr>
                <w:sz w:val="16"/>
                <w:lang w:val="pt-BR"/>
              </w:rPr>
              <w:t>framing</w:t>
            </w:r>
            <w:proofErr w:type="spellEnd"/>
          </w:p>
        </w:tc>
        <w:tc>
          <w:tcPr>
            <w:tcW w:w="3260" w:type="dxa"/>
            <w:vAlign w:val="center"/>
          </w:tcPr>
          <w:p w14:paraId="78DE68ED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 xml:space="preserve">Resultado não superior no corpus </w:t>
            </w:r>
            <w:proofErr w:type="spellStart"/>
            <w:r w:rsidRPr="00842B9B">
              <w:rPr>
                <w:sz w:val="16"/>
                <w:lang w:val="pt-BR"/>
              </w:rPr>
              <w:t>pré</w:t>
            </w:r>
            <w:proofErr w:type="spellEnd"/>
            <w:r w:rsidRPr="00842B9B">
              <w:rPr>
                <w:sz w:val="16"/>
                <w:lang w:val="pt-BR"/>
              </w:rPr>
              <w:t>-registrado</w:t>
            </w:r>
          </w:p>
        </w:tc>
      </w:tr>
      <w:tr w:rsidR="00D85371" w14:paraId="5CEB5423" w14:textId="77777777">
        <w:trPr>
          <w:jc w:val="center"/>
        </w:trPr>
        <w:tc>
          <w:tcPr>
            <w:tcW w:w="2800" w:type="dxa"/>
            <w:vAlign w:val="center"/>
          </w:tcPr>
          <w:p w14:paraId="5CE3C3E5" w14:textId="77777777" w:rsidR="00D85371" w:rsidRDefault="004F2E45">
            <w:pPr>
              <w:spacing w:after="40"/>
            </w:pPr>
            <w:proofErr w:type="spellStart"/>
            <w:r>
              <w:rPr>
                <w:sz w:val="16"/>
              </w:rPr>
              <w:t>Utilidade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semântica</w:t>
            </w:r>
            <w:proofErr w:type="spellEnd"/>
          </w:p>
        </w:tc>
        <w:tc>
          <w:tcPr>
            <w:tcW w:w="3300" w:type="dxa"/>
            <w:vAlign w:val="center"/>
          </w:tcPr>
          <w:p w14:paraId="28DF015C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>Desempenho em teste cego contra baselines</w:t>
            </w:r>
          </w:p>
        </w:tc>
        <w:tc>
          <w:tcPr>
            <w:tcW w:w="3260" w:type="dxa"/>
            <w:vAlign w:val="center"/>
          </w:tcPr>
          <w:p w14:paraId="0E43DFBF" w14:textId="77777777" w:rsidR="00D85371" w:rsidRDefault="004F2E45">
            <w:pPr>
              <w:spacing w:after="40"/>
            </w:pPr>
            <w:proofErr w:type="spellStart"/>
            <w:r>
              <w:rPr>
                <w:sz w:val="16"/>
              </w:rPr>
              <w:t>Ausência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ganho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reproduzível</w:t>
            </w:r>
            <w:proofErr w:type="spellEnd"/>
          </w:p>
        </w:tc>
      </w:tr>
      <w:tr w:rsidR="00D85371" w:rsidRPr="00DC6C2F" w14:paraId="75ADF9A3" w14:textId="77777777">
        <w:trPr>
          <w:jc w:val="center"/>
        </w:trPr>
        <w:tc>
          <w:tcPr>
            <w:tcW w:w="2800" w:type="dxa"/>
            <w:vAlign w:val="center"/>
          </w:tcPr>
          <w:p w14:paraId="4B07B3EE" w14:textId="77777777" w:rsidR="00D85371" w:rsidRDefault="004F2E45">
            <w:pPr>
              <w:spacing w:after="40"/>
            </w:pPr>
            <w:proofErr w:type="spellStart"/>
            <w:r>
              <w:rPr>
                <w:sz w:val="16"/>
              </w:rPr>
              <w:t>Compatibilidade</w:t>
            </w:r>
            <w:proofErr w:type="spellEnd"/>
            <w:r>
              <w:rPr>
                <w:sz w:val="16"/>
              </w:rPr>
              <w:t xml:space="preserve"> EFQ-128</w:t>
            </w:r>
          </w:p>
        </w:tc>
        <w:tc>
          <w:tcPr>
            <w:tcW w:w="3300" w:type="dxa"/>
            <w:vAlign w:val="center"/>
          </w:tcPr>
          <w:p w14:paraId="018E9CEA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>Mesmo hexadecimal para mesmo perfil</w:t>
            </w:r>
          </w:p>
        </w:tc>
        <w:tc>
          <w:tcPr>
            <w:tcW w:w="3260" w:type="dxa"/>
            <w:vAlign w:val="center"/>
          </w:tcPr>
          <w:p w14:paraId="57265C40" w14:textId="77777777" w:rsidR="00D85371" w:rsidRPr="00842B9B" w:rsidRDefault="004F2E45">
            <w:pPr>
              <w:spacing w:after="40"/>
              <w:rPr>
                <w:lang w:val="pt-BR"/>
              </w:rPr>
            </w:pPr>
            <w:r w:rsidRPr="00842B9B">
              <w:rPr>
                <w:sz w:val="16"/>
                <w:lang w:val="pt-BR"/>
              </w:rPr>
              <w:t>Diferença de um bit sem migração declarada</w:t>
            </w:r>
          </w:p>
        </w:tc>
      </w:tr>
    </w:tbl>
    <w:p w14:paraId="575E702A" w14:textId="77777777" w:rsidR="00DC6C2F" w:rsidRDefault="00DC6C2F">
      <w:pPr>
        <w:rPr>
          <w:lang w:val="pt-BR"/>
        </w:rPr>
      </w:pPr>
    </w:p>
    <w:p w14:paraId="2E4EC738" w14:textId="1A4B573D" w:rsidR="00D85371" w:rsidRPr="00842B9B" w:rsidRDefault="004F2E45">
      <w:pPr>
        <w:rPr>
          <w:lang w:val="pt-BR"/>
        </w:rPr>
      </w:pPr>
      <w:r w:rsidRPr="00842B9B">
        <w:rPr>
          <w:lang w:val="pt-BR"/>
        </w:rPr>
        <w:t>Tabela 1.</w:t>
      </w:r>
      <w:r w:rsidRPr="00842B9B">
        <w:rPr>
          <w:i/>
          <w:lang w:val="pt-BR"/>
        </w:rPr>
        <w:t xml:space="preserve"> Critérios de falsificação das afirmações principais.</w:t>
      </w:r>
    </w:p>
    <w:p w14:paraId="1F3D837E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10. Discussão</w:t>
      </w:r>
    </w:p>
    <w:p w14:paraId="15EA2B94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O resultado mais forte é a separação entre estrutura e desempenho. A bijeção, a cardinalidade e os invariantes do grafo são dedutivos. A conformidade da implementação é exaustivamente verificável. Compactação, velocidade, robustez e utilidade semântica são empíricas e dependem do domínio.</w:t>
      </w:r>
    </w:p>
    <w:p w14:paraId="53968616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lastRenderedPageBreak/>
        <w:t xml:space="preserve">HVE não é “mais universal que o binário”; o binário é o substrato de serialização. HVE também não substitui automaticamente Unicode. Sua contribuição é oferecer um protocolo </w:t>
      </w:r>
      <w:proofErr w:type="spellStart"/>
      <w:r w:rsidRPr="00842B9B">
        <w:rPr>
          <w:lang w:val="pt-BR"/>
        </w:rPr>
        <w:t>tipado</w:t>
      </w:r>
      <w:proofErr w:type="spellEnd"/>
      <w:r w:rsidRPr="00842B9B">
        <w:rPr>
          <w:lang w:val="pt-BR"/>
        </w:rPr>
        <w:t xml:space="preserve"> em que relações e operadores são nativos à especificação, enquanto UTF-8 permanece referência de interoperabilidade textual.</w:t>
      </w:r>
    </w:p>
    <w:p w14:paraId="50A2D21B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O espaço cromático de 543,58 bilhões de estados mede combinações distinguíveis, não capacidade semântica, compressão nem inteligência. Do mesmo modo, um token de 128 bits pode ter campos reservados ou inválidos; por isso, 2¹²⁸ não deve ser anunciado como cardinalidade semântica.</w:t>
      </w:r>
    </w:p>
    <w:p w14:paraId="11634707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A coexistência de layouts históricos revelou uma regra geral: nenhuma fórmula deve ser chamada canônica apenas porque é </w:t>
      </w:r>
      <w:proofErr w:type="spellStart"/>
      <w:r w:rsidRPr="00842B9B">
        <w:rPr>
          <w:lang w:val="pt-BR"/>
        </w:rPr>
        <w:t>bijetiva</w:t>
      </w:r>
      <w:proofErr w:type="spellEnd"/>
      <w:r w:rsidRPr="00842B9B">
        <w:rPr>
          <w:lang w:val="pt-BR"/>
        </w:rPr>
        <w:t xml:space="preserve">. </w:t>
      </w:r>
      <w:proofErr w:type="spellStart"/>
      <w:r w:rsidRPr="00842B9B">
        <w:rPr>
          <w:lang w:val="pt-BR"/>
        </w:rPr>
        <w:t>Canonicalidade</w:t>
      </w:r>
      <w:proofErr w:type="spellEnd"/>
      <w:r w:rsidRPr="00842B9B">
        <w:rPr>
          <w:lang w:val="pt-BR"/>
        </w:rPr>
        <w:t xml:space="preserve"> é uma propriedade protocolar: exige identificador de versão, vetores dourados, ordem de bits, </w:t>
      </w:r>
      <w:proofErr w:type="spellStart"/>
      <w:r w:rsidRPr="00842B9B">
        <w:rPr>
          <w:lang w:val="pt-BR"/>
        </w:rPr>
        <w:t>endianness</w:t>
      </w:r>
      <w:proofErr w:type="spellEnd"/>
      <w:r w:rsidRPr="00842B9B">
        <w:rPr>
          <w:lang w:val="pt-BR"/>
        </w:rPr>
        <w:t xml:space="preserve"> e política de rejeição.</w:t>
      </w:r>
    </w:p>
    <w:p w14:paraId="28A89CA1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11. Limitações e trabalho futuro</w:t>
      </w:r>
    </w:p>
    <w:p w14:paraId="678D9218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A tabela visível cobre somente parte do Unicode; as categorias angulares são construídas; </w:t>
      </w:r>
      <w:r>
        <w:t>τ</w:t>
      </w:r>
      <w:r w:rsidRPr="00842B9B">
        <w:rPr>
          <w:lang w:val="pt-BR"/>
        </w:rPr>
        <w:t xml:space="preserve"> e </w:t>
      </w:r>
      <w:r>
        <w:t>φ</w:t>
      </w:r>
      <w:r w:rsidRPr="00842B9B">
        <w:rPr>
          <w:lang w:val="pt-BR"/>
        </w:rPr>
        <w:t xml:space="preserve"> exigem ontologia de aplicação; 15 bits não se alinham naturalmente a octetos; RGB não é métrica perceptual; e o perfil episódico usa heurísticas, não validação psicológica.</w:t>
      </w:r>
    </w:p>
    <w:p w14:paraId="3D2A991B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Trabalho futuro deve executar a suíte </w:t>
      </w:r>
      <w:proofErr w:type="spellStart"/>
      <w:r w:rsidRPr="00842B9B">
        <w:rPr>
          <w:lang w:val="pt-BR"/>
        </w:rPr>
        <w:t>pytest</w:t>
      </w:r>
      <w:proofErr w:type="spellEnd"/>
      <w:r w:rsidRPr="00842B9B">
        <w:rPr>
          <w:lang w:val="pt-BR"/>
        </w:rPr>
        <w:t xml:space="preserve"> completa em ambiente reproduzível; publicar </w:t>
      </w:r>
      <w:proofErr w:type="spellStart"/>
      <w:r w:rsidRPr="00842B9B">
        <w:rPr>
          <w:lang w:val="pt-BR"/>
        </w:rPr>
        <w:t>hashes</w:t>
      </w:r>
      <w:proofErr w:type="spellEnd"/>
      <w:r w:rsidRPr="00842B9B">
        <w:rPr>
          <w:lang w:val="pt-BR"/>
        </w:rPr>
        <w:t xml:space="preserve"> e releases dos dois repositórios; executar PostgreSQL real; medir energia e latência em MCU/FPGA físicos; comparar tokenização com </w:t>
      </w:r>
      <w:proofErr w:type="spellStart"/>
      <w:r w:rsidRPr="00842B9B">
        <w:rPr>
          <w:lang w:val="pt-BR"/>
        </w:rPr>
        <w:t>gzip</w:t>
      </w:r>
      <w:proofErr w:type="spellEnd"/>
      <w:r w:rsidRPr="00842B9B">
        <w:rPr>
          <w:lang w:val="pt-BR"/>
        </w:rPr>
        <w:t xml:space="preserve">, </w:t>
      </w:r>
      <w:proofErr w:type="spellStart"/>
      <w:r w:rsidRPr="00842B9B">
        <w:rPr>
          <w:lang w:val="pt-BR"/>
        </w:rPr>
        <w:t>Brotli</w:t>
      </w:r>
      <w:proofErr w:type="spellEnd"/>
      <w:r w:rsidRPr="00842B9B">
        <w:rPr>
          <w:lang w:val="pt-BR"/>
        </w:rPr>
        <w:t xml:space="preserve">, LZ4 e </w:t>
      </w:r>
      <w:proofErr w:type="spellStart"/>
      <w:r w:rsidRPr="00842B9B">
        <w:rPr>
          <w:lang w:val="pt-BR"/>
        </w:rPr>
        <w:t>tokenizadores</w:t>
      </w:r>
      <w:proofErr w:type="spellEnd"/>
      <w:r w:rsidRPr="00842B9B">
        <w:rPr>
          <w:lang w:val="pt-BR"/>
        </w:rPr>
        <w:t xml:space="preserve"> modernos em corpora </w:t>
      </w:r>
      <w:proofErr w:type="spellStart"/>
      <w:r w:rsidRPr="00842B9B">
        <w:rPr>
          <w:lang w:val="pt-BR"/>
        </w:rPr>
        <w:t>pré</w:t>
      </w:r>
      <w:proofErr w:type="spellEnd"/>
      <w:r w:rsidRPr="00842B9B">
        <w:rPr>
          <w:lang w:val="pt-BR"/>
        </w:rPr>
        <w:t xml:space="preserve">-registrados; testar </w:t>
      </w:r>
      <w:proofErr w:type="spellStart"/>
      <w:r w:rsidRPr="00842B9B">
        <w:rPr>
          <w:lang w:val="pt-BR"/>
        </w:rPr>
        <w:t>embeddings</w:t>
      </w:r>
      <w:proofErr w:type="spellEnd"/>
      <w:r w:rsidRPr="00842B9B">
        <w:rPr>
          <w:lang w:val="pt-BR"/>
        </w:rPr>
        <w:t xml:space="preserve"> em tarefas cegas à tabela; e estabelecer compatibilidade cruzada por vetores normativos.</w:t>
      </w:r>
    </w:p>
    <w:p w14:paraId="26407A5A" w14:textId="77777777" w:rsidR="00D85371" w:rsidRDefault="004F2E45">
      <w:pPr>
        <w:jc w:val="both"/>
        <w:rPr>
          <w:lang w:val="pt-BR"/>
        </w:rPr>
      </w:pPr>
      <w:r w:rsidRPr="00842B9B">
        <w:rPr>
          <w:lang w:val="pt-BR"/>
        </w:rPr>
        <w:t>A HVE-</w:t>
      </w:r>
      <w:r>
        <w:t>χ</w:t>
      </w:r>
      <w:r w:rsidRPr="00842B9B">
        <w:rPr>
          <w:lang w:val="pt-BR"/>
        </w:rPr>
        <w:t xml:space="preserve"> deve ser avaliada separadamente em fluxos coloridos, sem cor e mistos. EFQ-128 deve ser tratado como envelope opcional. Aplicações criptográficas não devem alegar segurança sem criptoanálise independente; um espaço de 32.400 transformações é inadequado como segurança moderna por força bruta [5].</w:t>
      </w:r>
    </w:p>
    <w:p w14:paraId="73B42DDD" w14:textId="77777777" w:rsidR="005E123E" w:rsidRPr="00842B9B" w:rsidRDefault="005E123E">
      <w:pPr>
        <w:jc w:val="both"/>
        <w:rPr>
          <w:lang w:val="pt-BR"/>
        </w:rPr>
      </w:pPr>
    </w:p>
    <w:p w14:paraId="12A2847F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12. Conclusão</w:t>
      </w:r>
    </w:p>
    <w:p w14:paraId="7FC1BFA5" w14:textId="5C0C3D7A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A melhor versão defensável do HVE é uma arquitetura, estratificada e </w:t>
      </w:r>
      <w:proofErr w:type="spellStart"/>
      <w:r w:rsidRPr="00842B9B">
        <w:rPr>
          <w:lang w:val="pt-BR"/>
        </w:rPr>
        <w:t>versionada</w:t>
      </w:r>
      <w:proofErr w:type="spellEnd"/>
      <w:r w:rsidRPr="00842B9B">
        <w:rPr>
          <w:lang w:val="pt-BR"/>
        </w:rPr>
        <w:t>. O núcleo G possui 32.400 estados e bijeção canônica explícita. A geometria é discreta; o termo harmônico decorre dos caracteres do grupo; a cromática distingue ausência e preto; EFQ-128 e Zeta são extensões identificadas, não redefinições silenciosas do núcleo.</w:t>
      </w:r>
    </w:p>
    <w:p w14:paraId="46E21008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>A implementação sustenta conformidade exaustiva do núcleo, rejeição completa dos padrões inválidos, transformada reversível, conversão entre layouts e referência C11. O benchmark mostra que HVE pode vencer UTF-8 em domínios específicos, mas também registra derrotas em texto comum. Essa delimitação fortalece, em vez de enfraquecer, a proposta.</w:t>
      </w:r>
    </w:p>
    <w:p w14:paraId="698DDCBE" w14:textId="77777777" w:rsidR="00D85371" w:rsidRPr="00842B9B" w:rsidRDefault="004F2E45">
      <w:pPr>
        <w:jc w:val="both"/>
        <w:rPr>
          <w:lang w:val="pt-BR"/>
        </w:rPr>
      </w:pPr>
      <w:r w:rsidRPr="00842B9B">
        <w:rPr>
          <w:lang w:val="pt-BR"/>
        </w:rPr>
        <w:t xml:space="preserve">A tese final é: HVE fornece uma representação estrutural reversível com álgebra, topologia e harmônicos nativos; sua utilidade prática e eficiência devem ser demonstradas por perfil, corpus e aplicação. Esta formulação é tecnicamente mais forte que uma alegação absoluta porque </w:t>
      </w:r>
      <w:proofErr w:type="gramStart"/>
      <w:r w:rsidRPr="00842B9B">
        <w:rPr>
          <w:lang w:val="pt-BR"/>
        </w:rPr>
        <w:t>especifica</w:t>
      </w:r>
      <w:proofErr w:type="gramEnd"/>
      <w:r w:rsidRPr="00842B9B">
        <w:rPr>
          <w:lang w:val="pt-BR"/>
        </w:rPr>
        <w:t xml:space="preserve"> exatamente o que foi provado e exatamente como pode ser refutado.</w:t>
      </w:r>
    </w:p>
    <w:p w14:paraId="025A5D10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Disponibilidade de dados e código</w:t>
      </w:r>
    </w:p>
    <w:p w14:paraId="5FB0E1D6" w14:textId="77777777" w:rsidR="00D85371" w:rsidRPr="00842B9B" w:rsidRDefault="004F2E45">
      <w:pPr>
        <w:rPr>
          <w:lang w:val="pt-BR"/>
        </w:rPr>
      </w:pPr>
      <w:r w:rsidRPr="00842B9B">
        <w:rPr>
          <w:lang w:val="pt-BR"/>
        </w:rPr>
        <w:t xml:space="preserve">Os dois repositórios citados contêm a base matemática, a implementação, testes e pacotes experimentais. O </w:t>
      </w:r>
      <w:proofErr w:type="spellStart"/>
      <w:r w:rsidRPr="00842B9B">
        <w:rPr>
          <w:lang w:val="pt-BR"/>
        </w:rPr>
        <w:t>Engine</w:t>
      </w:r>
      <w:proofErr w:type="spellEnd"/>
      <w:r w:rsidRPr="00842B9B">
        <w:rPr>
          <w:lang w:val="pt-BR"/>
        </w:rPr>
        <w:t xml:space="preserve"> 1.3 consolidado acompanha o pacote de reprodutibilidade desta versão.</w:t>
      </w:r>
    </w:p>
    <w:p w14:paraId="1FD4C356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t>Financiamento</w:t>
      </w:r>
    </w:p>
    <w:p w14:paraId="405676A2" w14:textId="77777777" w:rsidR="00D85371" w:rsidRPr="00842B9B" w:rsidRDefault="004F2E45">
      <w:pPr>
        <w:rPr>
          <w:lang w:val="pt-BR"/>
        </w:rPr>
      </w:pPr>
      <w:r w:rsidRPr="00842B9B">
        <w:rPr>
          <w:lang w:val="pt-BR"/>
        </w:rPr>
        <w:t>Esta pesquisa não recebeu financiamento específico de agências públicas, comerciais ou sem fins lucrativos.</w:t>
      </w:r>
    </w:p>
    <w:p w14:paraId="50120E20" w14:textId="77777777" w:rsidR="00D85371" w:rsidRPr="00842B9B" w:rsidRDefault="004F2E45">
      <w:pPr>
        <w:pStyle w:val="Ttulo1"/>
        <w:rPr>
          <w:lang w:val="pt-BR"/>
        </w:rPr>
      </w:pPr>
      <w:r w:rsidRPr="00842B9B">
        <w:rPr>
          <w:lang w:val="pt-BR"/>
        </w:rPr>
        <w:lastRenderedPageBreak/>
        <w:t>Conflitos de interesse</w:t>
      </w:r>
    </w:p>
    <w:p w14:paraId="5FB4C354" w14:textId="77777777" w:rsidR="00D85371" w:rsidRPr="00842B9B" w:rsidRDefault="004F2E45">
      <w:pPr>
        <w:rPr>
          <w:lang w:val="pt-BR"/>
        </w:rPr>
      </w:pPr>
      <w:r w:rsidRPr="00842B9B">
        <w:rPr>
          <w:lang w:val="pt-BR"/>
        </w:rPr>
        <w:t>O autor declara não possuir conflitos de interesse conhecidos.</w:t>
      </w:r>
    </w:p>
    <w:p w14:paraId="588BC237" w14:textId="77777777" w:rsidR="00D85371" w:rsidRDefault="004F2E45">
      <w:pPr>
        <w:pStyle w:val="Ttulo1"/>
      </w:pPr>
      <w:proofErr w:type="spellStart"/>
      <w:r>
        <w:t>Referências</w:t>
      </w:r>
      <w:proofErr w:type="spellEnd"/>
    </w:p>
    <w:p w14:paraId="04A69199" w14:textId="77777777" w:rsidR="00D85371" w:rsidRDefault="004F2E45">
      <w:pPr>
        <w:spacing w:after="60"/>
        <w:ind w:left="259" w:hanging="259"/>
      </w:pPr>
      <w:r>
        <w:t>[1] F. Yergeau, “UTF-8, a transformation format of ISO 10646,” RFC 3629, IETF, 2003. https://www.rfc-editor.org/rfc/rfc3629</w:t>
      </w:r>
    </w:p>
    <w:p w14:paraId="052C575A" w14:textId="77777777" w:rsidR="00D85371" w:rsidRDefault="004F2E45">
      <w:pPr>
        <w:spacing w:after="60"/>
        <w:ind w:left="259" w:hanging="259"/>
      </w:pPr>
      <w:r>
        <w:t>[2] The Unicode Consortium, The Unicode Standard, Version 17.0, 2025. https://www.unicode.org/versions/Unicode17.0.0/</w:t>
      </w:r>
    </w:p>
    <w:p w14:paraId="111FD716" w14:textId="77777777" w:rsidR="00D85371" w:rsidRDefault="004F2E45">
      <w:pPr>
        <w:spacing w:after="60"/>
        <w:ind w:left="259" w:hanging="259"/>
      </w:pPr>
      <w:r>
        <w:t>[3] F. R. K. Chung, Spectral Graph Theory. American Mathematical Society, 1997.</w:t>
      </w:r>
    </w:p>
    <w:p w14:paraId="0D8B3419" w14:textId="77777777" w:rsidR="00D85371" w:rsidRDefault="004F2E45">
      <w:pPr>
        <w:spacing w:after="60"/>
        <w:ind w:left="259" w:hanging="259"/>
      </w:pPr>
      <w:r>
        <w:t>[4] A. Terras, Fourier Analysis on Finite Groups and Applications. Cambridge University Press, 1999.</w:t>
      </w:r>
    </w:p>
    <w:p w14:paraId="305A530A" w14:textId="77777777" w:rsidR="00D85371" w:rsidRDefault="004F2E45">
      <w:pPr>
        <w:spacing w:after="60"/>
        <w:ind w:left="259" w:hanging="259"/>
      </w:pPr>
      <w:r>
        <w:t>[5] C. E. Shannon, “Communication theory of secrecy systems,” Bell System Technical Journal, vol. 28, 1949.</w:t>
      </w:r>
    </w:p>
    <w:p w14:paraId="143063B4" w14:textId="77777777" w:rsidR="00D85371" w:rsidRDefault="004F2E45">
      <w:pPr>
        <w:spacing w:after="60"/>
        <w:ind w:left="259" w:hanging="259"/>
      </w:pPr>
      <w:r>
        <w:t>[6] C. P. Eugênio, “HVE-720/6480 — Harmonic Vector Encoding,” software repository, 2026. https://github.com/CharlesEugeniodr/HVE-720-6480--Harmonic-Vector-Encoding-</w:t>
      </w:r>
    </w:p>
    <w:p w14:paraId="1F6DA54B" w14:textId="77777777" w:rsidR="00D85371" w:rsidRDefault="004F2E45">
      <w:pPr>
        <w:spacing w:after="60"/>
        <w:ind w:left="259" w:hanging="259"/>
      </w:pPr>
      <w:r>
        <w:t>[7] C. P. Eugênio, “encode-HVE-CP,” reproducibility and embedded releases, 2026. https://github.com/CharlesEugeniodr/encode-HVE-CP</w:t>
      </w:r>
    </w:p>
    <w:p w14:paraId="4C6AEADD" w14:textId="77777777" w:rsidR="00D85371" w:rsidRDefault="004F2E45">
      <w:pPr>
        <w:spacing w:after="60"/>
        <w:ind w:left="259" w:hanging="259"/>
      </w:pPr>
      <w:r>
        <w:t xml:space="preserve">[8] IEC, IEC 61966-2-1: Default RGB </w:t>
      </w:r>
      <w:proofErr w:type="spellStart"/>
      <w:r>
        <w:t>colour</w:t>
      </w:r>
      <w:proofErr w:type="spellEnd"/>
      <w:r>
        <w:t xml:space="preserve"> space — sRGB.</w:t>
      </w:r>
    </w:p>
    <w:p w14:paraId="3CC0F81A" w14:textId="77777777" w:rsidR="00D85371" w:rsidRDefault="004F2E45">
      <w:pPr>
        <w:spacing w:after="60"/>
        <w:ind w:left="259" w:hanging="259"/>
      </w:pPr>
      <w:r>
        <w:t>[9] S. Mallat, “A theory for multiresolution signal decomposition: the wavelet representation,” IEEE TPAMI, vol. 11, no. 7, 1989.</w:t>
      </w:r>
    </w:p>
    <w:p w14:paraId="51FAD2CA" w14:textId="77777777" w:rsidR="00D85371" w:rsidRDefault="004F2E45">
      <w:pPr>
        <w:spacing w:after="60"/>
        <w:ind w:left="259" w:hanging="259"/>
      </w:pPr>
      <w:r>
        <w:t>[10] C. Bormann and P. Hoffman, “Concise Binary Object Representation (CBOR),” RFC 8949, IETF, 2020.</w:t>
      </w:r>
    </w:p>
    <w:sectPr w:rsidR="00D85371" w:rsidSect="00034616">
      <w:headerReference w:type="default" r:id="rId8"/>
      <w:footerReference w:type="default" r:id="rId9"/>
      <w:pgSz w:w="12240" w:h="15840"/>
      <w:pgMar w:top="1181" w:right="1267" w:bottom="1123" w:left="1267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6AA23" w14:textId="77777777" w:rsidR="00776F7E" w:rsidRDefault="00776F7E">
      <w:pPr>
        <w:spacing w:after="0" w:line="240" w:lineRule="auto"/>
      </w:pPr>
      <w:r>
        <w:separator/>
      </w:r>
    </w:p>
  </w:endnote>
  <w:endnote w:type="continuationSeparator" w:id="0">
    <w:p w14:paraId="52FBA350" w14:textId="77777777" w:rsidR="00776F7E" w:rsidRDefault="00776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D564E" w14:textId="1256A6C4" w:rsidR="00D85371" w:rsidRDefault="004F2E45">
    <w:pPr>
      <w:pStyle w:val="Rodap"/>
      <w:jc w:val="right"/>
    </w:pPr>
    <w:r>
      <w:fldChar w:fldCharType="begin"/>
    </w:r>
    <w:r>
      <w:instrText>PAGE</w:instrText>
    </w:r>
    <w:r>
      <w:fldChar w:fldCharType="separate"/>
    </w:r>
    <w:r w:rsidR="00842B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A53DC" w14:textId="77777777" w:rsidR="00776F7E" w:rsidRDefault="00776F7E">
      <w:pPr>
        <w:spacing w:after="0" w:line="240" w:lineRule="auto"/>
      </w:pPr>
      <w:r>
        <w:separator/>
      </w:r>
    </w:p>
  </w:footnote>
  <w:footnote w:type="continuationSeparator" w:id="0">
    <w:p w14:paraId="5F797759" w14:textId="77777777" w:rsidR="00776F7E" w:rsidRDefault="00776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30D9" w14:textId="6B6733F4" w:rsidR="00D85371" w:rsidRDefault="004F2E45">
    <w:r>
      <w:rPr>
        <w:rFonts w:ascii="Arial" w:hAnsi="Arial"/>
        <w:color w:val="5A6978"/>
        <w:sz w:val="16"/>
      </w:rPr>
      <w:t>HVE —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33163">
    <w:abstractNumId w:val="8"/>
  </w:num>
  <w:num w:numId="2" w16cid:durableId="1880817779">
    <w:abstractNumId w:val="6"/>
  </w:num>
  <w:num w:numId="3" w16cid:durableId="1254969899">
    <w:abstractNumId w:val="5"/>
  </w:num>
  <w:num w:numId="4" w16cid:durableId="1861502842">
    <w:abstractNumId w:val="4"/>
  </w:num>
  <w:num w:numId="5" w16cid:durableId="1160846545">
    <w:abstractNumId w:val="7"/>
  </w:num>
  <w:num w:numId="6" w16cid:durableId="1468628344">
    <w:abstractNumId w:val="3"/>
  </w:num>
  <w:num w:numId="7" w16cid:durableId="1539395750">
    <w:abstractNumId w:val="2"/>
  </w:num>
  <w:num w:numId="8" w16cid:durableId="410739135">
    <w:abstractNumId w:val="1"/>
  </w:num>
  <w:num w:numId="9" w16cid:durableId="21404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E45"/>
    <w:rsid w:val="005E123E"/>
    <w:rsid w:val="006F5018"/>
    <w:rsid w:val="00776F7E"/>
    <w:rsid w:val="00842B9B"/>
    <w:rsid w:val="009A41EB"/>
    <w:rsid w:val="00AA1D8D"/>
    <w:rsid w:val="00B47730"/>
    <w:rsid w:val="00CB0664"/>
    <w:rsid w:val="00D85371"/>
    <w:rsid w:val="00DC6C2F"/>
    <w:rsid w:val="00DF09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CFB57596-9035-48FD-8752-82CDF0A3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385D7A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after="100"/>
      <w:ind w:left="360"/>
    </w:pPr>
    <w:rPr>
      <w:rFonts w:ascii="Cambria Math" w:hAnsi="Cambria Math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2838</Words>
  <Characters>15329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HVE: uma arquitetura harmônica finita, versionada e falsificável para codificação estruturada</vt:lpstr>
      <vt:lpstr/>
    </vt:vector>
  </TitlesOfParts>
  <Manager/>
  <Company/>
  <LinksUpToDate>false</LinksUpToDate>
  <CharactersWithSpaces>18131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HVE: uma arquitetura harmônica finita, versionada e falsificável para codificação estruturada</dc:title>
  <dc:subject>Harmonic Vector Encoding</dc:subject>
  <dc:creator>Charles de Paula Eugênio</dc:creator>
  <cp:keywords>HVE, harmonic encoding, finite Abelian group, structured encoding</cp:keywords>
  <dc:description>generated by python-docx</dc:description>
  <cp:lastModifiedBy>charles eugenio</cp:lastModifiedBy>
  <cp:revision>4</cp:revision>
  <dcterms:created xsi:type="dcterms:W3CDTF">2013-12-23T23:15:00Z</dcterms:created>
  <dcterms:modified xsi:type="dcterms:W3CDTF">2026-07-28T14:50:00Z</dcterms:modified>
  <cp:category/>
</cp:coreProperties>
</file>