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3F47" w14:textId="25D5CC5B" w:rsidR="00050A5F" w:rsidRDefault="0051547A" w:rsidP="0051547A">
      <w:pPr>
        <w:spacing w:line="360" w:lineRule="auto"/>
        <w:rPr>
          <w:rFonts w:ascii="Times New Roman" w:hAnsi="Times New Roman" w:cs="Times New Roman"/>
          <w:sz w:val="24"/>
        </w:rPr>
      </w:pPr>
      <w:r>
        <w:rPr>
          <w:rFonts w:ascii="Times New Roman" w:hAnsi="Times New Roman" w:cs="Times New Roman"/>
          <w:sz w:val="24"/>
        </w:rPr>
        <w:t>Qingyuan Feng</w:t>
      </w:r>
    </w:p>
    <w:p w14:paraId="39790B3B" w14:textId="77777777" w:rsidR="0051547A" w:rsidRPr="00A01810" w:rsidRDefault="0051547A" w:rsidP="0051547A">
      <w:pPr>
        <w:spacing w:line="360" w:lineRule="auto"/>
        <w:rPr>
          <w:rFonts w:ascii="Times New Roman" w:hAnsi="Times New Roman" w:cs="Times New Roman"/>
          <w:sz w:val="24"/>
        </w:rPr>
      </w:pPr>
      <w:r w:rsidRPr="00A01810">
        <w:rPr>
          <w:rFonts w:ascii="Times New Roman" w:hAnsi="Times New Roman" w:cs="Times New Roman" w:hint="eastAsia"/>
          <w:sz w:val="24"/>
        </w:rPr>
        <w:t>C</w:t>
      </w:r>
      <w:r w:rsidRPr="00A01810">
        <w:rPr>
          <w:rFonts w:ascii="Times New Roman" w:hAnsi="Times New Roman" w:cs="Times New Roman"/>
          <w:sz w:val="24"/>
        </w:rPr>
        <w:t>USP 705</w:t>
      </w:r>
      <w:r w:rsidRPr="00A01810">
        <w:rPr>
          <w:rFonts w:ascii="Times New Roman" w:hAnsi="Times New Roman" w:cs="Times New Roman" w:hint="eastAsia"/>
          <w:sz w:val="24"/>
        </w:rPr>
        <w:t>3</w:t>
      </w:r>
    </w:p>
    <w:p w14:paraId="73B09BD0" w14:textId="77777777" w:rsidR="0051547A" w:rsidRPr="00A01810" w:rsidRDefault="0051547A" w:rsidP="0051547A">
      <w:pPr>
        <w:spacing w:line="360" w:lineRule="auto"/>
        <w:rPr>
          <w:rFonts w:ascii="Times New Roman" w:hAnsi="Times New Roman" w:cs="Times New Roman"/>
          <w:sz w:val="24"/>
        </w:rPr>
      </w:pPr>
      <w:r w:rsidRPr="00A01810">
        <w:rPr>
          <w:rFonts w:ascii="Times New Roman" w:hAnsi="Times New Roman" w:cs="Times New Roman" w:hint="eastAsia"/>
          <w:sz w:val="24"/>
        </w:rPr>
        <w:t>P</w:t>
      </w:r>
      <w:r w:rsidRPr="00A01810">
        <w:rPr>
          <w:rFonts w:ascii="Times New Roman" w:hAnsi="Times New Roman" w:cs="Times New Roman"/>
          <w:sz w:val="24"/>
        </w:rPr>
        <w:t>rofessor Wright</w:t>
      </w:r>
    </w:p>
    <w:p w14:paraId="59568268" w14:textId="67FEB5CE" w:rsidR="0051547A" w:rsidRPr="00A01810" w:rsidRDefault="0051547A" w:rsidP="0051547A">
      <w:pPr>
        <w:spacing w:line="360" w:lineRule="auto"/>
        <w:rPr>
          <w:rFonts w:ascii="Times New Roman" w:hAnsi="Times New Roman" w:cs="Times New Roman"/>
          <w:sz w:val="24"/>
        </w:rPr>
      </w:pPr>
      <w:r w:rsidRPr="00A01810">
        <w:rPr>
          <w:rFonts w:ascii="Times New Roman" w:hAnsi="Times New Roman" w:cs="Times New Roman" w:hint="eastAsia"/>
          <w:sz w:val="24"/>
        </w:rPr>
        <w:t>S</w:t>
      </w:r>
      <w:r w:rsidRPr="00A01810">
        <w:rPr>
          <w:rFonts w:ascii="Times New Roman" w:hAnsi="Times New Roman" w:cs="Times New Roman"/>
          <w:sz w:val="24"/>
        </w:rPr>
        <w:t xml:space="preserve">ep </w:t>
      </w:r>
      <w:r>
        <w:rPr>
          <w:rFonts w:ascii="Times New Roman" w:hAnsi="Times New Roman" w:cs="Times New Roman"/>
          <w:sz w:val="24"/>
        </w:rPr>
        <w:t>28</w:t>
      </w:r>
      <w:r w:rsidRPr="00A01810">
        <w:rPr>
          <w:rFonts w:ascii="Times New Roman" w:hAnsi="Times New Roman" w:cs="Times New Roman"/>
          <w:sz w:val="24"/>
          <w:vertAlign w:val="superscript"/>
        </w:rPr>
        <w:t>th</w:t>
      </w:r>
      <w:r w:rsidRPr="00A01810">
        <w:rPr>
          <w:rFonts w:ascii="Times New Roman" w:hAnsi="Times New Roman" w:cs="Times New Roman"/>
          <w:sz w:val="24"/>
        </w:rPr>
        <w:t>, 2023</w:t>
      </w:r>
    </w:p>
    <w:p w14:paraId="160D88DE" w14:textId="7FF03A60" w:rsidR="0051547A" w:rsidRDefault="0051547A" w:rsidP="0051547A">
      <w:pPr>
        <w:spacing w:line="360" w:lineRule="auto"/>
        <w:jc w:val="center"/>
        <w:rPr>
          <w:rFonts w:ascii="Times New Roman" w:hAnsi="Times New Roman" w:cs="Times New Roman"/>
          <w:sz w:val="24"/>
        </w:rPr>
      </w:pPr>
      <w:r>
        <w:rPr>
          <w:rFonts w:ascii="Times New Roman" w:hAnsi="Times New Roman" w:cs="Times New Roman"/>
          <w:sz w:val="24"/>
        </w:rPr>
        <w:t xml:space="preserve">Street </w:t>
      </w:r>
      <w:r>
        <w:rPr>
          <w:rFonts w:ascii="Times New Roman" w:hAnsi="Times New Roman" w:cs="Times New Roman" w:hint="eastAsia"/>
          <w:sz w:val="24"/>
        </w:rPr>
        <w:t>F</w:t>
      </w:r>
      <w:r>
        <w:rPr>
          <w:rFonts w:ascii="Times New Roman" w:hAnsi="Times New Roman" w:cs="Times New Roman"/>
          <w:sz w:val="24"/>
        </w:rPr>
        <w:t>loodings in NYC: Challenges and Possible Solutions</w:t>
      </w:r>
    </w:p>
    <w:p w14:paraId="535393A5" w14:textId="7B99CA69" w:rsidR="0051547A" w:rsidRDefault="0051547A" w:rsidP="0051547A">
      <w:pPr>
        <w:spacing w:line="360" w:lineRule="auto"/>
        <w:jc w:val="left"/>
        <w:rPr>
          <w:rFonts w:ascii="Times New Roman" w:hAnsi="Times New Roman" w:cs="Times New Roman"/>
          <w:b/>
          <w:bCs/>
          <w:sz w:val="24"/>
        </w:rPr>
      </w:pPr>
      <w:r>
        <w:rPr>
          <w:rFonts w:ascii="Times New Roman" w:hAnsi="Times New Roman" w:cs="Times New Roman"/>
          <w:b/>
          <w:bCs/>
          <w:sz w:val="24"/>
        </w:rPr>
        <w:t>What’s the issue?</w:t>
      </w:r>
    </w:p>
    <w:p w14:paraId="62E794F5" w14:textId="588F65AD" w:rsidR="0051547A" w:rsidRDefault="0051547A" w:rsidP="0051547A">
      <w:pPr>
        <w:spacing w:line="360" w:lineRule="auto"/>
        <w:ind w:firstLineChars="100" w:firstLine="240"/>
        <w:jc w:val="left"/>
        <w:rPr>
          <w:rFonts w:ascii="Times New Roman" w:hAnsi="Times New Roman" w:cs="Times New Roman"/>
          <w:sz w:val="24"/>
        </w:rPr>
      </w:pPr>
      <w:r w:rsidRPr="0051547A">
        <w:rPr>
          <w:rFonts w:ascii="Times New Roman" w:hAnsi="Times New Roman" w:cs="Times New Roman"/>
          <w:sz w:val="24"/>
        </w:rPr>
        <w:t>As a global economic and cultural hub, New York City (NYC) faces the growing complex risk of natural disasters like flooding. Street flooding severely impacts NYC due to the vast amount of infrastructure and public transportation systems. Flooding from heavy precipitation can result in costly damage to homes, roads, and bridges in NYC (Office of Climate Change)</w:t>
      </w:r>
      <w:r w:rsidR="00930191">
        <w:rPr>
          <w:rStyle w:val="a7"/>
          <w:rFonts w:ascii="Times New Roman" w:hAnsi="Times New Roman" w:cs="Times New Roman"/>
          <w:sz w:val="24"/>
        </w:rPr>
        <w:footnoteReference w:id="1"/>
      </w:r>
      <w:r w:rsidRPr="0051547A">
        <w:rPr>
          <w:rFonts w:ascii="Times New Roman" w:hAnsi="Times New Roman" w:cs="Times New Roman"/>
          <w:sz w:val="24"/>
        </w:rPr>
        <w:t>. To address the street flooding problem, several solutions can be provided. One recommendation is to let citizens report street floods via online platforms like NYC 311. The modeling of street flooding can reduce the economic and social effects of severe storms in urban developments (Agonafir et al., 2022)</w:t>
      </w:r>
      <w:r w:rsidR="00930191">
        <w:rPr>
          <w:rStyle w:val="a7"/>
          <w:rFonts w:ascii="Times New Roman" w:hAnsi="Times New Roman" w:cs="Times New Roman"/>
          <w:sz w:val="24"/>
        </w:rPr>
        <w:footnoteReference w:id="2"/>
      </w:r>
      <w:r w:rsidRPr="0051547A">
        <w:rPr>
          <w:rFonts w:ascii="Times New Roman" w:hAnsi="Times New Roman" w:cs="Times New Roman"/>
          <w:sz w:val="24"/>
        </w:rPr>
        <w:t>. The following recommendation is based on the sewer system within the city. By mapping the comprehensive underground sewer system, we are helping decision makers to analyze the area that lacks sewer functions and locate the potential flooding area. The third recommendation is about green infrastructure. The main philosophy of the green infrastructure that aims at water management is to build an environment that simulates the natural water cycle processes, avoids the generation of runoff and mixing with wastewater, and absorbs the potential flooding water (RADINJA et al., 2021).</w:t>
      </w:r>
    </w:p>
    <w:p w14:paraId="0D1B1AC5" w14:textId="470D439C" w:rsidR="0051547A" w:rsidRPr="0051547A" w:rsidRDefault="0051547A" w:rsidP="0051547A">
      <w:pPr>
        <w:spacing w:line="360" w:lineRule="auto"/>
        <w:jc w:val="left"/>
        <w:rPr>
          <w:rFonts w:ascii="Times New Roman" w:hAnsi="Times New Roman" w:cs="Times New Roman"/>
          <w:sz w:val="24"/>
        </w:rPr>
      </w:pPr>
      <w:r w:rsidRPr="0051547A">
        <w:rPr>
          <w:rFonts w:ascii="Times New Roman" w:hAnsi="Times New Roman" w:cs="Times New Roman"/>
          <w:b/>
          <w:bCs/>
          <w:sz w:val="24"/>
        </w:rPr>
        <w:t>Background/Context of the Issue or Problem to be Addressed</w:t>
      </w:r>
      <w:r>
        <w:rPr>
          <w:rFonts w:ascii="Times New Roman" w:hAnsi="Times New Roman" w:cs="Times New Roman"/>
          <w:b/>
          <w:bCs/>
          <w:sz w:val="24"/>
        </w:rPr>
        <w:t>:</w:t>
      </w:r>
    </w:p>
    <w:p w14:paraId="108D80F5" w14:textId="103C7F55" w:rsidR="0051547A" w:rsidRPr="0051547A" w:rsidRDefault="0051547A" w:rsidP="0051547A">
      <w:pPr>
        <w:spacing w:line="360" w:lineRule="auto"/>
        <w:ind w:firstLineChars="100" w:firstLine="240"/>
        <w:jc w:val="left"/>
        <w:rPr>
          <w:rFonts w:ascii="Times New Roman" w:hAnsi="Times New Roman" w:cs="Times New Roman"/>
          <w:sz w:val="24"/>
        </w:rPr>
      </w:pPr>
      <w:r w:rsidRPr="0051547A">
        <w:rPr>
          <w:rFonts w:ascii="Times New Roman" w:hAnsi="Times New Roman" w:cs="Times New Roman"/>
          <w:sz w:val="24"/>
        </w:rPr>
        <w:t xml:space="preserve">The city experiences a staggering annual average precipitation of 1270mm, resulting in significant yearly precipitation (Agonafir et al., 2022). Also, according to the geography measurement, approximately 72% of the land area of NYC is covered </w:t>
      </w:r>
      <w:r w:rsidRPr="0051547A">
        <w:rPr>
          <w:rFonts w:ascii="Times New Roman" w:hAnsi="Times New Roman" w:cs="Times New Roman"/>
          <w:sz w:val="24"/>
        </w:rPr>
        <w:lastRenderedPageBreak/>
        <w:t>with impervious surfaces (City of New York, 2020a)</w:t>
      </w:r>
      <w:r w:rsidR="00930191">
        <w:rPr>
          <w:rStyle w:val="a7"/>
          <w:rFonts w:ascii="Times New Roman" w:hAnsi="Times New Roman" w:cs="Times New Roman"/>
          <w:sz w:val="24"/>
        </w:rPr>
        <w:footnoteReference w:id="3"/>
      </w:r>
      <w:r w:rsidRPr="0051547A">
        <w:rPr>
          <w:rFonts w:ascii="Times New Roman" w:hAnsi="Times New Roman" w:cs="Times New Roman"/>
          <w:sz w:val="24"/>
        </w:rPr>
        <w:t xml:space="preserve">. Combining these two critical factors makes it evident that NYC is exceptionally susceptible to street flooding, making it one of the most vulnerable cities to this issue.         </w:t>
      </w:r>
    </w:p>
    <w:p w14:paraId="1F98EE9A" w14:textId="77777777" w:rsidR="0051547A" w:rsidRPr="0051547A" w:rsidRDefault="0051547A" w:rsidP="0051547A">
      <w:pPr>
        <w:spacing w:line="360" w:lineRule="auto"/>
        <w:jc w:val="left"/>
        <w:rPr>
          <w:rFonts w:ascii="Times New Roman" w:hAnsi="Times New Roman" w:cs="Times New Roman"/>
          <w:sz w:val="24"/>
        </w:rPr>
      </w:pPr>
      <w:r w:rsidRPr="0051547A">
        <w:rPr>
          <w:rFonts w:ascii="Times New Roman" w:hAnsi="Times New Roman" w:cs="Times New Roman"/>
          <w:sz w:val="24"/>
        </w:rPr>
        <w:t>It is commendable to allow citizens to participate in street flooding reports through online platforms and apps because citizens have always been one of the city's primary data sources, and massive data also helps decision-makers better model the city's drainage—and flood mitigation systems. However, data ownership and privacy become issues. Once data is leaked, privacy issues such as users' addresses will also be accurately analyzed by big data, not to mention third-party data processing to help build urban flooding models.</w:t>
      </w:r>
    </w:p>
    <w:p w14:paraId="28202328" w14:textId="033B301E" w:rsidR="0051547A" w:rsidRDefault="0051547A" w:rsidP="0051547A">
      <w:pPr>
        <w:spacing w:line="360" w:lineRule="auto"/>
        <w:ind w:firstLineChars="100" w:firstLine="240"/>
        <w:jc w:val="left"/>
        <w:rPr>
          <w:rFonts w:ascii="Times New Roman" w:hAnsi="Times New Roman" w:cs="Times New Roman"/>
          <w:sz w:val="24"/>
        </w:rPr>
      </w:pPr>
      <w:r w:rsidRPr="0051547A">
        <w:rPr>
          <w:rFonts w:ascii="Times New Roman" w:hAnsi="Times New Roman" w:cs="Times New Roman"/>
          <w:sz w:val="24"/>
        </w:rPr>
        <w:t>Mapping the city's sewer lines has been a solution NYC has been pursuing. However, Sewer information is hard to find and very cryptic, yet crucial to the city's functioning. We want more people to know how the system works and feel empowered to improve it (NYC Open Data, 2022).</w:t>
      </w:r>
      <w:r w:rsidR="00930191">
        <w:rPr>
          <w:rStyle w:val="a7"/>
          <w:rFonts w:ascii="Times New Roman" w:hAnsi="Times New Roman" w:cs="Times New Roman"/>
          <w:sz w:val="24"/>
        </w:rPr>
        <w:footnoteReference w:id="4"/>
      </w:r>
      <w:r w:rsidRPr="0051547A">
        <w:rPr>
          <w:rFonts w:ascii="Times New Roman" w:hAnsi="Times New Roman" w:cs="Times New Roman"/>
          <w:sz w:val="24"/>
        </w:rPr>
        <w:t xml:space="preserve"> Exploring the already-built water conservancy system and statistics is a vast project, and this process requires huge funds to support the advancement of the entire project.</w:t>
      </w:r>
    </w:p>
    <w:p w14:paraId="607D6BEA" w14:textId="13E73670" w:rsidR="0051547A" w:rsidRPr="0051547A" w:rsidRDefault="0051547A" w:rsidP="0051547A">
      <w:pPr>
        <w:spacing w:line="360" w:lineRule="auto"/>
        <w:jc w:val="left"/>
        <w:rPr>
          <w:rFonts w:ascii="Times New Roman" w:hAnsi="Times New Roman" w:cs="Times New Roman"/>
          <w:b/>
          <w:bCs/>
          <w:sz w:val="24"/>
        </w:rPr>
      </w:pPr>
      <w:r w:rsidRPr="0051547A">
        <w:rPr>
          <w:rFonts w:ascii="Times New Roman" w:hAnsi="Times New Roman" w:cs="Times New Roman"/>
          <w:b/>
          <w:bCs/>
          <w:sz w:val="24"/>
        </w:rPr>
        <w:t>Policy Recommendations:</w:t>
      </w:r>
    </w:p>
    <w:p w14:paraId="44D0E08D" w14:textId="3894BE78" w:rsidR="0051547A" w:rsidRDefault="0051547A" w:rsidP="0051547A">
      <w:pPr>
        <w:widowControl/>
        <w:spacing w:line="360" w:lineRule="auto"/>
        <w:ind w:firstLineChars="100" w:firstLine="240"/>
        <w:jc w:val="left"/>
        <w:rPr>
          <w:rFonts w:ascii="Times New Roman" w:hAnsi="Times New Roman" w:cs="Times New Roman"/>
          <w:sz w:val="24"/>
        </w:rPr>
      </w:pPr>
      <w:r w:rsidRPr="0051547A">
        <w:rPr>
          <w:rFonts w:ascii="Times New Roman" w:hAnsi="Times New Roman" w:cs="Times New Roman"/>
          <w:sz w:val="24"/>
        </w:rPr>
        <w:t xml:space="preserve">As far as green infrastructure is concerned, we lack land to build enough green space and soil. However, because plants and soil have strong water-absorbing properties, small areas of soil and green plants can also play an essential role in flood control. We can consider constructing small or micro-area green plants and rain gardens. For example, combining parking lots with green infrastructure is very feasible. Green plants serve as guardrails, decorations, or landmarks in the city. They serve as infrastructure and solve environmental problems in the city. Flooding and stormwater runoff are often a problem due to the impermeable surfaces of concrete </w:t>
      </w:r>
      <w:r w:rsidRPr="0051547A">
        <w:rPr>
          <w:rFonts w:ascii="Times New Roman" w:hAnsi="Times New Roman" w:cs="Times New Roman"/>
          <w:sz w:val="24"/>
        </w:rPr>
        <w:lastRenderedPageBreak/>
        <w:t>and other materials used in parking lot construction. Eraslan and Seçme (2018) discussed the urban heat island effect, arguing that geographical features such as green roofs and walls can insulate buildings, creating a more sustainable and energy-efficient parking lot (Evans et al., 2023).</w:t>
      </w:r>
      <w:r w:rsidR="00930191">
        <w:rPr>
          <w:rStyle w:val="a7"/>
          <w:rFonts w:ascii="Times New Roman" w:hAnsi="Times New Roman" w:cs="Times New Roman"/>
          <w:sz w:val="24"/>
        </w:rPr>
        <w:footnoteReference w:id="5"/>
      </w:r>
    </w:p>
    <w:p w14:paraId="5F37446A" w14:textId="66487AAF" w:rsidR="0051547A" w:rsidRDefault="0051547A" w:rsidP="0051547A">
      <w:pPr>
        <w:widowControl/>
        <w:spacing w:line="360" w:lineRule="auto"/>
        <w:jc w:val="left"/>
        <w:rPr>
          <w:rFonts w:ascii="Times New Roman" w:hAnsi="Times New Roman" w:cs="Times New Roman"/>
          <w:sz w:val="24"/>
        </w:rPr>
      </w:pPr>
    </w:p>
    <w:p w14:paraId="05978629" w14:textId="21028CAB" w:rsidR="0051547A" w:rsidRDefault="0051547A" w:rsidP="0051547A">
      <w:pPr>
        <w:widowControl/>
        <w:spacing w:line="360" w:lineRule="auto"/>
        <w:jc w:val="left"/>
        <w:rPr>
          <w:rFonts w:ascii="Times New Roman" w:hAnsi="Times New Roman" w:cs="Times New Roman"/>
          <w:sz w:val="24"/>
        </w:rPr>
      </w:pPr>
    </w:p>
    <w:p w14:paraId="79DB3151" w14:textId="22DAA390" w:rsidR="0051547A" w:rsidRDefault="0051547A" w:rsidP="0051547A">
      <w:pPr>
        <w:widowControl/>
        <w:spacing w:line="360" w:lineRule="auto"/>
        <w:jc w:val="center"/>
        <w:rPr>
          <w:rFonts w:ascii="Times New Roman" w:hAnsi="Times New Roman" w:cs="Times New Roman"/>
          <w:sz w:val="24"/>
        </w:rPr>
      </w:pPr>
    </w:p>
    <w:p w14:paraId="38C18442" w14:textId="72FBB39C" w:rsidR="0051547A" w:rsidRDefault="0051547A" w:rsidP="0051547A">
      <w:pPr>
        <w:widowControl/>
        <w:spacing w:line="360" w:lineRule="auto"/>
        <w:jc w:val="center"/>
        <w:rPr>
          <w:rFonts w:ascii="Times New Roman" w:hAnsi="Times New Roman" w:cs="Times New Roman"/>
          <w:sz w:val="24"/>
        </w:rPr>
      </w:pPr>
    </w:p>
    <w:p w14:paraId="3D266D7F" w14:textId="27F284E5" w:rsidR="0051547A" w:rsidRDefault="0051547A" w:rsidP="00930191">
      <w:pPr>
        <w:widowControl/>
        <w:spacing w:line="360" w:lineRule="auto"/>
        <w:rPr>
          <w:rFonts w:ascii="Times New Roman" w:hAnsi="Times New Roman" w:cs="Times New Roman"/>
          <w:sz w:val="24"/>
        </w:rPr>
      </w:pPr>
    </w:p>
    <w:p w14:paraId="1DE1154B" w14:textId="5EFA9864" w:rsidR="00930191" w:rsidRDefault="00930191" w:rsidP="00930191">
      <w:pPr>
        <w:widowControl/>
        <w:spacing w:line="360" w:lineRule="auto"/>
        <w:rPr>
          <w:rFonts w:ascii="Times New Roman" w:hAnsi="Times New Roman" w:cs="Times New Roman"/>
          <w:sz w:val="24"/>
        </w:rPr>
      </w:pPr>
    </w:p>
    <w:p w14:paraId="4EB50C5E" w14:textId="12A85C66" w:rsidR="00930191" w:rsidRDefault="00930191" w:rsidP="00930191">
      <w:pPr>
        <w:widowControl/>
        <w:spacing w:line="360" w:lineRule="auto"/>
        <w:rPr>
          <w:rFonts w:ascii="Times New Roman" w:hAnsi="Times New Roman" w:cs="Times New Roman"/>
          <w:sz w:val="24"/>
        </w:rPr>
      </w:pPr>
    </w:p>
    <w:p w14:paraId="5FED7E42" w14:textId="35119593" w:rsidR="00930191" w:rsidRDefault="00930191" w:rsidP="00930191">
      <w:pPr>
        <w:widowControl/>
        <w:spacing w:line="360" w:lineRule="auto"/>
        <w:rPr>
          <w:rFonts w:ascii="Times New Roman" w:hAnsi="Times New Roman" w:cs="Times New Roman"/>
          <w:sz w:val="24"/>
        </w:rPr>
      </w:pPr>
    </w:p>
    <w:p w14:paraId="7EA3FBF2" w14:textId="7405610E" w:rsidR="00930191" w:rsidRDefault="00930191" w:rsidP="00930191">
      <w:pPr>
        <w:widowControl/>
        <w:spacing w:line="360" w:lineRule="auto"/>
        <w:rPr>
          <w:rFonts w:ascii="Times New Roman" w:hAnsi="Times New Roman" w:cs="Times New Roman"/>
          <w:sz w:val="24"/>
        </w:rPr>
      </w:pPr>
    </w:p>
    <w:p w14:paraId="0D6956E4" w14:textId="1D372599" w:rsidR="00930191" w:rsidRDefault="00930191" w:rsidP="00930191">
      <w:pPr>
        <w:widowControl/>
        <w:spacing w:line="360" w:lineRule="auto"/>
        <w:rPr>
          <w:rFonts w:ascii="Times New Roman" w:hAnsi="Times New Roman" w:cs="Times New Roman"/>
          <w:sz w:val="24"/>
        </w:rPr>
      </w:pPr>
    </w:p>
    <w:p w14:paraId="67AA1DF8" w14:textId="044CA690" w:rsidR="00930191" w:rsidRDefault="00930191" w:rsidP="00930191">
      <w:pPr>
        <w:widowControl/>
        <w:spacing w:line="360" w:lineRule="auto"/>
        <w:rPr>
          <w:rFonts w:ascii="Times New Roman" w:hAnsi="Times New Roman" w:cs="Times New Roman"/>
          <w:sz w:val="24"/>
        </w:rPr>
      </w:pPr>
    </w:p>
    <w:p w14:paraId="0B9E9245" w14:textId="5D5E1E22" w:rsidR="00930191" w:rsidRDefault="00930191" w:rsidP="00930191">
      <w:pPr>
        <w:widowControl/>
        <w:spacing w:line="360" w:lineRule="auto"/>
        <w:rPr>
          <w:rFonts w:ascii="Times New Roman" w:hAnsi="Times New Roman" w:cs="Times New Roman"/>
          <w:sz w:val="24"/>
        </w:rPr>
      </w:pPr>
    </w:p>
    <w:p w14:paraId="7EB6D99C" w14:textId="47C73F04" w:rsidR="00930191" w:rsidRDefault="00930191" w:rsidP="00930191">
      <w:pPr>
        <w:widowControl/>
        <w:spacing w:line="360" w:lineRule="auto"/>
        <w:rPr>
          <w:rFonts w:ascii="Times New Roman" w:hAnsi="Times New Roman" w:cs="Times New Roman"/>
          <w:sz w:val="24"/>
        </w:rPr>
      </w:pPr>
    </w:p>
    <w:p w14:paraId="41C95458" w14:textId="63B59047" w:rsidR="00930191" w:rsidRDefault="00930191" w:rsidP="00930191">
      <w:pPr>
        <w:widowControl/>
        <w:spacing w:line="360" w:lineRule="auto"/>
        <w:rPr>
          <w:rFonts w:ascii="Times New Roman" w:hAnsi="Times New Roman" w:cs="Times New Roman"/>
          <w:sz w:val="24"/>
        </w:rPr>
      </w:pPr>
    </w:p>
    <w:p w14:paraId="476CEB9A" w14:textId="38975DCB" w:rsidR="00930191" w:rsidRDefault="00930191" w:rsidP="00930191">
      <w:pPr>
        <w:widowControl/>
        <w:spacing w:line="360" w:lineRule="auto"/>
        <w:rPr>
          <w:rFonts w:ascii="Times New Roman" w:hAnsi="Times New Roman" w:cs="Times New Roman"/>
          <w:sz w:val="24"/>
        </w:rPr>
      </w:pPr>
    </w:p>
    <w:p w14:paraId="21F60F56" w14:textId="77B720DE" w:rsidR="00930191" w:rsidRDefault="00930191" w:rsidP="00930191">
      <w:pPr>
        <w:widowControl/>
        <w:spacing w:line="360" w:lineRule="auto"/>
        <w:rPr>
          <w:rFonts w:ascii="Times New Roman" w:hAnsi="Times New Roman" w:cs="Times New Roman"/>
          <w:sz w:val="24"/>
        </w:rPr>
      </w:pPr>
    </w:p>
    <w:p w14:paraId="4774E18E" w14:textId="69FDD6A1" w:rsidR="00930191" w:rsidRDefault="00930191" w:rsidP="00930191">
      <w:pPr>
        <w:widowControl/>
        <w:spacing w:line="360" w:lineRule="auto"/>
        <w:rPr>
          <w:rFonts w:ascii="Times New Roman" w:hAnsi="Times New Roman" w:cs="Times New Roman"/>
          <w:sz w:val="24"/>
        </w:rPr>
      </w:pPr>
    </w:p>
    <w:p w14:paraId="4A1FDAB8" w14:textId="4316A4D4" w:rsidR="00930191" w:rsidRDefault="00930191" w:rsidP="00930191">
      <w:pPr>
        <w:widowControl/>
        <w:spacing w:line="360" w:lineRule="auto"/>
        <w:rPr>
          <w:rFonts w:ascii="Times New Roman" w:hAnsi="Times New Roman" w:cs="Times New Roman"/>
          <w:sz w:val="24"/>
        </w:rPr>
      </w:pPr>
    </w:p>
    <w:p w14:paraId="56BE26A4" w14:textId="57DD424F" w:rsidR="00930191" w:rsidRDefault="00930191" w:rsidP="00930191">
      <w:pPr>
        <w:widowControl/>
        <w:spacing w:line="360" w:lineRule="auto"/>
        <w:rPr>
          <w:rFonts w:ascii="Times New Roman" w:hAnsi="Times New Roman" w:cs="Times New Roman"/>
          <w:sz w:val="24"/>
        </w:rPr>
      </w:pPr>
    </w:p>
    <w:p w14:paraId="5E45BDA5" w14:textId="505F6B14" w:rsidR="00930191" w:rsidRDefault="00930191" w:rsidP="00930191">
      <w:pPr>
        <w:widowControl/>
        <w:spacing w:line="360" w:lineRule="auto"/>
        <w:rPr>
          <w:rFonts w:ascii="Times New Roman" w:hAnsi="Times New Roman" w:cs="Times New Roman"/>
          <w:sz w:val="24"/>
        </w:rPr>
      </w:pPr>
    </w:p>
    <w:p w14:paraId="779BAC56" w14:textId="77777777" w:rsidR="00930191" w:rsidRDefault="00930191" w:rsidP="00930191">
      <w:pPr>
        <w:widowControl/>
        <w:spacing w:line="360" w:lineRule="auto"/>
        <w:rPr>
          <w:rFonts w:ascii="Times New Roman" w:hAnsi="Times New Roman" w:cs="Times New Roman" w:hint="eastAsia"/>
          <w:sz w:val="24"/>
        </w:rPr>
      </w:pPr>
    </w:p>
    <w:p w14:paraId="1088CF59" w14:textId="77777777" w:rsidR="00930191" w:rsidRDefault="00930191" w:rsidP="00930191">
      <w:pPr>
        <w:widowControl/>
        <w:spacing w:line="360" w:lineRule="auto"/>
        <w:rPr>
          <w:rFonts w:ascii="Times New Roman" w:hAnsi="Times New Roman" w:cs="Times New Roman" w:hint="eastAsia"/>
          <w:sz w:val="24"/>
        </w:rPr>
      </w:pPr>
    </w:p>
    <w:p w14:paraId="1C3804EF" w14:textId="63DB5ECE" w:rsidR="0051547A" w:rsidRDefault="0051547A" w:rsidP="0051547A">
      <w:pPr>
        <w:widowControl/>
        <w:spacing w:line="360" w:lineRule="auto"/>
        <w:jc w:val="cente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eference</w:t>
      </w:r>
    </w:p>
    <w:p w14:paraId="7871B0A7" w14:textId="77777777" w:rsidR="0051547A" w:rsidRDefault="0051547A" w:rsidP="0051547A">
      <w:pPr>
        <w:widowControl/>
        <w:spacing w:line="360" w:lineRule="auto"/>
        <w:ind w:left="720" w:hangingChars="300" w:hanging="720"/>
        <w:jc w:val="left"/>
        <w:rPr>
          <w:rFonts w:ascii="Times New Roman" w:eastAsia="宋体" w:hAnsi="Times New Roman" w:cs="Times New Roman"/>
          <w:kern w:val="0"/>
          <w:sz w:val="24"/>
        </w:rPr>
      </w:pPr>
      <w:r w:rsidRPr="0051547A">
        <w:rPr>
          <w:rFonts w:ascii="Times New Roman" w:eastAsia="宋体" w:hAnsi="Times New Roman" w:cs="Times New Roman"/>
          <w:kern w:val="0"/>
          <w:sz w:val="24"/>
        </w:rPr>
        <w:lastRenderedPageBreak/>
        <w:t xml:space="preserve">Agonafir, C., Pabon, A. R., Lakhankar, T., Khanbilvardi, R., &amp; Devineni, N. </w:t>
      </w:r>
    </w:p>
    <w:p w14:paraId="71D0E9B0" w14:textId="62534FBA" w:rsidR="0051547A" w:rsidRDefault="0051547A" w:rsidP="0051547A">
      <w:pPr>
        <w:widowControl/>
        <w:spacing w:line="360" w:lineRule="auto"/>
        <w:ind w:leftChars="350" w:left="735"/>
        <w:jc w:val="left"/>
        <w:rPr>
          <w:rFonts w:ascii="Times New Roman" w:eastAsia="宋体" w:hAnsi="Times New Roman" w:cs="Times New Roman"/>
          <w:kern w:val="0"/>
          <w:sz w:val="24"/>
        </w:rPr>
      </w:pPr>
      <w:r w:rsidRPr="0051547A">
        <w:rPr>
          <w:rFonts w:ascii="Times New Roman" w:eastAsia="宋体" w:hAnsi="Times New Roman" w:cs="Times New Roman"/>
          <w:kern w:val="0"/>
          <w:sz w:val="24"/>
        </w:rPr>
        <w:t>(2022).</w:t>
      </w:r>
      <w:r>
        <w:rPr>
          <w:rFonts w:ascii="Times New Roman" w:eastAsia="宋体" w:hAnsi="Times New Roman" w:cs="Times New Roman"/>
          <w:kern w:val="0"/>
          <w:sz w:val="24"/>
        </w:rPr>
        <w:t xml:space="preserve"> </w:t>
      </w:r>
      <w:r w:rsidRPr="0051547A">
        <w:rPr>
          <w:rFonts w:ascii="Times New Roman" w:eastAsia="宋体" w:hAnsi="Times New Roman" w:cs="Times New Roman"/>
          <w:kern w:val="0"/>
          <w:sz w:val="24"/>
        </w:rPr>
        <w:t xml:space="preserve">Understanding New York City street flooding through 311 complaints. Journal of </w:t>
      </w:r>
      <w:r>
        <w:rPr>
          <w:rFonts w:ascii="Times New Roman" w:eastAsia="宋体" w:hAnsi="Times New Roman" w:cs="Times New Roman"/>
          <w:kern w:val="0"/>
          <w:sz w:val="24"/>
        </w:rPr>
        <w:t>Hydrology</w:t>
      </w:r>
      <w:r w:rsidRPr="0051547A">
        <w:rPr>
          <w:rFonts w:ascii="Times New Roman" w:eastAsia="宋体" w:hAnsi="Times New Roman" w:cs="Times New Roman"/>
          <w:kern w:val="0"/>
          <w:sz w:val="24"/>
        </w:rPr>
        <w:t xml:space="preserve">, 605. </w:t>
      </w:r>
      <w:hyperlink r:id="rId7" w:history="1">
        <w:r w:rsidRPr="00667EA7">
          <w:rPr>
            <w:rStyle w:val="a3"/>
            <w:rFonts w:ascii="Times New Roman" w:eastAsia="宋体" w:hAnsi="Times New Roman" w:cs="Times New Roman"/>
            <w:kern w:val="0"/>
            <w:sz w:val="24"/>
          </w:rPr>
          <w:t>https://doi-org.proxy.library.nyu.edu/10.1016/j.jhydrol.2021.127300</w:t>
        </w:r>
      </w:hyperlink>
    </w:p>
    <w:p w14:paraId="1AF04DBF" w14:textId="77777777" w:rsidR="0051547A" w:rsidRDefault="0051547A" w:rsidP="0051547A">
      <w:pPr>
        <w:widowControl/>
        <w:spacing w:line="360" w:lineRule="auto"/>
        <w:ind w:left="720" w:hangingChars="300" w:hanging="720"/>
        <w:jc w:val="left"/>
        <w:rPr>
          <w:rFonts w:ascii="Times New Roman" w:eastAsia="宋体" w:hAnsi="Times New Roman" w:cs="Times New Roman"/>
          <w:kern w:val="0"/>
          <w:sz w:val="24"/>
        </w:rPr>
      </w:pPr>
      <w:r w:rsidRPr="0051547A">
        <w:rPr>
          <w:rFonts w:ascii="Times New Roman" w:eastAsia="宋体" w:hAnsi="Times New Roman" w:cs="Times New Roman"/>
          <w:kern w:val="0"/>
          <w:sz w:val="24"/>
        </w:rPr>
        <w:t xml:space="preserve">Evans, A., &amp; Hardman, M. </w:t>
      </w:r>
    </w:p>
    <w:p w14:paraId="31268BE1" w14:textId="1F85DC14" w:rsidR="0051547A" w:rsidRDefault="0051547A" w:rsidP="0051547A">
      <w:pPr>
        <w:widowControl/>
        <w:spacing w:line="360" w:lineRule="auto"/>
        <w:ind w:leftChars="300" w:left="630"/>
        <w:jc w:val="left"/>
        <w:rPr>
          <w:rFonts w:ascii="Times New Roman" w:eastAsia="宋体" w:hAnsi="Times New Roman" w:cs="Times New Roman"/>
          <w:kern w:val="0"/>
          <w:sz w:val="24"/>
        </w:rPr>
      </w:pPr>
      <w:r w:rsidRPr="0051547A">
        <w:rPr>
          <w:rFonts w:ascii="Times New Roman" w:eastAsia="宋体" w:hAnsi="Times New Roman" w:cs="Times New Roman"/>
          <w:kern w:val="0"/>
          <w:sz w:val="24"/>
        </w:rPr>
        <w:t xml:space="preserve">(2023). Enhancing green infrastructure in cities: Urban car parks as an opportunity space. Land Use Policy, 134. https://doi-org.proxy.library.nyu.edu/10.1016/j.landusepol.2023.106914 </w:t>
      </w:r>
    </w:p>
    <w:p w14:paraId="5AB156F9" w14:textId="6634FB08" w:rsidR="0051547A" w:rsidRDefault="0051547A" w:rsidP="0051547A">
      <w:pPr>
        <w:widowControl/>
        <w:spacing w:line="360" w:lineRule="auto"/>
        <w:jc w:val="left"/>
        <w:rPr>
          <w:rFonts w:ascii="Times New Roman" w:eastAsia="宋体" w:hAnsi="Times New Roman" w:cs="Times New Roman"/>
          <w:kern w:val="0"/>
          <w:sz w:val="24"/>
        </w:rPr>
      </w:pPr>
      <w:r>
        <w:rPr>
          <w:rFonts w:ascii="Times New Roman" w:eastAsia="宋体" w:hAnsi="Times New Roman" w:cs="Times New Roman" w:hint="eastAsia"/>
          <w:kern w:val="0"/>
          <w:sz w:val="24"/>
        </w:rPr>
        <w:t>N</w:t>
      </w:r>
      <w:r>
        <w:rPr>
          <w:rFonts w:ascii="Times New Roman" w:eastAsia="宋体" w:hAnsi="Times New Roman" w:cs="Times New Roman"/>
          <w:kern w:val="0"/>
          <w:sz w:val="24"/>
        </w:rPr>
        <w:t>YC Open Data</w:t>
      </w:r>
    </w:p>
    <w:p w14:paraId="198F4A36" w14:textId="2A95D503" w:rsidR="0051547A" w:rsidRDefault="00804B31" w:rsidP="0051547A">
      <w:pPr>
        <w:widowControl/>
        <w:spacing w:line="360" w:lineRule="auto"/>
        <w:ind w:firstLineChars="300" w:firstLine="630"/>
        <w:jc w:val="left"/>
        <w:rPr>
          <w:rFonts w:ascii="Times New Roman" w:eastAsia="宋体" w:hAnsi="Times New Roman" w:cs="Times New Roman"/>
          <w:kern w:val="0"/>
          <w:sz w:val="24"/>
        </w:rPr>
      </w:pPr>
      <w:hyperlink r:id="rId8" w:history="1">
        <w:r w:rsidR="0051547A" w:rsidRPr="00667EA7">
          <w:rPr>
            <w:rStyle w:val="a3"/>
            <w:rFonts w:ascii="Times New Roman" w:eastAsia="宋体" w:hAnsi="Times New Roman" w:cs="Times New Roman"/>
            <w:kern w:val="0"/>
            <w:sz w:val="24"/>
          </w:rPr>
          <w:t>https://opendata.cityofnewyork.us/projects/open-sewer-atlas-nyc/</w:t>
        </w:r>
      </w:hyperlink>
    </w:p>
    <w:p w14:paraId="5E37335C" w14:textId="45F8D331" w:rsidR="0051547A" w:rsidRDefault="0051547A" w:rsidP="0051547A">
      <w:pPr>
        <w:widowControl/>
        <w:spacing w:line="360" w:lineRule="auto"/>
        <w:jc w:val="left"/>
        <w:rPr>
          <w:rFonts w:ascii="Times New Roman" w:eastAsia="宋体" w:hAnsi="Times New Roman" w:cs="Times New Roman"/>
          <w:kern w:val="0"/>
          <w:sz w:val="24"/>
        </w:rPr>
      </w:pPr>
      <w:r w:rsidRPr="0051547A">
        <w:rPr>
          <w:rFonts w:ascii="Times New Roman" w:eastAsia="宋体" w:hAnsi="Times New Roman" w:cs="Times New Roman"/>
          <w:kern w:val="0"/>
          <w:sz w:val="24"/>
        </w:rPr>
        <w:t>Office of Climate Change</w:t>
      </w:r>
    </w:p>
    <w:p w14:paraId="75CAC6BB" w14:textId="639190F8" w:rsidR="0051547A" w:rsidRDefault="00804B31" w:rsidP="0051547A">
      <w:pPr>
        <w:widowControl/>
        <w:spacing w:line="360" w:lineRule="auto"/>
        <w:ind w:firstLineChars="300" w:firstLine="630"/>
        <w:jc w:val="left"/>
        <w:rPr>
          <w:rFonts w:ascii="Times New Roman" w:eastAsia="宋体" w:hAnsi="Times New Roman" w:cs="Times New Roman"/>
          <w:kern w:val="0"/>
          <w:sz w:val="24"/>
        </w:rPr>
      </w:pPr>
      <w:hyperlink r:id="rId9" w:anchor="Impacts" w:history="1">
        <w:r w:rsidR="0051547A" w:rsidRPr="00667EA7">
          <w:rPr>
            <w:rStyle w:val="a3"/>
            <w:rFonts w:ascii="Times New Roman" w:eastAsia="宋体" w:hAnsi="Times New Roman" w:cs="Times New Roman"/>
            <w:kern w:val="0"/>
            <w:sz w:val="24"/>
          </w:rPr>
          <w:t>https://www.dec.ny.gov/energy/94702.html#Impacts</w:t>
        </w:r>
      </w:hyperlink>
    </w:p>
    <w:p w14:paraId="28A28830" w14:textId="4B49CD9C" w:rsidR="0051547A" w:rsidRDefault="0051547A" w:rsidP="0051547A">
      <w:pPr>
        <w:widowControl/>
        <w:spacing w:line="360" w:lineRule="auto"/>
        <w:jc w:val="left"/>
        <w:rPr>
          <w:rFonts w:ascii="Times New Roman" w:eastAsia="宋体" w:hAnsi="Times New Roman" w:cs="Times New Roman"/>
          <w:kern w:val="0"/>
          <w:sz w:val="24"/>
        </w:rPr>
      </w:pPr>
      <w:r w:rsidRPr="0051547A">
        <w:rPr>
          <w:rFonts w:ascii="Times New Roman" w:eastAsia="宋体" w:hAnsi="Times New Roman" w:cs="Times New Roman"/>
          <w:kern w:val="0"/>
          <w:sz w:val="24"/>
        </w:rPr>
        <w:t xml:space="preserve">RADINJA, M., ATANASOVA, N., &amp; ZAVODNIK LAMOVŠEK, A. </w:t>
      </w:r>
    </w:p>
    <w:p w14:paraId="7E4F6530" w14:textId="77777777" w:rsidR="0051547A" w:rsidRDefault="0051547A" w:rsidP="0051547A">
      <w:pPr>
        <w:widowControl/>
        <w:spacing w:line="360" w:lineRule="auto"/>
        <w:ind w:leftChars="350" w:left="735"/>
        <w:jc w:val="left"/>
        <w:rPr>
          <w:rFonts w:ascii="Times New Roman" w:eastAsia="宋体" w:hAnsi="Times New Roman" w:cs="Times New Roman"/>
          <w:kern w:val="0"/>
          <w:sz w:val="24"/>
        </w:rPr>
      </w:pPr>
      <w:r w:rsidRPr="0051547A">
        <w:rPr>
          <w:rFonts w:ascii="Times New Roman" w:eastAsia="宋体" w:hAnsi="Times New Roman" w:cs="Times New Roman"/>
          <w:kern w:val="0"/>
          <w:sz w:val="24"/>
        </w:rPr>
        <w:t>(2021). The water-management aspect of blue-green infrastructure in cities. Urbani Izziv, 32(1), 98–110.</w:t>
      </w:r>
    </w:p>
    <w:p w14:paraId="6CB9613B" w14:textId="46E9D4C7" w:rsidR="0051547A" w:rsidRPr="0051547A" w:rsidRDefault="0051547A" w:rsidP="0051547A">
      <w:pPr>
        <w:widowControl/>
        <w:spacing w:line="360" w:lineRule="auto"/>
        <w:ind w:leftChars="300" w:left="630"/>
        <w:jc w:val="left"/>
        <w:rPr>
          <w:rFonts w:ascii="Times New Roman" w:eastAsia="宋体" w:hAnsi="Times New Roman" w:cs="Times New Roman"/>
          <w:kern w:val="0"/>
          <w:sz w:val="24"/>
        </w:rPr>
      </w:pPr>
    </w:p>
    <w:sectPr w:rsidR="0051547A" w:rsidRPr="0051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D4005" w14:textId="77777777" w:rsidR="00804B31" w:rsidRDefault="00804B31" w:rsidP="00930191">
      <w:r>
        <w:separator/>
      </w:r>
    </w:p>
  </w:endnote>
  <w:endnote w:type="continuationSeparator" w:id="0">
    <w:p w14:paraId="61C7A02D" w14:textId="77777777" w:rsidR="00804B31" w:rsidRDefault="00804B31" w:rsidP="0093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C86A1" w14:textId="77777777" w:rsidR="00804B31" w:rsidRDefault="00804B31" w:rsidP="00930191">
      <w:r>
        <w:separator/>
      </w:r>
    </w:p>
  </w:footnote>
  <w:footnote w:type="continuationSeparator" w:id="0">
    <w:p w14:paraId="3DA5F4E6" w14:textId="77777777" w:rsidR="00804B31" w:rsidRDefault="00804B31" w:rsidP="00930191">
      <w:r>
        <w:continuationSeparator/>
      </w:r>
    </w:p>
  </w:footnote>
  <w:footnote w:id="1">
    <w:p w14:paraId="165F71E1" w14:textId="42F12289" w:rsidR="00930191" w:rsidRPr="00930191" w:rsidRDefault="00930191" w:rsidP="00930191">
      <w:pPr>
        <w:widowControl/>
        <w:spacing w:line="360" w:lineRule="auto"/>
        <w:jc w:val="left"/>
        <w:rPr>
          <w:rFonts w:ascii="Times New Roman" w:eastAsia="宋体" w:hAnsi="Times New Roman" w:cs="Times New Roman" w:hint="eastAsia"/>
          <w:kern w:val="0"/>
          <w:sz w:val="24"/>
        </w:rPr>
      </w:pPr>
      <w:r>
        <w:rPr>
          <w:rStyle w:val="a7"/>
        </w:rPr>
        <w:footnoteRef/>
      </w:r>
      <w:r>
        <w:t xml:space="preserve"> </w:t>
      </w:r>
      <w:r w:rsidRPr="0051547A">
        <w:rPr>
          <w:rFonts w:ascii="Times New Roman" w:eastAsia="宋体" w:hAnsi="Times New Roman" w:cs="Times New Roman"/>
          <w:kern w:val="0"/>
          <w:sz w:val="24"/>
        </w:rPr>
        <w:t>Office of Climate Change</w:t>
      </w:r>
      <w:r>
        <w:rPr>
          <w:rFonts w:ascii="Times New Roman" w:eastAsia="宋体" w:hAnsi="Times New Roman" w:cs="Times New Roman" w:hint="eastAsia"/>
          <w:kern w:val="0"/>
          <w:sz w:val="24"/>
        </w:rPr>
        <w:t xml:space="preserve"> </w:t>
      </w:r>
      <w:hyperlink r:id="rId1" w:history="1">
        <w:r w:rsidRPr="00947CA9">
          <w:rPr>
            <w:rStyle w:val="a3"/>
            <w:rFonts w:ascii="Times New Roman" w:eastAsia="宋体" w:hAnsi="Times New Roman" w:cs="Times New Roman"/>
            <w:kern w:val="0"/>
            <w:sz w:val="24"/>
          </w:rPr>
          <w:t>https://www.dec.ny.gov/energy/94702.html#Impacts</w:t>
        </w:r>
      </w:hyperlink>
    </w:p>
  </w:footnote>
  <w:footnote w:id="2">
    <w:p w14:paraId="7AEBEE5D" w14:textId="62E83261" w:rsidR="00930191" w:rsidRPr="00930191" w:rsidRDefault="00930191" w:rsidP="00930191">
      <w:pPr>
        <w:widowControl/>
        <w:spacing w:line="360" w:lineRule="auto"/>
        <w:ind w:left="630" w:hangingChars="300" w:hanging="630"/>
        <w:jc w:val="left"/>
        <w:rPr>
          <w:rFonts w:ascii="Times New Roman" w:eastAsia="宋体" w:hAnsi="Times New Roman" w:cs="Times New Roman"/>
          <w:kern w:val="0"/>
          <w:sz w:val="24"/>
        </w:rPr>
      </w:pPr>
      <w:r>
        <w:rPr>
          <w:rStyle w:val="a7"/>
        </w:rPr>
        <w:footnoteRef/>
      </w:r>
      <w:r>
        <w:t xml:space="preserve"> </w:t>
      </w:r>
      <w:r w:rsidRPr="0051547A">
        <w:rPr>
          <w:rFonts w:ascii="Times New Roman" w:eastAsia="宋体" w:hAnsi="Times New Roman" w:cs="Times New Roman"/>
          <w:kern w:val="0"/>
          <w:sz w:val="24"/>
        </w:rPr>
        <w:t>Agonafir, C., Pabon, A. R., Lakhankar, T., Khanbilvardi, R., &amp; Devineni, N.</w:t>
      </w:r>
      <w:r>
        <w:rPr>
          <w:rFonts w:ascii="Times New Roman" w:eastAsia="宋体" w:hAnsi="Times New Roman" w:cs="Times New Roman"/>
          <w:kern w:val="0"/>
          <w:sz w:val="24"/>
        </w:rPr>
        <w:t xml:space="preserve"> </w:t>
      </w:r>
      <w:r w:rsidRPr="0051547A">
        <w:rPr>
          <w:rFonts w:ascii="Times New Roman" w:eastAsia="宋体" w:hAnsi="Times New Roman" w:cs="Times New Roman"/>
          <w:kern w:val="0"/>
          <w:sz w:val="24"/>
        </w:rPr>
        <w:t>(2022).</w:t>
      </w:r>
      <w:r>
        <w:rPr>
          <w:rFonts w:ascii="Times New Roman" w:eastAsia="宋体" w:hAnsi="Times New Roman" w:cs="Times New Roman"/>
          <w:kern w:val="0"/>
          <w:sz w:val="24"/>
        </w:rPr>
        <w:t xml:space="preserve"> </w:t>
      </w:r>
      <w:r w:rsidRPr="0051547A">
        <w:rPr>
          <w:rFonts w:ascii="Times New Roman" w:eastAsia="宋体" w:hAnsi="Times New Roman" w:cs="Times New Roman"/>
          <w:kern w:val="0"/>
          <w:sz w:val="24"/>
        </w:rPr>
        <w:t>Understanding New York City street flooding through 311 complaints.</w:t>
      </w:r>
    </w:p>
  </w:footnote>
  <w:footnote w:id="3">
    <w:p w14:paraId="7BED9F6A" w14:textId="4762E916" w:rsidR="00930191" w:rsidRPr="00930191" w:rsidRDefault="00930191" w:rsidP="00930191">
      <w:pPr>
        <w:widowControl/>
        <w:jc w:val="left"/>
        <w:rPr>
          <w:rFonts w:ascii="宋体" w:eastAsia="宋体" w:hAnsi="宋体" w:cs="宋体" w:hint="eastAsia"/>
          <w:kern w:val="0"/>
          <w:sz w:val="24"/>
        </w:rPr>
      </w:pPr>
      <w:r>
        <w:rPr>
          <w:rStyle w:val="a7"/>
        </w:rPr>
        <w:footnoteRef/>
      </w:r>
      <w:r>
        <w:t xml:space="preserve"> </w:t>
      </w:r>
      <w:r w:rsidRPr="00930191">
        <w:rPr>
          <w:rFonts w:ascii="Georgia" w:eastAsia="宋体" w:hAnsi="Georgia" w:cs="宋体"/>
          <w:color w:val="1F1F1F"/>
          <w:kern w:val="0"/>
          <w:sz w:val="24"/>
          <w:shd w:val="clear" w:color="auto" w:fill="FFFFFF"/>
        </w:rPr>
        <w:t>City of New York a. Impact of NYW Bonds. Retrieved from https://www1-nyc-gov.proxy.library.nyu.edu/site/nyw/investing-in-nyw-bonds/the-impact-of-investing.page. Accessed 30 Dec. 2020.</w:t>
      </w:r>
    </w:p>
  </w:footnote>
  <w:footnote w:id="4">
    <w:p w14:paraId="4CE3D6E7" w14:textId="42B3BDCD" w:rsidR="00930191" w:rsidRDefault="00930191" w:rsidP="00930191">
      <w:pPr>
        <w:widowControl/>
        <w:spacing w:line="360" w:lineRule="auto"/>
        <w:jc w:val="left"/>
        <w:rPr>
          <w:rFonts w:ascii="Times New Roman" w:eastAsia="宋体" w:hAnsi="Times New Roman" w:cs="Times New Roman"/>
          <w:kern w:val="0"/>
          <w:sz w:val="24"/>
        </w:rPr>
      </w:pPr>
      <w:r>
        <w:rPr>
          <w:rStyle w:val="a7"/>
        </w:rPr>
        <w:footnoteRef/>
      </w:r>
      <w:r>
        <w:t xml:space="preserve"> </w:t>
      </w:r>
      <w:r>
        <w:rPr>
          <w:rFonts w:ascii="Times New Roman" w:eastAsia="宋体" w:hAnsi="Times New Roman" w:cs="Times New Roman" w:hint="eastAsia"/>
          <w:kern w:val="0"/>
          <w:sz w:val="24"/>
        </w:rPr>
        <w:t>N</w:t>
      </w:r>
      <w:r>
        <w:rPr>
          <w:rFonts w:ascii="Times New Roman" w:eastAsia="宋体" w:hAnsi="Times New Roman" w:cs="Times New Roman"/>
          <w:kern w:val="0"/>
          <w:sz w:val="24"/>
        </w:rPr>
        <w:t>YC Open Data</w:t>
      </w:r>
      <w:r>
        <w:rPr>
          <w:rFonts w:ascii="Times New Roman" w:eastAsia="宋体" w:hAnsi="Times New Roman" w:cs="Times New Roman" w:hint="eastAsia"/>
          <w:kern w:val="0"/>
          <w:sz w:val="24"/>
        </w:rPr>
        <w:t xml:space="preserve"> </w:t>
      </w:r>
      <w:hyperlink r:id="rId2" w:history="1">
        <w:r w:rsidRPr="00947CA9">
          <w:rPr>
            <w:rStyle w:val="a3"/>
            <w:rFonts w:ascii="Times New Roman" w:eastAsia="宋体" w:hAnsi="Times New Roman" w:cs="Times New Roman"/>
            <w:kern w:val="0"/>
            <w:sz w:val="24"/>
          </w:rPr>
          <w:t>https://opendata.cityofnewyork.us/projects/open-sewer-atlas-nyc/</w:t>
        </w:r>
      </w:hyperlink>
    </w:p>
    <w:p w14:paraId="10B19929" w14:textId="5BB84604" w:rsidR="00930191" w:rsidRPr="00930191" w:rsidRDefault="00930191">
      <w:pPr>
        <w:pStyle w:val="a5"/>
      </w:pPr>
    </w:p>
  </w:footnote>
  <w:footnote w:id="5">
    <w:p w14:paraId="3D5BD464" w14:textId="25267B93" w:rsidR="00930191" w:rsidRPr="00930191" w:rsidRDefault="00930191" w:rsidP="00930191">
      <w:pPr>
        <w:widowControl/>
        <w:spacing w:line="360" w:lineRule="auto"/>
        <w:ind w:left="630" w:hangingChars="300" w:hanging="630"/>
        <w:jc w:val="left"/>
        <w:rPr>
          <w:rFonts w:ascii="Times New Roman" w:eastAsia="宋体" w:hAnsi="Times New Roman" w:cs="Times New Roman"/>
          <w:kern w:val="0"/>
          <w:sz w:val="24"/>
        </w:rPr>
      </w:pPr>
      <w:r>
        <w:rPr>
          <w:rStyle w:val="a7"/>
        </w:rPr>
        <w:footnoteRef/>
      </w:r>
      <w:r>
        <w:t xml:space="preserve"> </w:t>
      </w:r>
      <w:r w:rsidRPr="0051547A">
        <w:rPr>
          <w:rFonts w:ascii="Times New Roman" w:eastAsia="宋体" w:hAnsi="Times New Roman" w:cs="Times New Roman"/>
          <w:kern w:val="0"/>
          <w:sz w:val="24"/>
        </w:rPr>
        <w:t>Evans, A., &amp; Hardman, M.</w:t>
      </w:r>
      <w:r>
        <w:rPr>
          <w:rFonts w:ascii="Times New Roman" w:eastAsia="宋体" w:hAnsi="Times New Roman" w:cs="Times New Roman"/>
          <w:kern w:val="0"/>
          <w:sz w:val="24"/>
        </w:rPr>
        <w:t xml:space="preserve"> </w:t>
      </w:r>
      <w:r w:rsidRPr="0051547A">
        <w:rPr>
          <w:rFonts w:ascii="Times New Roman" w:eastAsia="宋体" w:hAnsi="Times New Roman" w:cs="Times New Roman"/>
          <w:kern w:val="0"/>
          <w:sz w:val="24"/>
        </w:rPr>
        <w:t>(2023). Enhancing green infrastructure in cities: Urban</w:t>
      </w:r>
      <w:r>
        <w:rPr>
          <w:rFonts w:ascii="Times New Roman" w:eastAsia="宋体" w:hAnsi="Times New Roman" w:cs="Times New Roman"/>
          <w:kern w:val="0"/>
          <w:sz w:val="24"/>
        </w:rPr>
        <w:t xml:space="preserve"> </w:t>
      </w:r>
      <w:r w:rsidRPr="0051547A">
        <w:rPr>
          <w:rFonts w:ascii="Times New Roman" w:eastAsia="宋体" w:hAnsi="Times New Roman" w:cs="Times New Roman"/>
          <w:kern w:val="0"/>
          <w:sz w:val="24"/>
        </w:rPr>
        <w:t>car parks as an opportunity space. Land Use Policy, 134.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7A"/>
    <w:rsid w:val="00050A5F"/>
    <w:rsid w:val="0051547A"/>
    <w:rsid w:val="00804B31"/>
    <w:rsid w:val="00930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AEE5"/>
  <w15:chartTrackingRefBased/>
  <w15:docId w15:val="{1ABA7228-C2E5-4A40-A287-055FA58E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547A"/>
    <w:rPr>
      <w:color w:val="0563C1" w:themeColor="hyperlink"/>
      <w:u w:val="single"/>
    </w:rPr>
  </w:style>
  <w:style w:type="character" w:styleId="a4">
    <w:name w:val="Unresolved Mention"/>
    <w:basedOn w:val="a0"/>
    <w:uiPriority w:val="99"/>
    <w:semiHidden/>
    <w:unhideWhenUsed/>
    <w:rsid w:val="0051547A"/>
    <w:rPr>
      <w:color w:val="605E5C"/>
      <w:shd w:val="clear" w:color="auto" w:fill="E1DFDD"/>
    </w:rPr>
  </w:style>
  <w:style w:type="paragraph" w:styleId="a5">
    <w:name w:val="footnote text"/>
    <w:basedOn w:val="a"/>
    <w:link w:val="a6"/>
    <w:uiPriority w:val="99"/>
    <w:semiHidden/>
    <w:unhideWhenUsed/>
    <w:rsid w:val="00930191"/>
    <w:pPr>
      <w:snapToGrid w:val="0"/>
      <w:jc w:val="left"/>
    </w:pPr>
    <w:rPr>
      <w:sz w:val="18"/>
      <w:szCs w:val="18"/>
    </w:rPr>
  </w:style>
  <w:style w:type="character" w:customStyle="1" w:styleId="a6">
    <w:name w:val="脚注文本 字符"/>
    <w:basedOn w:val="a0"/>
    <w:link w:val="a5"/>
    <w:uiPriority w:val="99"/>
    <w:semiHidden/>
    <w:rsid w:val="00930191"/>
    <w:rPr>
      <w:sz w:val="18"/>
      <w:szCs w:val="18"/>
    </w:rPr>
  </w:style>
  <w:style w:type="character" w:styleId="a7">
    <w:name w:val="footnote reference"/>
    <w:basedOn w:val="a0"/>
    <w:uiPriority w:val="99"/>
    <w:semiHidden/>
    <w:unhideWhenUsed/>
    <w:rsid w:val="00930191"/>
    <w:rPr>
      <w:vertAlign w:val="superscript"/>
    </w:rPr>
  </w:style>
  <w:style w:type="character" w:styleId="a8">
    <w:name w:val="FollowedHyperlink"/>
    <w:basedOn w:val="a0"/>
    <w:uiPriority w:val="99"/>
    <w:semiHidden/>
    <w:unhideWhenUsed/>
    <w:rsid w:val="00930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1022">
      <w:bodyDiv w:val="1"/>
      <w:marLeft w:val="0"/>
      <w:marRight w:val="0"/>
      <w:marTop w:val="0"/>
      <w:marBottom w:val="0"/>
      <w:divBdr>
        <w:top w:val="none" w:sz="0" w:space="0" w:color="auto"/>
        <w:left w:val="none" w:sz="0" w:space="0" w:color="auto"/>
        <w:bottom w:val="none" w:sz="0" w:space="0" w:color="auto"/>
        <w:right w:val="none" w:sz="0" w:space="0" w:color="auto"/>
      </w:divBdr>
    </w:div>
    <w:div w:id="217743280">
      <w:bodyDiv w:val="1"/>
      <w:marLeft w:val="0"/>
      <w:marRight w:val="0"/>
      <w:marTop w:val="0"/>
      <w:marBottom w:val="0"/>
      <w:divBdr>
        <w:top w:val="none" w:sz="0" w:space="0" w:color="auto"/>
        <w:left w:val="none" w:sz="0" w:space="0" w:color="auto"/>
        <w:bottom w:val="none" w:sz="0" w:space="0" w:color="auto"/>
        <w:right w:val="none" w:sz="0" w:space="0" w:color="auto"/>
      </w:divBdr>
    </w:div>
    <w:div w:id="462773416">
      <w:bodyDiv w:val="1"/>
      <w:marLeft w:val="0"/>
      <w:marRight w:val="0"/>
      <w:marTop w:val="0"/>
      <w:marBottom w:val="0"/>
      <w:divBdr>
        <w:top w:val="none" w:sz="0" w:space="0" w:color="auto"/>
        <w:left w:val="none" w:sz="0" w:space="0" w:color="auto"/>
        <w:bottom w:val="none" w:sz="0" w:space="0" w:color="auto"/>
        <w:right w:val="none" w:sz="0" w:space="0" w:color="auto"/>
      </w:divBdr>
    </w:div>
    <w:div w:id="987128422">
      <w:bodyDiv w:val="1"/>
      <w:marLeft w:val="0"/>
      <w:marRight w:val="0"/>
      <w:marTop w:val="0"/>
      <w:marBottom w:val="0"/>
      <w:divBdr>
        <w:top w:val="none" w:sz="0" w:space="0" w:color="auto"/>
        <w:left w:val="none" w:sz="0" w:space="0" w:color="auto"/>
        <w:bottom w:val="none" w:sz="0" w:space="0" w:color="auto"/>
        <w:right w:val="none" w:sz="0" w:space="0" w:color="auto"/>
      </w:divBdr>
    </w:div>
    <w:div w:id="1166625337">
      <w:bodyDiv w:val="1"/>
      <w:marLeft w:val="0"/>
      <w:marRight w:val="0"/>
      <w:marTop w:val="0"/>
      <w:marBottom w:val="0"/>
      <w:divBdr>
        <w:top w:val="none" w:sz="0" w:space="0" w:color="auto"/>
        <w:left w:val="none" w:sz="0" w:space="0" w:color="auto"/>
        <w:bottom w:val="none" w:sz="0" w:space="0" w:color="auto"/>
        <w:right w:val="none" w:sz="0" w:space="0" w:color="auto"/>
      </w:divBdr>
    </w:div>
    <w:div w:id="1185166903">
      <w:bodyDiv w:val="1"/>
      <w:marLeft w:val="0"/>
      <w:marRight w:val="0"/>
      <w:marTop w:val="0"/>
      <w:marBottom w:val="0"/>
      <w:divBdr>
        <w:top w:val="none" w:sz="0" w:space="0" w:color="auto"/>
        <w:left w:val="none" w:sz="0" w:space="0" w:color="auto"/>
        <w:bottom w:val="none" w:sz="0" w:space="0" w:color="auto"/>
        <w:right w:val="none" w:sz="0" w:space="0" w:color="auto"/>
      </w:divBdr>
    </w:div>
    <w:div w:id="1255285154">
      <w:bodyDiv w:val="1"/>
      <w:marLeft w:val="0"/>
      <w:marRight w:val="0"/>
      <w:marTop w:val="0"/>
      <w:marBottom w:val="0"/>
      <w:divBdr>
        <w:top w:val="none" w:sz="0" w:space="0" w:color="auto"/>
        <w:left w:val="none" w:sz="0" w:space="0" w:color="auto"/>
        <w:bottom w:val="none" w:sz="0" w:space="0" w:color="auto"/>
        <w:right w:val="none" w:sz="0" w:space="0" w:color="auto"/>
      </w:divBdr>
    </w:div>
    <w:div w:id="1255820805">
      <w:bodyDiv w:val="1"/>
      <w:marLeft w:val="0"/>
      <w:marRight w:val="0"/>
      <w:marTop w:val="0"/>
      <w:marBottom w:val="0"/>
      <w:divBdr>
        <w:top w:val="none" w:sz="0" w:space="0" w:color="auto"/>
        <w:left w:val="none" w:sz="0" w:space="0" w:color="auto"/>
        <w:bottom w:val="none" w:sz="0" w:space="0" w:color="auto"/>
        <w:right w:val="none" w:sz="0" w:space="0" w:color="auto"/>
      </w:divBdr>
    </w:div>
    <w:div w:id="1442991669">
      <w:bodyDiv w:val="1"/>
      <w:marLeft w:val="0"/>
      <w:marRight w:val="0"/>
      <w:marTop w:val="0"/>
      <w:marBottom w:val="0"/>
      <w:divBdr>
        <w:top w:val="none" w:sz="0" w:space="0" w:color="auto"/>
        <w:left w:val="none" w:sz="0" w:space="0" w:color="auto"/>
        <w:bottom w:val="none" w:sz="0" w:space="0" w:color="auto"/>
        <w:right w:val="none" w:sz="0" w:space="0" w:color="auto"/>
      </w:divBdr>
    </w:div>
    <w:div w:id="1564875745">
      <w:bodyDiv w:val="1"/>
      <w:marLeft w:val="0"/>
      <w:marRight w:val="0"/>
      <w:marTop w:val="0"/>
      <w:marBottom w:val="0"/>
      <w:divBdr>
        <w:top w:val="none" w:sz="0" w:space="0" w:color="auto"/>
        <w:left w:val="none" w:sz="0" w:space="0" w:color="auto"/>
        <w:bottom w:val="none" w:sz="0" w:space="0" w:color="auto"/>
        <w:right w:val="none" w:sz="0" w:space="0" w:color="auto"/>
      </w:divBdr>
    </w:div>
    <w:div w:id="17398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cityofnewyork.us/projects/open-sewer-atlas-nyc/" TargetMode="External"/><Relationship Id="rId3" Type="http://schemas.openxmlformats.org/officeDocument/2006/relationships/settings" Target="settings.xml"/><Relationship Id="rId7" Type="http://schemas.openxmlformats.org/officeDocument/2006/relationships/hyperlink" Target="https://doi-org.proxy.library.nyu.edu/10.1016/j.jhydrol.2021.1273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ec.ny.gov/energy/94702.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opendata.cityofnewyork.us/projects/open-sewer-atlas-nyc/" TargetMode="External"/><Relationship Id="rId1" Type="http://schemas.openxmlformats.org/officeDocument/2006/relationships/hyperlink" Target="https://www.dec.ny.gov/energy/94702.html#Impa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AA7ED-025A-4443-832D-EE9398954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Feng</dc:creator>
  <cp:keywords/>
  <dc:description/>
  <cp:lastModifiedBy>Qingyuan Feng</cp:lastModifiedBy>
  <cp:revision>3</cp:revision>
  <dcterms:created xsi:type="dcterms:W3CDTF">2023-09-29T03:48:00Z</dcterms:created>
  <dcterms:modified xsi:type="dcterms:W3CDTF">2023-09-29T03:48:00Z</dcterms:modified>
</cp:coreProperties>
</file>