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4E1" w:rsidRDefault="005D209F" w:rsidP="005D209F">
      <w:pPr>
        <w:jc w:val="center"/>
      </w:pPr>
      <w:r>
        <w:t>Architectural Reference Working Group</w:t>
      </w:r>
    </w:p>
    <w:p w:rsidR="005D209F" w:rsidRDefault="005D209F" w:rsidP="005D209F">
      <w:pPr>
        <w:jc w:val="center"/>
      </w:pPr>
      <w:r>
        <w:t>Meeting Minutes</w:t>
      </w:r>
    </w:p>
    <w:p w:rsidR="005D209F" w:rsidRDefault="005D209F" w:rsidP="005D209F">
      <w:pPr>
        <w:jc w:val="center"/>
      </w:pPr>
      <w:r>
        <w:t>28 Apr 2020</w:t>
      </w:r>
    </w:p>
    <w:p w:rsidR="005D209F" w:rsidRDefault="005D209F" w:rsidP="005D209F">
      <w:pPr>
        <w:jc w:val="center"/>
      </w:pPr>
    </w:p>
    <w:p w:rsidR="005D209F" w:rsidRDefault="005D209F" w:rsidP="005D209F">
      <w:r>
        <w:t>In the future, we will probably ask somebody who is a more proficient secretary to keep minutes.  In the absence of such a person, this is my best effort (Stephen).</w:t>
      </w:r>
    </w:p>
    <w:p w:rsidR="005D209F" w:rsidRDefault="005D209F" w:rsidP="005D209F"/>
    <w:p w:rsidR="005D209F" w:rsidRDefault="005D209F" w:rsidP="005D209F">
      <w:pPr>
        <w:pStyle w:val="ListParagraph"/>
        <w:numPr>
          <w:ilvl w:val="0"/>
          <w:numId w:val="1"/>
        </w:numPr>
      </w:pPr>
      <w:r>
        <w:t>The group will begin by pursuing two efforts:</w:t>
      </w:r>
    </w:p>
    <w:p w:rsidR="005D209F" w:rsidRDefault="005D209F" w:rsidP="005D209F">
      <w:pPr>
        <w:pStyle w:val="ListParagraph"/>
        <w:numPr>
          <w:ilvl w:val="1"/>
          <w:numId w:val="1"/>
        </w:numPr>
      </w:pPr>
      <w:r>
        <w:t>Scan the environment – We want to understand who is presently developing standards.  Our objective is to complement existing work and not to create duplicative efforts.  We will try to identify the organizations, their charter and the state of their efforts.  In part, this is to educate ourselves on the ways work is presently being done.  In part it is to determine who we will wish to work with going forward.</w:t>
      </w:r>
    </w:p>
    <w:p w:rsidR="005D209F" w:rsidRDefault="005D209F" w:rsidP="005D209F">
      <w:pPr>
        <w:pStyle w:val="ListParagraph"/>
        <w:numPr>
          <w:ilvl w:val="1"/>
          <w:numId w:val="1"/>
        </w:numPr>
      </w:pPr>
      <w:r>
        <w:t>Draw out architectural reference diagrams – The object is to describe the system that OCA should be undertaking.  This can be thought of as a vision or scope document.  It is not intended to constrain work as this is decided by members.  It is to suggest where known work items are so that people can assign efforts to things which align with their interests and our needs.</w:t>
      </w:r>
    </w:p>
    <w:p w:rsidR="005D209F" w:rsidRDefault="005D209F" w:rsidP="005D209F">
      <w:pPr>
        <w:pStyle w:val="ListParagraph"/>
        <w:numPr>
          <w:ilvl w:val="0"/>
          <w:numId w:val="1"/>
        </w:numPr>
      </w:pPr>
      <w:r>
        <w:t>Housekeeping tasks</w:t>
      </w:r>
    </w:p>
    <w:p w:rsidR="005D209F" w:rsidRDefault="005D209F" w:rsidP="005D209F">
      <w:pPr>
        <w:pStyle w:val="ListParagraph"/>
        <w:numPr>
          <w:ilvl w:val="1"/>
          <w:numId w:val="1"/>
        </w:numPr>
      </w:pPr>
      <w:r>
        <w:t>We will be dealing with communications through a combination of Slack channel and email.  Jory is the focal point for getting people signed up.  We are taking steps to make sure that everybody who wanted to participate has visibility.</w:t>
      </w:r>
      <w:r w:rsidR="00AE4560">
        <w:t xml:space="preserve">  We are aware that government groups are under Freedom </w:t>
      </w:r>
      <w:proofErr w:type="gramStart"/>
      <w:r w:rsidR="00AE4560">
        <w:t>Of</w:t>
      </w:r>
      <w:proofErr w:type="gramEnd"/>
      <w:r w:rsidR="00AE4560">
        <w:t xml:space="preserve"> Information Act obligations.  We are attempting to accommodate those requirements as part of our communication strategy.</w:t>
      </w:r>
    </w:p>
    <w:p w:rsidR="005D209F" w:rsidRDefault="005D209F" w:rsidP="005D209F">
      <w:pPr>
        <w:pStyle w:val="ListParagraph"/>
        <w:numPr>
          <w:ilvl w:val="1"/>
          <w:numId w:val="1"/>
        </w:numPr>
      </w:pPr>
      <w:r>
        <w:t>Stephen Wood was assigned chairmanship.</w:t>
      </w:r>
    </w:p>
    <w:p w:rsidR="005D209F" w:rsidRDefault="005D209F" w:rsidP="005D209F">
      <w:pPr>
        <w:pStyle w:val="ListParagraph"/>
        <w:numPr>
          <w:ilvl w:val="1"/>
          <w:numId w:val="1"/>
        </w:numPr>
      </w:pPr>
      <w:r>
        <w:t xml:space="preserve">We will make decisions for now via </w:t>
      </w:r>
      <w:proofErr w:type="spellStart"/>
      <w:r>
        <w:t>concensus</w:t>
      </w:r>
      <w:proofErr w:type="spellEnd"/>
      <w:r>
        <w:t>.</w:t>
      </w:r>
    </w:p>
    <w:p w:rsidR="005D209F" w:rsidRDefault="005D209F" w:rsidP="005D209F">
      <w:pPr>
        <w:pStyle w:val="ListParagraph"/>
        <w:numPr>
          <w:ilvl w:val="1"/>
          <w:numId w:val="1"/>
        </w:numPr>
      </w:pPr>
      <w:r>
        <w:t>The work products that we generate will be submitted to the OCA board upon completion.</w:t>
      </w:r>
    </w:p>
    <w:p w:rsidR="00AE4560" w:rsidRDefault="00AE4560" w:rsidP="005D209F">
      <w:pPr>
        <w:pStyle w:val="ListParagraph"/>
        <w:numPr>
          <w:ilvl w:val="1"/>
          <w:numId w:val="1"/>
        </w:numPr>
      </w:pPr>
      <w:r>
        <w:t>A doodle poll will be circulated to set the time for next meeting.  We will try to make meeting day/time regular thereafter.  We are shooting for a bi-weekly cadence.</w:t>
      </w:r>
    </w:p>
    <w:p w:rsidR="005D209F" w:rsidRDefault="005D209F" w:rsidP="005D209F">
      <w:pPr>
        <w:pStyle w:val="ListParagraph"/>
        <w:numPr>
          <w:ilvl w:val="0"/>
          <w:numId w:val="1"/>
        </w:numPr>
      </w:pPr>
      <w:r>
        <w:t xml:space="preserve">Other </w:t>
      </w:r>
      <w:r w:rsidR="00AE4560">
        <w:t>Findings</w:t>
      </w:r>
    </w:p>
    <w:p w:rsidR="005D209F" w:rsidRDefault="00AE4560" w:rsidP="005D209F">
      <w:pPr>
        <w:pStyle w:val="ListParagraph"/>
        <w:numPr>
          <w:ilvl w:val="1"/>
          <w:numId w:val="1"/>
        </w:numPr>
      </w:pPr>
      <w:r>
        <w:t>Scanning-We know that there is potentially relevant security work being done today in 5G, ITU, IACD and ENISA.  We will look for other groups and we will try to understand the specific work being undertaken in each.</w:t>
      </w:r>
    </w:p>
    <w:p w:rsidR="00AE4560" w:rsidRDefault="00AE4560" w:rsidP="005D209F">
      <w:pPr>
        <w:pStyle w:val="ListParagraph"/>
        <w:numPr>
          <w:ilvl w:val="1"/>
          <w:numId w:val="1"/>
        </w:numPr>
      </w:pPr>
      <w:r>
        <w:t>Cartoons – We agreed to several points:</w:t>
      </w:r>
    </w:p>
    <w:p w:rsidR="00AE4560" w:rsidRDefault="00AE4560" w:rsidP="00AE4560">
      <w:pPr>
        <w:pStyle w:val="ListParagraph"/>
        <w:numPr>
          <w:ilvl w:val="2"/>
          <w:numId w:val="1"/>
        </w:numPr>
      </w:pPr>
      <w:r>
        <w:t>The reference architecture is only intended to describe relationships between functional blocks.  The WG is not providing detail on how the relationships are executed.</w:t>
      </w:r>
    </w:p>
    <w:p w:rsidR="00AE4560" w:rsidRDefault="00AE4560" w:rsidP="00AE4560">
      <w:pPr>
        <w:pStyle w:val="ListParagraph"/>
        <w:numPr>
          <w:ilvl w:val="2"/>
          <w:numId w:val="1"/>
        </w:numPr>
      </w:pPr>
      <w:r>
        <w:t>The various modules that we describe should be vendor agnostic.  If possible, the communication fabric itself should be plug and play with another.  All modules should permit a vendor to be swapped out.</w:t>
      </w:r>
    </w:p>
    <w:p w:rsidR="00AE4560" w:rsidRDefault="00AE4560" w:rsidP="00AE4560">
      <w:pPr>
        <w:pStyle w:val="ListParagraph"/>
        <w:numPr>
          <w:ilvl w:val="2"/>
          <w:numId w:val="1"/>
        </w:numPr>
      </w:pPr>
      <w:r>
        <w:lastRenderedPageBreak/>
        <w:t>The architecture should contemplate more than just the transport and interfaces.  As an example, data formats and data provenance should be considered.</w:t>
      </w:r>
    </w:p>
    <w:p w:rsidR="00AE4560" w:rsidRDefault="00AE4560" w:rsidP="00AE4560">
      <w:bookmarkStart w:id="0" w:name="_GoBack"/>
      <w:bookmarkEnd w:id="0"/>
    </w:p>
    <w:sectPr w:rsidR="00AE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F"/>
    <w:rsid w:val="005D209F"/>
    <w:rsid w:val="00AE4560"/>
    <w:rsid w:val="00FA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Stephen Wood</cp:lastModifiedBy>
  <cp:revision>1</cp:revision>
  <dcterms:created xsi:type="dcterms:W3CDTF">2020-04-28T16:50:00Z</dcterms:created>
  <dcterms:modified xsi:type="dcterms:W3CDTF">2020-04-28T17:10:00Z</dcterms:modified>
</cp:coreProperties>
</file>