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200"/>
      </w:pPr>
      <w:r>
        <w:rPr>
          <w:rFonts w:ascii="Noto Sans CJK SC" w:hAnsi="Noto Sans CJK SC" w:eastAsia="Noto Sans CJK SC"/>
          <w:b/>
          <w:color w:val="111827"/>
          <w:sz w:val="84"/>
        </w:rPr>
        <w:t>ROVE</w:t>
      </w:r>
    </w:p>
    <w:p>
      <w:pPr>
        <w:spacing w:after="160"/>
      </w:pPr>
      <w:r>
        <w:rPr>
          <w:rFonts w:ascii="Noto Sans CJK SC" w:hAnsi="Noto Sans CJK SC" w:eastAsia="Noto Sans CJK SC"/>
          <w:b/>
          <w:color w:val="111827"/>
          <w:sz w:val="48"/>
        </w:rPr>
        <w:t>PRD 产品说明书</w:t>
      </w:r>
    </w:p>
    <w:p>
      <w:pPr>
        <w:spacing w:after="480"/>
      </w:pPr>
      <w:r>
        <w:rPr>
          <w:rFonts w:ascii="Noto Sans CJK SC" w:hAnsi="Noto Sans CJK SC" w:eastAsia="Noto Sans CJK SC"/>
          <w:color w:val="64748B"/>
          <w:sz w:val="23"/>
        </w:rPr>
        <w:t>Rove — Product Requirements Document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56"/>
      </w:tblGrid>
      <w:tr>
        <w:tc>
          <w:tcPr>
            <w:tcW w:type="dxa" w:w="1656"/>
            <w:shd w:fill="111827"/>
            <w:tcBorders>
              <w:top w:val="nil"/>
              <w:start w:val="nil"/>
              <w:bottom w:val="nil"/>
              <w:end w:val="nil"/>
            </w:tcBorders>
          </w:tcPr>
          <w:p>
            <w:r/>
          </w:p>
        </w:tc>
      </w:tr>
    </w:tbl>
    <w:p>
      <w:pPr>
        <w:spacing w:before="3800" w:after="60"/>
      </w:pPr>
      <w:r>
        <w:rPr>
          <w:rFonts w:ascii="Noto Sans CJK SC" w:hAnsi="Noto Sans CJK SC" w:eastAsia="Noto Sans CJK SC"/>
          <w:b/>
          <w:color w:val="111827"/>
          <w:sz w:val="24"/>
        </w:rPr>
        <w:t>Open web infrastructure for AI agents.</w:t>
      </w:r>
    </w:p>
    <w:p>
      <w:r>
        <w:rPr>
          <w:rFonts w:ascii="Noto Sans CJK SC" w:hAnsi="Noto Sans CJK SC" w:eastAsia="Noto Sans CJK SC"/>
          <w:color w:val="64748B"/>
          <w:sz w:val="20"/>
        </w:rPr>
        <w:t>Crawl. Browse. Index. Retrieve. Rank. Evidence.</w:t>
      </w:r>
    </w:p>
    <w:p>
      <w:r>
        <w:br w:type="page"/>
      </w:r>
    </w:p>
    <w:p>
      <w:pPr>
        <w:pStyle w:val="Heading1"/>
      </w:pPr>
      <w:r>
        <w:t>文档信息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920"/>
      </w:tblGrid>
      <w:tr>
        <w:tc>
          <w:tcPr>
            <w:tcW w:type="dxa" w:w="2232"/>
            <w:shd w:fill="F1F5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475569"/>
                <w:sz w:val="19"/>
              </w:rPr>
              <w:t>文档版本</w:t>
            </w:r>
          </w:p>
        </w:tc>
        <w:tc>
          <w:tcPr>
            <w:tcW w:type="dxa" w:w="792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r>
              <w:rPr>
                <w:rFonts w:ascii="Noto Sans CJK SC" w:hAnsi="Noto Sans CJK SC" w:eastAsia="Noto Sans CJK SC"/>
                <w:color w:val="111827"/>
                <w:sz w:val="19"/>
              </w:rPr>
              <w:t>1.0</w:t>
            </w:r>
          </w:p>
        </w:tc>
      </w:tr>
      <w:tr>
        <w:tc>
          <w:tcPr>
            <w:tcW w:type="dxa" w:w="2232"/>
            <w:shd w:fill="F1F5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475569"/>
                <w:sz w:val="19"/>
              </w:rPr>
              <w:t>产品名称</w:t>
            </w:r>
          </w:p>
        </w:tc>
        <w:tc>
          <w:tcPr>
            <w:tcW w:type="dxa" w:w="792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r>
              <w:rPr>
                <w:rFonts w:ascii="Noto Sans CJK SC" w:hAnsi="Noto Sans CJK SC" w:eastAsia="Noto Sans CJK SC"/>
                <w:color w:val="111827"/>
                <w:sz w:val="19"/>
              </w:rPr>
              <w:t>Rove</w:t>
            </w:r>
          </w:p>
        </w:tc>
      </w:tr>
      <w:tr>
        <w:tc>
          <w:tcPr>
            <w:tcW w:type="dxa" w:w="2232"/>
            <w:shd w:fill="F1F5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475569"/>
                <w:sz w:val="19"/>
              </w:rPr>
              <w:t>产品定位</w:t>
            </w:r>
          </w:p>
        </w:tc>
        <w:tc>
          <w:tcPr>
            <w:tcW w:type="dxa" w:w="792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r>
              <w:rPr>
                <w:rFonts w:ascii="Noto Sans CJK SC" w:hAnsi="Noto Sans CJK SC" w:eastAsia="Noto Sans CJK SC"/>
                <w:color w:val="111827"/>
                <w:sz w:val="19"/>
              </w:rPr>
              <w:t>Open Web Infrastructure for AI Agents</w:t>
            </w:r>
          </w:p>
        </w:tc>
      </w:tr>
      <w:tr>
        <w:tc>
          <w:tcPr>
            <w:tcW w:type="dxa" w:w="2232"/>
            <w:shd w:fill="F1F5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475569"/>
                <w:sz w:val="19"/>
              </w:rPr>
              <w:t>核心语言</w:t>
            </w:r>
          </w:p>
        </w:tc>
        <w:tc>
          <w:tcPr>
            <w:tcW w:type="dxa" w:w="792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r>
              <w:rPr>
                <w:rFonts w:ascii="Noto Sans CJK SC" w:hAnsi="Noto Sans CJK SC" w:eastAsia="Noto Sans CJK SC"/>
                <w:color w:val="111827"/>
                <w:sz w:val="19"/>
              </w:rPr>
              <w:t>Go</w:t>
            </w:r>
          </w:p>
        </w:tc>
      </w:tr>
      <w:tr>
        <w:tc>
          <w:tcPr>
            <w:tcW w:type="dxa" w:w="2232"/>
            <w:shd w:fill="F1F5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475569"/>
                <w:sz w:val="19"/>
              </w:rPr>
              <w:t>主要界面</w:t>
            </w:r>
          </w:p>
        </w:tc>
        <w:tc>
          <w:tcPr>
            <w:tcW w:type="dxa" w:w="792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r>
              <w:rPr>
                <w:rFonts w:ascii="Noto Sans CJK SC" w:hAnsi="Noto Sans CJK SC" w:eastAsia="Noto Sans CJK SC"/>
                <w:color w:val="111827"/>
                <w:sz w:val="19"/>
              </w:rPr>
              <w:t>CLI + TUI + Machine-readable API + MCP</w:t>
            </w:r>
          </w:p>
        </w:tc>
      </w:tr>
      <w:tr>
        <w:tc>
          <w:tcPr>
            <w:tcW w:type="dxa" w:w="2232"/>
            <w:shd w:fill="F1F5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475569"/>
                <w:sz w:val="19"/>
              </w:rPr>
              <w:t>核心检索</w:t>
            </w:r>
          </w:p>
        </w:tc>
        <w:tc>
          <w:tcPr>
            <w:tcW w:type="dxa" w:w="792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r>
              <w:rPr>
                <w:rFonts w:ascii="Noto Sans CJK SC" w:hAnsi="Noto Sans CJK SC" w:eastAsia="Noto Sans CJK SC"/>
                <w:color w:val="111827"/>
                <w:sz w:val="19"/>
              </w:rPr>
              <w:t>Elasticsearch：BM25 + Vector + Metadata + Hybrid</w:t>
            </w:r>
          </w:p>
        </w:tc>
      </w:tr>
      <w:tr>
        <w:tc>
          <w:tcPr>
            <w:tcW w:type="dxa" w:w="2232"/>
            <w:shd w:fill="F1F5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475569"/>
                <w:sz w:val="19"/>
              </w:rPr>
              <w:t>状态</w:t>
            </w:r>
          </w:p>
        </w:tc>
        <w:tc>
          <w:tcPr>
            <w:tcW w:type="dxa" w:w="792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r>
              <w:rPr>
                <w:rFonts w:ascii="Noto Sans CJK SC" w:hAnsi="Noto Sans CJK SC" w:eastAsia="Noto Sans CJK SC"/>
                <w:color w:val="111827"/>
                <w:sz w:val="19"/>
              </w:rPr>
              <w:t>目标产品定义；按 P0/P1/P2 仅表达实施优先级，不改变架构边界</w:t>
            </w:r>
          </w:p>
        </w:tc>
      </w:tr>
    </w:tbl>
    <w:p/>
    <w:p>
      <w:pPr>
        <w:pStyle w:val="Heading1"/>
      </w:pPr>
      <w:r>
        <w:t>目录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01  </w:t>
      </w:r>
      <w:r>
        <w:rPr>
          <w:rFonts w:ascii="Noto Sans CJK SC" w:hAnsi="Noto Sans CJK SC" w:eastAsia="Noto Sans CJK SC"/>
          <w:color w:val="111827"/>
          <w:sz w:val="21"/>
        </w:rPr>
        <w:t>背景与问题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02  </w:t>
      </w:r>
      <w:r>
        <w:rPr>
          <w:rFonts w:ascii="Noto Sans CJK SC" w:hAnsi="Noto Sans CJK SC" w:eastAsia="Noto Sans CJK SC"/>
          <w:color w:val="111827"/>
          <w:sz w:val="21"/>
        </w:rPr>
        <w:t>产品目标与非目标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03  </w:t>
      </w:r>
      <w:r>
        <w:rPr>
          <w:rFonts w:ascii="Noto Sans CJK SC" w:hAnsi="Noto Sans CJK SC" w:eastAsia="Noto Sans CJK SC"/>
          <w:color w:val="111827"/>
          <w:sz w:val="21"/>
        </w:rPr>
        <w:t>目标用户与核心场景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04  </w:t>
      </w:r>
      <w:r>
        <w:rPr>
          <w:rFonts w:ascii="Noto Sans CJK SC" w:hAnsi="Noto Sans CJK SC" w:eastAsia="Noto Sans CJK SC"/>
          <w:color w:val="111827"/>
          <w:sz w:val="21"/>
        </w:rPr>
        <w:t>产品原则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05  </w:t>
      </w:r>
      <w:r>
        <w:rPr>
          <w:rFonts w:ascii="Noto Sans CJK SC" w:hAnsi="Noto Sans CJK SC" w:eastAsia="Noto Sans CJK SC"/>
          <w:color w:val="111827"/>
          <w:sz w:val="21"/>
        </w:rPr>
        <w:t>范围与功能地图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06  </w:t>
      </w:r>
      <w:r>
        <w:rPr>
          <w:rFonts w:ascii="Noto Sans CJK SC" w:hAnsi="Noto Sans CJK SC" w:eastAsia="Noto Sans CJK SC"/>
          <w:color w:val="111827"/>
          <w:sz w:val="21"/>
        </w:rPr>
        <w:t>核心功能需求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07  </w:t>
      </w:r>
      <w:r>
        <w:rPr>
          <w:rFonts w:ascii="Noto Sans CJK SC" w:hAnsi="Noto Sans CJK SC" w:eastAsia="Noto Sans CJK SC"/>
          <w:color w:val="111827"/>
          <w:sz w:val="21"/>
        </w:rPr>
        <w:t>TUI / CLI / MCP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08  </w:t>
      </w:r>
      <w:r>
        <w:rPr>
          <w:rFonts w:ascii="Noto Sans CJK SC" w:hAnsi="Noto Sans CJK SC" w:eastAsia="Noto Sans CJK SC"/>
          <w:color w:val="111827"/>
          <w:sz w:val="21"/>
        </w:rPr>
        <w:t>数据与检索模型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09  </w:t>
      </w:r>
      <w:r>
        <w:rPr>
          <w:rFonts w:ascii="Noto Sans CJK SC" w:hAnsi="Noto Sans CJK SC" w:eastAsia="Noto Sans CJK SC"/>
          <w:color w:val="111827"/>
          <w:sz w:val="21"/>
        </w:rPr>
        <w:t>非功能需求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10  </w:t>
      </w:r>
      <w:r>
        <w:rPr>
          <w:rFonts w:ascii="Noto Sans CJK SC" w:hAnsi="Noto Sans CJK SC" w:eastAsia="Noto Sans CJK SC"/>
          <w:color w:val="111827"/>
          <w:sz w:val="21"/>
        </w:rPr>
        <w:t>安全与合规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11  </w:t>
      </w:r>
      <w:r>
        <w:rPr>
          <w:rFonts w:ascii="Noto Sans CJK SC" w:hAnsi="Noto Sans CJK SC" w:eastAsia="Noto Sans CJK SC"/>
          <w:color w:val="111827"/>
          <w:sz w:val="21"/>
        </w:rPr>
        <w:t>可观察性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12  </w:t>
      </w:r>
      <w:r>
        <w:rPr>
          <w:rFonts w:ascii="Noto Sans CJK SC" w:hAnsi="Noto Sans CJK SC" w:eastAsia="Noto Sans CJK SC"/>
          <w:color w:val="111827"/>
          <w:sz w:val="21"/>
        </w:rPr>
        <w:t>优先级与验收标准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13  </w:t>
      </w:r>
      <w:r>
        <w:rPr>
          <w:rFonts w:ascii="Noto Sans CJK SC" w:hAnsi="Noto Sans CJK SC" w:eastAsia="Noto Sans CJK SC"/>
          <w:color w:val="111827"/>
          <w:sz w:val="21"/>
        </w:rPr>
        <w:t>成功指标与风险</w:t>
      </w:r>
    </w:p>
    <w:p>
      <w:pPr>
        <w:pStyle w:val="Heading1"/>
        <w:pageBreakBefore/>
      </w:pPr>
      <w:r>
        <w:t>01  背景与问题</w:t>
      </w: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现有 Agent Web 能力高度碎片化：Search、Crawl、Browser、Extract、Index、Vector Retrieval、Rerank 与 Citation 往往由不同组件承担，缺少统一 Runtime、Document Model、错误语义和可观察性。Rove 通过自研完整链路，把 Web 转化为 Agent 可检索、可引用、可调试的 Evidence。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4" w:color="CBD5E1"/>
              <w:start w:val="single" w:sz="18" w:color="111827"/>
              <w:bottom w:val="single" w:sz="4" w:color="CBD5E1"/>
              <w:end w:val="single" w:sz="4" w:color="CBD5E1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11827"/>
                <w:sz w:val="21"/>
              </w:rPr>
              <w:t>产品问题定义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475569"/>
                <w:sz w:val="20"/>
              </w:rPr>
              <w:t>如何让任意 Agent 在不依赖外部 Search SaaS 的前提下，可靠地发现 Web 内容、访问动态页面、建立自己的索引，并以结构化 Evidence 的形式获得高质量检索结果？</w:t>
            </w:r>
          </w:p>
        </w:tc>
      </w:tr>
    </w:tbl>
    <w:p>
      <w:pPr>
        <w:spacing w:after="40"/>
      </w:pPr>
    </w:p>
    <w:p>
      <w:pPr>
        <w:pStyle w:val="Heading1"/>
      </w:pPr>
      <w:r>
        <w:t>02  产品目标与非目标</w:t>
      </w:r>
    </w:p>
    <w:p>
      <w:pPr>
        <w:pStyle w:val="Heading2"/>
      </w:pPr>
      <w:r>
        <w:t>产品目标</w:t>
      </w:r>
    </w:p>
    <w:p>
      <w:pPr>
        <w:pStyle w:val="ListBullet"/>
        <w:spacing w:after="60" w:line="293" w:lineRule="auto"/>
        <w:ind w:left="403" w:hanging="230"/>
      </w:pPr>
      <w:r>
        <w:rPr>
          <w:rFonts w:ascii="Noto Sans CJK SC" w:hAnsi="Noto Sans CJK SC" w:eastAsia="Noto Sans CJK SC"/>
          <w:color w:val="111827"/>
          <w:sz w:val="20"/>
        </w:rPr>
        <w:t>提供从 Crawl → Fetch → Parse → Index → Retrieve → Rank → Evidence 的完整闭环。</w:t>
      </w:r>
    </w:p>
    <w:p>
      <w:pPr>
        <w:pStyle w:val="ListBullet"/>
        <w:spacing w:after="60" w:line="293" w:lineRule="auto"/>
        <w:ind w:left="403" w:hanging="230"/>
      </w:pPr>
      <w:r>
        <w:rPr>
          <w:rFonts w:ascii="Noto Sans CJK SC" w:hAnsi="Noto Sans CJK SC" w:eastAsia="Noto Sans CJK SC"/>
          <w:color w:val="111827"/>
          <w:sz w:val="20"/>
        </w:rPr>
        <w:t>默认自托管，搜索结果来自 Rove 自己维护的 Elasticsearch Index。</w:t>
      </w:r>
    </w:p>
    <w:p>
      <w:pPr>
        <w:pStyle w:val="ListBullet"/>
        <w:spacing w:after="60" w:line="293" w:lineRule="auto"/>
        <w:ind w:left="403" w:hanging="230"/>
      </w:pPr>
      <w:r>
        <w:rPr>
          <w:rFonts w:ascii="Noto Sans CJK SC" w:hAnsi="Noto Sans CJK SC" w:eastAsia="Noto Sans CJK SC"/>
          <w:color w:val="111827"/>
          <w:sz w:val="20"/>
        </w:rPr>
        <w:t>统一静态 Web 与动态 Web 的访问模型，采用 HTTP First、Browser Escalation。</w:t>
      </w:r>
    </w:p>
    <w:p>
      <w:pPr>
        <w:pStyle w:val="ListBullet"/>
        <w:spacing w:after="60" w:line="293" w:lineRule="auto"/>
        <w:ind w:left="403" w:hanging="230"/>
      </w:pPr>
      <w:r>
        <w:rPr>
          <w:rFonts w:ascii="Noto Sans CJK SC" w:hAnsi="Noto Sans CJK SC" w:eastAsia="Noto Sans CJK SC"/>
          <w:color w:val="111827"/>
          <w:sz w:val="20"/>
        </w:rPr>
        <w:t>在没有任何 LLM API Key 的情况下仍可完成抓取、索引、BM25 检索、基础 Hybrid 流程与 Evidence 输出。</w:t>
      </w:r>
    </w:p>
    <w:p>
      <w:pPr>
        <w:pStyle w:val="ListBullet"/>
        <w:spacing w:after="60" w:line="293" w:lineRule="auto"/>
        <w:ind w:left="403" w:hanging="230"/>
      </w:pPr>
      <w:r>
        <w:rPr>
          <w:rFonts w:ascii="Noto Sans CJK SC" w:hAnsi="Noto Sans CJK SC" w:eastAsia="Noto Sans CJK SC"/>
          <w:color w:val="111827"/>
          <w:sz w:val="20"/>
        </w:rPr>
        <w:t>为开发者提供优秀的 CLI/TUI Debug Experience，为 Agent 提供 JSON/JSONL/MCP。</w:t>
      </w:r>
    </w:p>
    <w:p>
      <w:pPr>
        <w:pStyle w:val="ListBullet"/>
        <w:spacing w:after="60" w:line="293" w:lineRule="auto"/>
        <w:ind w:left="403" w:hanging="230"/>
      </w:pPr>
      <w:r>
        <w:rPr>
          <w:rFonts w:ascii="Noto Sans CJK SC" w:hAnsi="Noto Sans CJK SC" w:eastAsia="Noto Sans CJK SC"/>
          <w:color w:val="111827"/>
          <w:sz w:val="20"/>
        </w:rPr>
        <w:t>所有核心组件均可观测、可测试、可独立演进。</w:t>
      </w:r>
    </w:p>
    <w:p>
      <w:pPr>
        <w:pStyle w:val="Heading2"/>
      </w:pPr>
      <w:r>
        <w:t>非目标</w:t>
      </w:r>
    </w:p>
    <w:p>
      <w:pPr>
        <w:pStyle w:val="ListBullet"/>
        <w:spacing w:after="60" w:line="293" w:lineRule="auto"/>
        <w:ind w:left="403" w:hanging="230"/>
      </w:pPr>
      <w:r>
        <w:rPr>
          <w:rFonts w:ascii="Noto Sans CJK SC" w:hAnsi="Noto Sans CJK SC" w:eastAsia="Noto Sans CJK SC"/>
          <w:color w:val="111827"/>
          <w:sz w:val="20"/>
        </w:rPr>
        <w:t>不建设 SaaS Dashboard、Billing、多租户和商业化账号体系。</w:t>
      </w:r>
    </w:p>
    <w:p>
      <w:pPr>
        <w:pStyle w:val="ListBullet"/>
        <w:spacing w:after="60" w:line="293" w:lineRule="auto"/>
        <w:ind w:left="403" w:hanging="230"/>
      </w:pPr>
      <w:r>
        <w:rPr>
          <w:rFonts w:ascii="Noto Sans CJK SC" w:hAnsi="Noto Sans CJK SC" w:eastAsia="Noto Sans CJK SC"/>
          <w:color w:val="111827"/>
          <w:sz w:val="20"/>
        </w:rPr>
        <w:t>不做通用 Agent Framework、Chatbot 或 Deep Research 应用。</w:t>
      </w:r>
    </w:p>
    <w:p>
      <w:pPr>
        <w:pStyle w:val="ListBullet"/>
        <w:spacing w:after="60" w:line="293" w:lineRule="auto"/>
        <w:ind w:left="403" w:hanging="230"/>
      </w:pPr>
      <w:r>
        <w:rPr>
          <w:rFonts w:ascii="Noto Sans CJK SC" w:hAnsi="Noto Sans CJK SC" w:eastAsia="Noto Sans CJK SC"/>
          <w:color w:val="111827"/>
          <w:sz w:val="20"/>
        </w:rPr>
        <w:t>不以第三方 Search Provider 作为产品成立前提。</w:t>
      </w:r>
    </w:p>
    <w:p>
      <w:pPr>
        <w:pStyle w:val="ListBullet"/>
        <w:spacing w:after="60" w:line="293" w:lineRule="auto"/>
        <w:ind w:left="403" w:hanging="230"/>
      </w:pPr>
      <w:r>
        <w:rPr>
          <w:rFonts w:ascii="Noto Sans CJK SC" w:hAnsi="Noto Sans CJK SC" w:eastAsia="Noto Sans CJK SC"/>
          <w:color w:val="111827"/>
          <w:sz w:val="20"/>
        </w:rPr>
        <w:t>不在 Core 中强绑定某个 LLM、Embedding 或 Reranker 供应商。</w:t>
      </w:r>
    </w:p>
    <w:p>
      <w:pPr>
        <w:pStyle w:val="ListBullet"/>
        <w:spacing w:after="60" w:line="293" w:lineRule="auto"/>
        <w:ind w:left="403" w:hanging="230"/>
      </w:pPr>
      <w:r>
        <w:rPr>
          <w:rFonts w:ascii="Noto Sans CJK SC" w:hAnsi="Noto Sans CJK SC" w:eastAsia="Noto Sans CJK SC"/>
          <w:color w:val="111827"/>
          <w:sz w:val="20"/>
        </w:rPr>
        <w:t>不要求 Kubernetes 才能运行。</w:t>
      </w:r>
    </w:p>
    <w:p>
      <w:pPr>
        <w:pStyle w:val="Heading1"/>
      </w:pPr>
      <w:r>
        <w:t>03  目标用户与核心场景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456"/>
        <w:gridCol w:w="3744"/>
      </w:tblGrid>
      <w:tr>
        <w:trPr>
          <w:tblHeader w:val="true"/>
          <w:cantSplit/>
        </w:trPr>
        <w:tc>
          <w:tcPr>
            <w:tcW w:type="dxa" w:w="2448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</w:t>
            </w:r>
          </w:p>
        </w:tc>
        <w:tc>
          <w:tcPr>
            <w:tcW w:type="dxa" w:w="3456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主要需求</w:t>
            </w:r>
          </w:p>
        </w:tc>
        <w:tc>
          <w:tcPr>
            <w:tcW w:type="dxa" w:w="3744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Rove 价值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Agent Framework Developer</w:t>
            </w:r>
          </w:p>
        </w:tc>
        <w:tc>
          <w:tcPr>
            <w:tcW w:type="dxa" w:w="345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为 Agent 提供统一 Web Tool</w:t>
            </w:r>
          </w:p>
        </w:tc>
        <w:tc>
          <w:tcPr>
            <w:tcW w:type="dxa" w:w="374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减少 Search/Browser/Crawl glue code</w:t>
            </w:r>
          </w:p>
        </w:tc>
      </w:tr>
      <w:tr>
        <w:trPr>
          <w:cantSplit/>
        </w:trPr>
        <w:tc>
          <w:tcPr>
            <w:tcW w:type="dxa" w:w="244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Research Agent Developer</w:t>
            </w:r>
          </w:p>
        </w:tc>
        <w:tc>
          <w:tcPr>
            <w:tcW w:type="dxa" w:w="3456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可追溯检索与引用</w:t>
            </w:r>
          </w:p>
        </w:tc>
        <w:tc>
          <w:tcPr>
            <w:tcW w:type="dxa" w:w="374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自有 Corpus + Evidence Pipeline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Coding Agent Developer</w:t>
            </w:r>
          </w:p>
        </w:tc>
        <w:tc>
          <w:tcPr>
            <w:tcW w:type="dxa" w:w="345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文档、代码站与动态页面检索</w:t>
            </w:r>
          </w:p>
        </w:tc>
        <w:tc>
          <w:tcPr>
            <w:tcW w:type="dxa" w:w="374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Search 与 Browser 同一 Runtime</w:t>
            </w:r>
          </w:p>
        </w:tc>
      </w:tr>
      <w:tr>
        <w:trPr>
          <w:cantSplit/>
        </w:trPr>
        <w:tc>
          <w:tcPr>
            <w:tcW w:type="dxa" w:w="244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AI Infra Engineer</w:t>
            </w:r>
          </w:p>
        </w:tc>
        <w:tc>
          <w:tcPr>
            <w:tcW w:type="dxa" w:w="3456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自托管、可观测、可扩展</w:t>
            </w:r>
          </w:p>
        </w:tc>
        <w:tc>
          <w:tcPr>
            <w:tcW w:type="dxa" w:w="374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Go Runtime + ES + 标准接口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Enterprise Developer</w:t>
            </w:r>
          </w:p>
        </w:tc>
        <w:tc>
          <w:tcPr>
            <w:tcW w:type="dxa" w:w="345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Public Web + Private Corpus</w:t>
            </w:r>
          </w:p>
        </w:tc>
        <w:tc>
          <w:tcPr>
            <w:tcW w:type="dxa" w:w="374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数据不必发往外部 Search SaaS</w:t>
            </w:r>
          </w:p>
        </w:tc>
      </w:tr>
    </w:tbl>
    <w:p>
      <w:pPr>
        <w:spacing w:after="40"/>
      </w:pPr>
    </w:p>
    <w:p>
      <w:pPr>
        <w:pStyle w:val="Heading1"/>
      </w:pPr>
      <w:r>
        <w:t>04  产品原则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rPr>
          <w:tblHeader w:val="true"/>
          <w:cantSplit/>
        </w:trPr>
        <w:tc>
          <w:tcPr>
            <w:tcW w:type="dxa" w:w="2448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7200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Open</w:t>
            </w:r>
          </w:p>
        </w:tc>
        <w:tc>
          <w:tcPr>
            <w:tcW w:type="dxa" w:w="72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核心能力可以本地/自托管运行；Apache-2.0。</w:t>
            </w:r>
          </w:p>
        </w:tc>
      </w:tr>
      <w:tr>
        <w:trPr>
          <w:cantSplit/>
        </w:trPr>
        <w:tc>
          <w:tcPr>
            <w:tcW w:type="dxa" w:w="244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Self-owned Retrieval</w:t>
            </w:r>
          </w:p>
        </w:tc>
        <w:tc>
          <w:tcPr>
            <w:tcW w:type="dxa" w:w="720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Crawler、Index、Retriever、Ranker 属于 Rove Core。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HTTP First</w:t>
            </w:r>
          </w:p>
        </w:tc>
        <w:tc>
          <w:tcPr>
            <w:tcW w:type="dxa" w:w="72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优先轻量 HTTP；只在必要时启用 Chromium。</w:t>
            </w:r>
          </w:p>
        </w:tc>
      </w:tr>
      <w:tr>
        <w:trPr>
          <w:cantSplit/>
        </w:trPr>
        <w:tc>
          <w:tcPr>
            <w:tcW w:type="dxa" w:w="244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Deterministic First</w:t>
            </w:r>
          </w:p>
        </w:tc>
        <w:tc>
          <w:tcPr>
            <w:tcW w:type="dxa" w:w="720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无 LLM 依赖也必须形成完整基本闭环。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Agent-first</w:t>
            </w:r>
          </w:p>
        </w:tc>
        <w:tc>
          <w:tcPr>
            <w:tcW w:type="dxa" w:w="72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输出 Evidence，而不是面向人的 SERP。</w:t>
            </w:r>
          </w:p>
        </w:tc>
      </w:tr>
      <w:tr>
        <w:trPr>
          <w:cantSplit/>
        </w:trPr>
        <w:tc>
          <w:tcPr>
            <w:tcW w:type="dxa" w:w="244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Human-debuggable</w:t>
            </w:r>
          </w:p>
        </w:tc>
        <w:tc>
          <w:tcPr>
            <w:tcW w:type="dxa" w:w="720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每个重要决策和耗时都可在 CLI/TUI/Trace 中查看。</w:t>
            </w:r>
          </w:p>
        </w:tc>
      </w:tr>
    </w:tbl>
    <w:p>
      <w:pPr>
        <w:spacing w:after="40"/>
      </w:pPr>
    </w:p>
    <w:p>
      <w:pPr>
        <w:pStyle w:val="Heading1"/>
      </w:pPr>
      <w:r>
        <w:t>05  范围与功能地图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111827"/>
                <w:sz w:val="17"/>
              </w:rPr>
              <w:t>Rove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Acquisition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├─ Crawler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├─ URL Frontier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├─ Scheduler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└─ Robots / URL Policy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Retrieval Runtime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├─ HTTP Fetcher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└─ Browser Runtime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Content Pipeline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├─ Parser / Extractor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├─ Normalize / Canonicalize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├─ Dedup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└─ Chunk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Storage &amp; Index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├─ Elasticsearch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├─ Object Store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└─ SQLite Runtime State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Retrieval &amp; Ranking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├─ BM25 / Vector / Hybrid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├─ Fusion / Rank / Rerank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└─ Evidence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└─ Interface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├─ Go API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├─ CLI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├─ TUI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└─ MCP</w:t>
            </w:r>
          </w:p>
        </w:tc>
      </w:tr>
    </w:tbl>
    <w:p>
      <w:pPr>
        <w:spacing w:after="20"/>
      </w:pPr>
    </w:p>
    <w:p>
      <w:pPr>
        <w:pStyle w:val="Heading1"/>
      </w:pPr>
      <w:r>
        <w:t>06  核心功能需求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800"/>
        <w:gridCol w:w="5688"/>
        <w:gridCol w:w="1008"/>
      </w:tblGrid>
      <w:tr>
        <w:trPr>
          <w:tblHeader w:val="true"/>
          <w:cantSplit/>
        </w:trPr>
        <w:tc>
          <w:tcPr>
            <w:tcW w:type="dxa" w:w="1512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00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5688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1008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FR-ACQ-001</w:t>
            </w:r>
          </w:p>
        </w:tc>
        <w:tc>
          <w:tcPr>
            <w:tcW w:type="dxa" w:w="18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Crawler</w:t>
            </w:r>
          </w:p>
        </w:tc>
        <w:tc>
          <w:tcPr>
            <w:tcW w:type="dxa" w:w="56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给定 Seed URL 后发现站内可抓取 URL，并进入 Frontier。</w:t>
            </w:r>
          </w:p>
        </w:tc>
        <w:tc>
          <w:tcPr>
            <w:tcW w:type="dxa" w:w="100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51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FR-ACQ-002</w:t>
            </w:r>
          </w:p>
        </w:tc>
        <w:tc>
          <w:tcPr>
            <w:tcW w:type="dxa" w:w="180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URL Frontier</w:t>
            </w:r>
          </w:p>
        </w:tc>
        <w:tc>
          <w:tcPr>
            <w:tcW w:type="dxa" w:w="568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支持 URL 去重、优先级、深度、来源、重试和 next_fetch_at。</w:t>
            </w:r>
          </w:p>
        </w:tc>
        <w:tc>
          <w:tcPr>
            <w:tcW w:type="dxa" w:w="100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FR-ACQ-003</w:t>
            </w:r>
          </w:p>
        </w:tc>
        <w:tc>
          <w:tcPr>
            <w:tcW w:type="dxa" w:w="18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Scheduler</w:t>
            </w:r>
          </w:p>
        </w:tc>
        <w:tc>
          <w:tcPr>
            <w:tcW w:type="dxa" w:w="56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依据 host rate、robots、priority、freshness 与 retry 调度。</w:t>
            </w:r>
          </w:p>
        </w:tc>
        <w:tc>
          <w:tcPr>
            <w:tcW w:type="dxa" w:w="100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51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FR-FET-001</w:t>
            </w:r>
          </w:p>
        </w:tc>
        <w:tc>
          <w:tcPr>
            <w:tcW w:type="dxa" w:w="180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HTTP Fetch</w:t>
            </w:r>
          </w:p>
        </w:tc>
        <w:tc>
          <w:tcPr>
            <w:tcW w:type="dxa" w:w="568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支持 redirect、timeout、retry、compression、charset、ETag、Last-Modified、max body size。</w:t>
            </w:r>
          </w:p>
        </w:tc>
        <w:tc>
          <w:tcPr>
            <w:tcW w:type="dxa" w:w="100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FR-FET-002</w:t>
            </w:r>
          </w:p>
        </w:tc>
        <w:tc>
          <w:tcPr>
            <w:tcW w:type="dxa" w:w="18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Browser Escalation</w:t>
            </w:r>
          </w:p>
        </w:tc>
        <w:tc>
          <w:tcPr>
            <w:tcW w:type="dxa" w:w="56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HTTP 正文不足、CSR/SPA 或必须交互时升级 Chromium/CDP。</w:t>
            </w:r>
          </w:p>
        </w:tc>
        <w:tc>
          <w:tcPr>
            <w:tcW w:type="dxa" w:w="100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51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FR-BRW-001</w:t>
            </w:r>
          </w:p>
        </w:tc>
        <w:tc>
          <w:tcPr>
            <w:tcW w:type="dxa" w:w="180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Browser Session</w:t>
            </w:r>
          </w:p>
        </w:tc>
        <w:tc>
          <w:tcPr>
            <w:tcW w:type="dxa" w:w="568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管理 Chromium、Context、Page、Cookie、Storage 生命周期。</w:t>
            </w:r>
          </w:p>
        </w:tc>
        <w:tc>
          <w:tcPr>
            <w:tcW w:type="dxa" w:w="100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FR-BRW-002</w:t>
            </w:r>
          </w:p>
        </w:tc>
        <w:tc>
          <w:tcPr>
            <w:tcW w:type="dxa" w:w="18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Page State</w:t>
            </w:r>
          </w:p>
        </w:tc>
        <w:tc>
          <w:tcPr>
            <w:tcW w:type="dxa" w:w="56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输出 Agent-friendly interactive elements，并使用稳定 element id。</w:t>
            </w:r>
          </w:p>
        </w:tc>
        <w:tc>
          <w:tcPr>
            <w:tcW w:type="dxa" w:w="100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51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FR-CNT-001</w:t>
            </w:r>
          </w:p>
        </w:tc>
        <w:tc>
          <w:tcPr>
            <w:tcW w:type="dxa" w:w="180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Parser</w:t>
            </w:r>
          </w:p>
        </w:tc>
        <w:tc>
          <w:tcPr>
            <w:tcW w:type="dxa" w:w="568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支持 HTML、Text、JSON、Markdown；PDF 为独立 Parser。</w:t>
            </w:r>
          </w:p>
        </w:tc>
        <w:tc>
          <w:tcPr>
            <w:tcW w:type="dxa" w:w="100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FR-CNT-002</w:t>
            </w:r>
          </w:p>
        </w:tc>
        <w:tc>
          <w:tcPr>
            <w:tcW w:type="dxa" w:w="18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Extractor</w:t>
            </w:r>
          </w:p>
        </w:tc>
        <w:tc>
          <w:tcPr>
            <w:tcW w:type="dxa" w:w="56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提取正文、标题、作者、时间、描述、链接与结构化 metadata。</w:t>
            </w:r>
          </w:p>
        </w:tc>
        <w:tc>
          <w:tcPr>
            <w:tcW w:type="dxa" w:w="100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51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FR-CNT-003</w:t>
            </w:r>
          </w:p>
        </w:tc>
        <w:tc>
          <w:tcPr>
            <w:tcW w:type="dxa" w:w="180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Canonicalize &amp; Dedup</w:t>
            </w:r>
          </w:p>
        </w:tc>
        <w:tc>
          <w:tcPr>
            <w:tcW w:type="dxa" w:w="568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支持 canonical URL、content hash、near-duplicate 策略。</w:t>
            </w:r>
          </w:p>
        </w:tc>
        <w:tc>
          <w:tcPr>
            <w:tcW w:type="dxa" w:w="100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FR-IDX-001</w:t>
            </w:r>
          </w:p>
        </w:tc>
        <w:tc>
          <w:tcPr>
            <w:tcW w:type="dxa" w:w="18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Elasticsearch Index</w:t>
            </w:r>
          </w:p>
        </w:tc>
        <w:tc>
          <w:tcPr>
            <w:tcW w:type="dxa" w:w="56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维护 Document Index 与 Chunk Index，使用 Alias 管理 schema 演进。</w:t>
            </w:r>
          </w:p>
        </w:tc>
        <w:tc>
          <w:tcPr>
            <w:tcW w:type="dxa" w:w="100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51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FR-IDX-002</w:t>
            </w:r>
          </w:p>
        </w:tc>
        <w:tc>
          <w:tcPr>
            <w:tcW w:type="dxa" w:w="180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Bulk Index</w:t>
            </w:r>
          </w:p>
        </w:tc>
        <w:tc>
          <w:tcPr>
            <w:tcW w:type="dxa" w:w="568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索引流程必须支持批量写入和失败重试。</w:t>
            </w:r>
          </w:p>
        </w:tc>
        <w:tc>
          <w:tcPr>
            <w:tcW w:type="dxa" w:w="100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FR-RET-001</w:t>
            </w:r>
          </w:p>
        </w:tc>
        <w:tc>
          <w:tcPr>
            <w:tcW w:type="dxa" w:w="18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BM25 Retrieval</w:t>
            </w:r>
          </w:p>
        </w:tc>
        <w:tc>
          <w:tcPr>
            <w:tcW w:type="dxa" w:w="56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支持 title/content/chunk 关键词召回和 metadata filter。</w:t>
            </w:r>
          </w:p>
        </w:tc>
        <w:tc>
          <w:tcPr>
            <w:tcW w:type="dxa" w:w="100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51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FR-RET-002</w:t>
            </w:r>
          </w:p>
        </w:tc>
        <w:tc>
          <w:tcPr>
            <w:tcW w:type="dxa" w:w="180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Vector Retrieval</w:t>
            </w:r>
          </w:p>
        </w:tc>
        <w:tc>
          <w:tcPr>
            <w:tcW w:type="dxa" w:w="568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支持 dense vector 语义召回；Embedder 为可替换接口。</w:t>
            </w:r>
          </w:p>
        </w:tc>
        <w:tc>
          <w:tcPr>
            <w:tcW w:type="dxa" w:w="100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FR-RET-003</w:t>
            </w:r>
          </w:p>
        </w:tc>
        <w:tc>
          <w:tcPr>
            <w:tcW w:type="dxa" w:w="18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Hybrid Retrieval</w:t>
            </w:r>
          </w:p>
        </w:tc>
        <w:tc>
          <w:tcPr>
            <w:tcW w:type="dxa" w:w="56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BM25 + Vector 候选经 Fusion 合并，默认支持 RRF。</w:t>
            </w:r>
          </w:p>
        </w:tc>
        <w:tc>
          <w:tcPr>
            <w:tcW w:type="dxa" w:w="100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51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FR-RNK-001</w:t>
            </w:r>
          </w:p>
        </w:tc>
        <w:tc>
          <w:tcPr>
            <w:tcW w:type="dxa" w:w="180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Ranking</w:t>
            </w:r>
          </w:p>
        </w:tc>
        <w:tc>
          <w:tcPr>
            <w:tcW w:type="dxa" w:w="568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综合 relevance、freshness、source quality、language、duplicate penalty。</w:t>
            </w:r>
          </w:p>
        </w:tc>
        <w:tc>
          <w:tcPr>
            <w:tcW w:type="dxa" w:w="100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FR-EVD-001</w:t>
            </w:r>
          </w:p>
        </w:tc>
        <w:tc>
          <w:tcPr>
            <w:tcW w:type="dxa" w:w="18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Evidence</w:t>
            </w:r>
          </w:p>
        </w:tc>
        <w:tc>
          <w:tcPr>
            <w:tcW w:type="dxa" w:w="56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输出 relevant chunk、URL、source、score、position/metadata。</w:t>
            </w:r>
          </w:p>
        </w:tc>
        <w:tc>
          <w:tcPr>
            <w:tcW w:type="dxa" w:w="100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51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FR-MAP-001</w:t>
            </w:r>
          </w:p>
        </w:tc>
        <w:tc>
          <w:tcPr>
            <w:tcW w:type="dxa" w:w="180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Map</w:t>
            </w:r>
          </w:p>
        </w:tc>
        <w:tc>
          <w:tcPr>
            <w:tcW w:type="dxa" w:w="568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仅做 URL Discovery，不强制完整内容抓取。</w:t>
            </w:r>
          </w:p>
        </w:tc>
        <w:tc>
          <w:tcPr>
            <w:tcW w:type="dxa" w:w="100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FR-RNK-002</w:t>
            </w:r>
          </w:p>
        </w:tc>
        <w:tc>
          <w:tcPr>
            <w:tcW w:type="dxa" w:w="18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Reranker</w:t>
            </w:r>
          </w:p>
        </w:tc>
        <w:tc>
          <w:tcPr>
            <w:tcW w:type="dxa" w:w="56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支持 heuristic / cross-encoder / LLM / custom。</w:t>
            </w:r>
          </w:p>
        </w:tc>
        <w:tc>
          <w:tcPr>
            <w:tcW w:type="dxa" w:w="100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51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FR-QRY-001</w:t>
            </w:r>
          </w:p>
        </w:tc>
        <w:tc>
          <w:tcPr>
            <w:tcW w:type="dxa" w:w="180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Query Router</w:t>
            </w:r>
          </w:p>
        </w:tc>
        <w:tc>
          <w:tcPr>
            <w:tcW w:type="dxa" w:w="568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可按 Web/Docs/Code/Academic 等逻辑 Index 路由。</w:t>
            </w:r>
          </w:p>
        </w:tc>
        <w:tc>
          <w:tcPr>
            <w:tcW w:type="dxa" w:w="100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FR-MCP-001</w:t>
            </w:r>
          </w:p>
        </w:tc>
        <w:tc>
          <w:tcPr>
            <w:tcW w:type="dxa" w:w="18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MCP</w:t>
            </w:r>
          </w:p>
        </w:tc>
        <w:tc>
          <w:tcPr>
            <w:tcW w:type="dxa" w:w="56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原生暴露 search/fetch/browse/crawl/extract 工具。</w:t>
            </w:r>
          </w:p>
        </w:tc>
        <w:tc>
          <w:tcPr>
            <w:tcW w:type="dxa" w:w="100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P1</w:t>
            </w:r>
          </w:p>
        </w:tc>
      </w:tr>
    </w:tbl>
    <w:p>
      <w:pPr>
        <w:spacing w:after="40"/>
      </w:pPr>
    </w:p>
    <w:p>
      <w:pPr>
        <w:pStyle w:val="Heading1"/>
      </w:pPr>
      <w:r>
        <w:t>07  TUI / CLI / MCP</w:t>
      </w:r>
    </w:p>
    <w:p>
      <w:pPr>
        <w:pStyle w:val="Heading2"/>
      </w:pPr>
      <w:r>
        <w:t>CLI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111827"/>
                <w:sz w:val="17"/>
              </w:rPr>
              <w:t>rove search "..." [--json]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rove fetch &lt;url&gt; [--mode auto|http|browser]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rove browse &lt;url&gt;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rove crawl &lt;seed&gt;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rove map &lt;url&gt;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rove extract &lt;url&gt;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rove index status|stats|rebuild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rove mcp</w:t>
            </w:r>
          </w:p>
        </w:tc>
      </w:tr>
    </w:tbl>
    <w:p>
      <w:pPr>
        <w:spacing w:after="20"/>
      </w:pPr>
    </w:p>
    <w:p>
      <w:pPr>
        <w:pStyle w:val="Heading2"/>
      </w:pPr>
      <w:r>
        <w:t>TUI</w:t>
      </w: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直接运行 rove 进入 TUI。TUI 的定位不是营销界面，而是 Rove Runtime Debugger。必须提供 Search、Crawl、Browse、Index、Runtime 五个主要视图。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rPr>
          <w:tblHeader w:val="true"/>
          <w:cantSplit/>
        </w:trPr>
        <w:tc>
          <w:tcPr>
            <w:tcW w:type="dxa" w:w="2160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视图</w:t>
            </w:r>
          </w:p>
        </w:tc>
        <w:tc>
          <w:tcPr>
            <w:tcW w:type="dxa" w:w="7488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核心信息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Search</w:t>
            </w:r>
          </w:p>
        </w:tc>
        <w:tc>
          <w:tcPr>
            <w:tcW w:type="dxa" w:w="74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结果、Evidence、lexical/vector/fusion/rank 分数、耗时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Crawl</w:t>
            </w:r>
          </w:p>
        </w:tc>
        <w:tc>
          <w:tcPr>
            <w:tcW w:type="dxa" w:w="748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Frontier、active workers、visited、failed、host rate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Browse</w:t>
            </w:r>
          </w:p>
        </w:tc>
        <w:tc>
          <w:tcPr>
            <w:tcW w:type="dxa" w:w="74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Page State、interactive elements、actions、navigation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Index</w:t>
            </w:r>
          </w:p>
        </w:tc>
        <w:tc>
          <w:tcPr>
            <w:tcW w:type="dxa" w:w="748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documents、chunks、index size、alias、health、indexing throughput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Runtime</w:t>
            </w:r>
          </w:p>
        </w:tc>
        <w:tc>
          <w:tcPr>
            <w:tcW w:type="dxa" w:w="74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HTTP、Browser、ES、Cache、SQLite、Trace 状态</w:t>
            </w:r>
          </w:p>
        </w:tc>
      </w:tr>
    </w:tbl>
    <w:p>
      <w:pPr>
        <w:spacing w:after="40"/>
      </w:pPr>
    </w:p>
    <w:p>
      <w:pPr>
        <w:pStyle w:val="Heading2"/>
      </w:pPr>
      <w:r>
        <w:t>MCP</w:t>
      </w: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MCP 对外暴露稳定的 Agent Tool，而不是内部组件细节。至少包括 rove_search、rove_fetch、rove_browse、rove_crawl、rove_extract。</w:t>
      </w:r>
    </w:p>
    <w:p>
      <w:pPr>
        <w:pStyle w:val="Heading1"/>
      </w:pPr>
      <w:r>
        <w:t>08  数据与检索模型</w:t>
      </w:r>
    </w:p>
    <w:p>
      <w:pPr>
        <w:pStyle w:val="Heading2"/>
      </w:pPr>
      <w:r>
        <w:t>Document Model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111827"/>
                <w:sz w:val="17"/>
              </w:rPr>
              <w:t>Document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id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url / canonical_url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title / description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content / markdown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language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published_at / updated_at / fetched_at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source { domain, type }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metadata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content_hash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└─ chunks[]</w:t>
            </w:r>
          </w:p>
        </w:tc>
      </w:tr>
    </w:tbl>
    <w:p>
      <w:pPr>
        <w:spacing w:after="20"/>
      </w:pPr>
    </w:p>
    <w:p>
      <w:pPr>
        <w:pStyle w:val="Heading2"/>
      </w:pPr>
      <w:r>
        <w:t>Elasticsearch Index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024"/>
        <w:gridCol w:w="4248"/>
      </w:tblGrid>
      <w:tr>
        <w:trPr>
          <w:tblHeader w:val="true"/>
          <w:cantSplit/>
        </w:trPr>
        <w:tc>
          <w:tcPr>
            <w:tcW w:type="dxa" w:w="2376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Alias</w:t>
            </w:r>
          </w:p>
        </w:tc>
        <w:tc>
          <w:tcPr>
            <w:tcW w:type="dxa" w:w="3024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物理 Index</w:t>
            </w:r>
          </w:p>
        </w:tc>
        <w:tc>
          <w:tcPr>
            <w:tcW w:type="dxa" w:w="4248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rove-documents</w:t>
            </w:r>
          </w:p>
        </w:tc>
        <w:tc>
          <w:tcPr>
            <w:tcW w:type="dxa" w:w="30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rove-documents-vNNN</w:t>
            </w:r>
          </w:p>
        </w:tc>
        <w:tc>
          <w:tcPr>
            <w:tcW w:type="dxa" w:w="424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页面级 Document、Metadata、状态</w:t>
            </w:r>
          </w:p>
        </w:tc>
      </w:tr>
      <w:tr>
        <w:trPr>
          <w:cantSplit/>
        </w:trPr>
        <w:tc>
          <w:tcPr>
            <w:tcW w:type="dxa" w:w="2376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rove-chunks</w:t>
            </w:r>
          </w:p>
        </w:tc>
        <w:tc>
          <w:tcPr>
            <w:tcW w:type="dxa" w:w="302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rove-chunks-vNNN</w:t>
            </w:r>
          </w:p>
        </w:tc>
        <w:tc>
          <w:tcPr>
            <w:tcW w:type="dxa" w:w="424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Chunk、Embedding、搜索字段、Evidence 单元</w:t>
            </w:r>
          </w:p>
        </w:tc>
      </w:tr>
    </w:tbl>
    <w:p>
      <w:pPr>
        <w:spacing w:after="40"/>
      </w:pP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Search 默认以 Chunk 为主要召回单元，随后按 document_id 聚合回页面级结果。Schema 升级通过 new index → reindex → alias switch 完成。</w:t>
      </w:r>
    </w:p>
    <w:p>
      <w:pPr>
        <w:pStyle w:val="Heading1"/>
      </w:pPr>
      <w:r>
        <w:t>09  非功能需求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728"/>
        <w:gridCol w:w="6480"/>
      </w:tblGrid>
      <w:tr>
        <w:trPr>
          <w:tblHeader w:val="true"/>
          <w:cantSplit/>
        </w:trPr>
        <w:tc>
          <w:tcPr>
            <w:tcW w:type="dxa" w:w="1440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1728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6480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NFR-001</w:t>
            </w:r>
          </w:p>
        </w:tc>
        <w:tc>
          <w:tcPr>
            <w:tcW w:type="dxa" w:w="172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可用性</w:t>
            </w:r>
          </w:p>
        </w:tc>
        <w:tc>
          <w:tcPr>
            <w:tcW w:type="dxa" w:w="64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核心组件异常必须返回 machine-readable error，不允许 silent failure。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NFR-002</w:t>
            </w:r>
          </w:p>
        </w:tc>
        <w:tc>
          <w:tcPr>
            <w:tcW w:type="dxa" w:w="172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性能</w:t>
            </w:r>
          </w:p>
        </w:tc>
        <w:tc>
          <w:tcPr>
            <w:tcW w:type="dxa" w:w="648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本地常规环境 Search 目标 P50 &lt; 200ms、P95 &lt; 500ms，不计外部 embedding API。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NFR-003</w:t>
            </w:r>
          </w:p>
        </w:tc>
        <w:tc>
          <w:tcPr>
            <w:tcW w:type="dxa" w:w="172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并发</w:t>
            </w:r>
          </w:p>
        </w:tc>
        <w:tc>
          <w:tcPr>
            <w:tcW w:type="dxa" w:w="64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Crawler 与 HTTP Fetcher 使用有界并发；Browser Session 必须复用。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NFR-004</w:t>
            </w:r>
          </w:p>
        </w:tc>
        <w:tc>
          <w:tcPr>
            <w:tcW w:type="dxa" w:w="172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可扩展</w:t>
            </w:r>
          </w:p>
        </w:tc>
        <w:tc>
          <w:tcPr>
            <w:tcW w:type="dxa" w:w="648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组件通过接口隔离；Embedder、Reranker、Parser 可替换。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NFR-005</w:t>
            </w:r>
          </w:p>
        </w:tc>
        <w:tc>
          <w:tcPr>
            <w:tcW w:type="dxa" w:w="172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可观测</w:t>
            </w:r>
          </w:p>
        </w:tc>
        <w:tc>
          <w:tcPr>
            <w:tcW w:type="dxa" w:w="64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所有核心操作具备日志、metrics、trace_id 与阶段耗时。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NFR-006</w:t>
            </w:r>
          </w:p>
        </w:tc>
        <w:tc>
          <w:tcPr>
            <w:tcW w:type="dxa" w:w="172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可移植</w:t>
            </w:r>
          </w:p>
        </w:tc>
        <w:tc>
          <w:tcPr>
            <w:tcW w:type="dxa" w:w="648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Linux/macOS 优先；CLI Core 以单 Go Binary 分发。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NFR-007</w:t>
            </w:r>
          </w:p>
        </w:tc>
        <w:tc>
          <w:tcPr>
            <w:tcW w:type="dxa" w:w="172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数据一致性</w:t>
            </w:r>
          </w:p>
        </w:tc>
        <w:tc>
          <w:tcPr>
            <w:tcW w:type="dxa" w:w="64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Document/Chunk 写入需幂等；失败批次可安全重试。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NFR-008</w:t>
            </w:r>
          </w:p>
        </w:tc>
        <w:tc>
          <w:tcPr>
            <w:tcW w:type="dxa" w:w="172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资源保护</w:t>
            </w:r>
          </w:p>
        </w:tc>
        <w:tc>
          <w:tcPr>
            <w:tcW w:type="dxa" w:w="648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必须限制 body size、crawl pages、host concurrency、browser sessions。</w:t>
            </w:r>
          </w:p>
        </w:tc>
      </w:tr>
    </w:tbl>
    <w:p>
      <w:pPr>
        <w:spacing w:after="40"/>
      </w:pPr>
    </w:p>
    <w:p>
      <w:pPr>
        <w:pStyle w:val="Heading1"/>
      </w:pPr>
      <w:r>
        <w:t>10  安全与合规</w:t>
      </w:r>
    </w:p>
    <w:p>
      <w:pPr>
        <w:pStyle w:val="ListBullet"/>
        <w:spacing w:after="60" w:line="293" w:lineRule="auto"/>
        <w:ind w:left="403" w:hanging="230"/>
      </w:pPr>
      <w:r>
        <w:rPr>
          <w:rFonts w:ascii="Noto Sans CJK SC" w:hAnsi="Noto Sans CJK SC" w:eastAsia="Noto Sans CJK SC"/>
          <w:color w:val="111827"/>
          <w:sz w:val="20"/>
        </w:rPr>
        <w:t>默认阻止 file://、localhost、127.0.0.0/8、RFC1918 私网、云 Metadata Endpoint，显式 allow-private 才可放开。</w:t>
      </w:r>
    </w:p>
    <w:p>
      <w:pPr>
        <w:pStyle w:val="ListBullet"/>
        <w:spacing w:after="60" w:line="293" w:lineRule="auto"/>
        <w:ind w:left="403" w:hanging="230"/>
      </w:pPr>
      <w:r>
        <w:rPr>
          <w:rFonts w:ascii="Noto Sans CJK SC" w:hAnsi="Noto Sans CJK SC" w:eastAsia="Noto Sans CJK SC"/>
          <w:color w:val="111827"/>
          <w:sz w:val="20"/>
        </w:rPr>
        <w:t>限制 Redirect、Response Size、Decompression、Download、Crawl Depth 与 Max Pages。</w:t>
      </w:r>
    </w:p>
    <w:p>
      <w:pPr>
        <w:pStyle w:val="ListBullet"/>
        <w:spacing w:after="60" w:line="293" w:lineRule="auto"/>
        <w:ind w:left="403" w:hanging="230"/>
      </w:pPr>
      <w:r>
        <w:rPr>
          <w:rFonts w:ascii="Noto Sans CJK SC" w:hAnsi="Noto Sans CJK SC" w:eastAsia="Noto Sans CJK SC"/>
          <w:color w:val="111827"/>
          <w:sz w:val="20"/>
        </w:rPr>
        <w:t>默认尊重 robots.txt，并支持 per-host concurrency 与 crawl delay。</w:t>
      </w:r>
    </w:p>
    <w:p>
      <w:pPr>
        <w:pStyle w:val="ListBullet"/>
        <w:spacing w:after="60" w:line="293" w:lineRule="auto"/>
        <w:ind w:left="403" w:hanging="230"/>
      </w:pPr>
      <w:r>
        <w:rPr>
          <w:rFonts w:ascii="Noto Sans CJK SC" w:hAnsi="Noto Sans CJK SC" w:eastAsia="Noto Sans CJK SC"/>
          <w:color w:val="111827"/>
          <w:sz w:val="20"/>
        </w:rPr>
        <w:t>Browser Runtime 对下载、文件系统访问与执行权限实施最小权限策略。</w:t>
      </w:r>
    </w:p>
    <w:p>
      <w:pPr>
        <w:pStyle w:val="ListBullet"/>
        <w:spacing w:after="60" w:line="293" w:lineRule="auto"/>
        <w:ind w:left="403" w:hanging="230"/>
      </w:pPr>
      <w:r>
        <w:rPr>
          <w:rFonts w:ascii="Noto Sans CJK SC" w:hAnsi="Noto Sans CJK SC" w:eastAsia="Noto Sans CJK SC"/>
          <w:color w:val="111827"/>
          <w:sz w:val="20"/>
        </w:rPr>
        <w:t>敏感配置不得进入普通日志；Trace 中需要脱敏 URL 参数和 Header。</w:t>
      </w:r>
    </w:p>
    <w:p>
      <w:pPr>
        <w:pStyle w:val="Heading1"/>
      </w:pPr>
      <w:r>
        <w:t>11  可观察性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111827"/>
                <w:sz w:val="17"/>
              </w:rPr>
              <w:t>search 124ms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query_processor       2ms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lexical_retrieve     18ms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vector_retrieve      31ms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fusion                3ms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rank                  4ms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└─ evidence             21ms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fetch example.com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HTTP 403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browser escalation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render 1.4s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extracted 8.2KB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└─ indexed 14 chunks</w:t>
            </w:r>
          </w:p>
        </w:tc>
      </w:tr>
    </w:tbl>
    <w:p>
      <w:pPr>
        <w:spacing w:after="20"/>
      </w:pP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OpenTelemetry 为标准 Trace/Metric 输出方式；TUI 读取同一 Runtime Telemetry 展示状态。</w:t>
      </w:r>
    </w:p>
    <w:p>
      <w:pPr>
        <w:pStyle w:val="Heading1"/>
      </w:pPr>
      <w:r>
        <w:t>12  优先级与验收标准</w:t>
      </w: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P0/P1/P2 仅用于施工优先级，不代表不同产品架构。Rove 从一开始即按完整 Acquisition → Runtime → Content → Index → Retrieval → Evidence 架构设计。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880"/>
        <w:gridCol w:w="5616"/>
      </w:tblGrid>
      <w:tr>
        <w:trPr>
          <w:tblHeader w:val="true"/>
          <w:cantSplit/>
        </w:trPr>
        <w:tc>
          <w:tcPr>
            <w:tcW w:type="dxa" w:w="1152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2880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5616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代表能力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P0</w:t>
            </w:r>
          </w:p>
        </w:tc>
        <w:tc>
          <w:tcPr>
            <w:tcW w:type="dxa" w:w="28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Rove 核心闭环不可缺少</w:t>
            </w:r>
          </w:p>
        </w:tc>
        <w:tc>
          <w:tcPr>
            <w:tcW w:type="dxa" w:w="561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Crawler、HTTP/Browser、Content、ES、BM25/Vector/Hybrid、Ranking、Evidence、CLI/TUI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P1</w:t>
            </w:r>
          </w:p>
        </w:tc>
        <w:tc>
          <w:tcPr>
            <w:tcW w:type="dxa" w:w="288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完整架构中的高级能力</w:t>
            </w:r>
          </w:p>
        </w:tc>
        <w:tc>
          <w:tcPr>
            <w:tcW w:type="dxa" w:w="5616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Map、Query Router、Reranker、Vertical Index、MCP、Index migration tooling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P2</w:t>
            </w:r>
          </w:p>
        </w:tc>
        <w:tc>
          <w:tcPr>
            <w:tcW w:type="dxa" w:w="28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增强生态与规模化能力</w:t>
            </w:r>
          </w:p>
        </w:tc>
        <w:tc>
          <w:tcPr>
            <w:tcW w:type="dxa" w:w="561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更多 Parser、分布式 Scheduler、插件协议、更多部署拓扑</w:t>
            </w:r>
          </w:p>
        </w:tc>
      </w:tr>
    </w:tbl>
    <w:p>
      <w:pPr>
        <w:spacing w:after="40"/>
      </w:pPr>
    </w:p>
    <w:p>
      <w:pPr>
        <w:pStyle w:val="Heading2"/>
      </w:pPr>
      <w:r>
        <w:t>核心验收</w:t>
      </w:r>
    </w:p>
    <w:p>
      <w:pPr>
        <w:pStyle w:val="ListNumber"/>
        <w:spacing w:after="60"/>
        <w:ind w:left="490" w:hanging="259"/>
      </w:pPr>
      <w:r>
        <w:rPr>
          <w:rFonts w:ascii="Noto Sans CJK SC" w:hAnsi="Noto Sans CJK SC" w:eastAsia="Noto Sans CJK SC"/>
          <w:color w:val="111827"/>
          <w:sz w:val="20"/>
        </w:rPr>
        <w:t>给定 Seed URL，Rove 能 discover → fetch → parse → extract → deduplicate → index。</w:t>
      </w:r>
    </w:p>
    <w:p>
      <w:pPr>
        <w:pStyle w:val="ListNumber"/>
        <w:spacing w:after="60"/>
        <w:ind w:left="490" w:hanging="259"/>
      </w:pPr>
      <w:r>
        <w:rPr>
          <w:rFonts w:ascii="Noto Sans CJK SC" w:hAnsi="Noto Sans CJK SC" w:eastAsia="Noto Sans CJK SC"/>
          <w:color w:val="111827"/>
          <w:sz w:val="20"/>
        </w:rPr>
        <w:t>动态网页在 HTTP 内容不足时能够自动 Browser Escalation，并把结果进入同一 Document Pipeline。</w:t>
      </w:r>
    </w:p>
    <w:p>
      <w:pPr>
        <w:pStyle w:val="ListNumber"/>
        <w:spacing w:after="60"/>
        <w:ind w:left="490" w:hanging="259"/>
      </w:pPr>
      <w:r>
        <w:rPr>
          <w:rFonts w:ascii="Noto Sans CJK SC" w:hAnsi="Noto Sans CJK SC" w:eastAsia="Noto Sans CJK SC"/>
          <w:color w:val="111827"/>
          <w:sz w:val="20"/>
        </w:rPr>
        <w:t>rove search 的结果来自 Rove 自己的 Elasticsearch Index，不要求 Exa/Tavily 等外部 Search API。</w:t>
      </w:r>
    </w:p>
    <w:p>
      <w:pPr>
        <w:pStyle w:val="ListNumber"/>
        <w:spacing w:after="60"/>
        <w:ind w:left="490" w:hanging="259"/>
      </w:pPr>
      <w:r>
        <w:rPr>
          <w:rFonts w:ascii="Noto Sans CJK SC" w:hAnsi="Noto Sans CJK SC" w:eastAsia="Noto Sans CJK SC"/>
          <w:color w:val="111827"/>
          <w:sz w:val="20"/>
        </w:rPr>
        <w:t>查询支持 BM25 与 Vector 候选，并可经 Hybrid Fusion 输出统一结果。</w:t>
      </w:r>
    </w:p>
    <w:p>
      <w:pPr>
        <w:pStyle w:val="ListNumber"/>
        <w:spacing w:after="60"/>
        <w:ind w:left="490" w:hanging="259"/>
      </w:pPr>
      <w:r>
        <w:rPr>
          <w:rFonts w:ascii="Noto Sans CJK SC" w:hAnsi="Noto Sans CJK SC" w:eastAsia="Noto Sans CJK SC"/>
          <w:color w:val="111827"/>
          <w:sz w:val="20"/>
        </w:rPr>
        <w:t>结果至少包含 URL、source、relevant chunk、score，可直接被 Agent 作为 Evidence 使用。</w:t>
      </w:r>
    </w:p>
    <w:p>
      <w:pPr>
        <w:pStyle w:val="ListNumber"/>
        <w:spacing w:after="60"/>
        <w:ind w:left="490" w:hanging="259"/>
      </w:pPr>
      <w:r>
        <w:rPr>
          <w:rFonts w:ascii="Noto Sans CJK SC" w:hAnsi="Noto Sans CJK SC" w:eastAsia="Noto Sans CJK SC"/>
          <w:color w:val="111827"/>
          <w:sz w:val="20"/>
        </w:rPr>
        <w:t>开发者可以从 TUI 观察 Crawler、Browser、Index、Search Score、Evidence 和关键耗时。</w:t>
      </w:r>
    </w:p>
    <w:p>
      <w:pPr>
        <w:pStyle w:val="Heading1"/>
      </w:pPr>
      <w:r>
        <w:t>13  成功指标与风险</w:t>
      </w:r>
    </w:p>
    <w:p>
      <w:pPr>
        <w:pStyle w:val="Heading2"/>
      </w:pPr>
      <w:r>
        <w:t>成功指标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rPr>
          <w:tblHeader w:val="true"/>
          <w:cantSplit/>
        </w:trPr>
        <w:tc>
          <w:tcPr>
            <w:tcW w:type="dxa" w:w="2520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128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核心指标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Developer Adoption</w:t>
            </w:r>
          </w:p>
        </w:tc>
        <w:tc>
          <w:tcPr>
            <w:tcW w:type="dxa" w:w="712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被 Agent 项目作为 Web Infrastructure Dependency 使用</w:t>
            </w:r>
          </w:p>
        </w:tc>
      </w:tr>
      <w:tr>
        <w:trPr>
          <w:cantSplit/>
        </w:trPr>
        <w:tc>
          <w:tcPr>
            <w:tcW w:type="dxa" w:w="252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Retrieval Quality</w:t>
            </w:r>
          </w:p>
        </w:tc>
        <w:tc>
          <w:tcPr>
            <w:tcW w:type="dxa" w:w="712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Top-K relevance、Evidence usefulness、freshness、source diversity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Reliability</w:t>
            </w:r>
          </w:p>
        </w:tc>
        <w:tc>
          <w:tcPr>
            <w:tcW w:type="dxa" w:w="712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crawl success、fetch success、indexing success、search availability</w:t>
            </w:r>
          </w:p>
        </w:tc>
      </w:tr>
      <w:tr>
        <w:trPr>
          <w:cantSplit/>
        </w:trPr>
        <w:tc>
          <w:tcPr>
            <w:tcW w:type="dxa" w:w="252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Debuggability</w:t>
            </w:r>
          </w:p>
        </w:tc>
        <w:tc>
          <w:tcPr>
            <w:tcW w:type="dxa" w:w="712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关键失败可定位到 acquisition/fetch/content/index/retrieval/ranking 任一阶段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Self-host Value</w:t>
            </w:r>
          </w:p>
        </w:tc>
        <w:tc>
          <w:tcPr>
            <w:tcW w:type="dxa" w:w="712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核心链路在无第三方 Search SaaS 情况下可完整运行</w:t>
            </w:r>
          </w:p>
        </w:tc>
      </w:tr>
    </w:tbl>
    <w:p>
      <w:pPr>
        <w:spacing w:after="40"/>
      </w:pPr>
    </w:p>
    <w:p>
      <w:pPr>
        <w:pStyle w:val="Heading2"/>
      </w:pPr>
      <w:r>
        <w:t>主要风险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240"/>
        <w:gridCol w:w="4104"/>
      </w:tblGrid>
      <w:tr>
        <w:trPr>
          <w:tblHeader w:val="true"/>
          <w:cantSplit/>
        </w:trPr>
        <w:tc>
          <w:tcPr>
            <w:tcW w:type="dxa" w:w="2304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240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4104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应对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全 Web 规模过大</w:t>
            </w:r>
          </w:p>
        </w:tc>
        <w:tc>
          <w:tcPr>
            <w:tcW w:type="dxa" w:w="324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资源和抓取范围不可控</w:t>
            </w:r>
          </w:p>
        </w:tc>
        <w:tc>
          <w:tcPr>
            <w:tcW w:type="dxa" w:w="410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以可配置 Corpus/Seed/Vertical Index 为核心，严格 URL Policy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动态网页成本高</w:t>
            </w:r>
          </w:p>
        </w:tc>
        <w:tc>
          <w:tcPr>
            <w:tcW w:type="dxa" w:w="324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CPU/内存/延迟增加</w:t>
            </w:r>
          </w:p>
        </w:tc>
        <w:tc>
          <w:tcPr>
            <w:tcW w:type="dxa" w:w="410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HTTP First + Browser Pool + 有界 Session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检索质量不足</w:t>
            </w:r>
          </w:p>
        </w:tc>
        <w:tc>
          <w:tcPr>
            <w:tcW w:type="dxa" w:w="324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Agent Evidence 价值下降</w:t>
            </w:r>
          </w:p>
        </w:tc>
        <w:tc>
          <w:tcPr>
            <w:tcW w:type="dxa" w:w="410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BM25/Vector Hybrid、可观测 Ranking、离线 benchmark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ES 运维变重</w:t>
            </w:r>
          </w:p>
        </w:tc>
        <w:tc>
          <w:tcPr>
            <w:tcW w:type="dxa" w:w="324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本地安装门槛上升</w:t>
            </w:r>
          </w:p>
        </w:tc>
        <w:tc>
          <w:tcPr>
            <w:tcW w:type="dxa" w:w="410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官方 Docker Compose、health check、alias migration tooling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功能膨胀为 Agent Framework</w:t>
            </w:r>
          </w:p>
        </w:tc>
        <w:tc>
          <w:tcPr>
            <w:tcW w:type="dxa" w:w="324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产品边界模糊</w:t>
            </w:r>
          </w:p>
        </w:tc>
        <w:tc>
          <w:tcPr>
            <w:tcW w:type="dxa" w:w="410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6"/>
              </w:rPr>
              <w:t>Infra 原子接口；Research/Workflow 保持上层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748B"/>
        <w:sz w:val="17"/>
      </w:rPr>
      <w:t xml:space="preserve">PRD 产品说明书  ·  </w:t>
    </w:r>
    <w:r>
      <w:rPr>
        <w:rFonts w:ascii="Noto Sans CJK SC" w:hAnsi="Noto Sans CJK SC" w:eastAsia="Noto Sans CJK SC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oto Sans CJK SC" w:hAnsi="Noto Sans CJK SC" w:eastAsia="Noto Sans CJK SC"/>
        <w:b/>
        <w:color w:val="64748B"/>
        <w:sz w:val="17"/>
      </w:rPr>
      <w:t>ROVE  /  OPEN WEB INFRASTRUCTURE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Noto Sans CJK SC" w:hAnsi="Noto Sans CJK SC" w:eastAsia="Noto Sans CJK SC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82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827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755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827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59" w:lineRule="auto"/>
      <w:ind w:left="216" w:right="216"/>
    </w:pPr>
    <w:rPr>
      <w:rFonts w:ascii="DejaVu Sans Mono" w:hAnsi="DejaVu Sans Mono" w:eastAsia="DejaVu Sans Mono"/>
      <w:color w:val="11182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