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86C3A" w14:textId="5202C385" w:rsidR="003D005F" w:rsidRPr="003112AB" w:rsidRDefault="006D2AD7" w:rsidP="00EE4623">
      <w:pPr>
        <w:jc w:val="center"/>
        <w:rPr>
          <w:b/>
          <w:sz w:val="20"/>
          <w:szCs w:val="20"/>
        </w:rPr>
      </w:pPr>
      <w:r w:rsidRPr="005F692A">
        <w:rPr>
          <w:b/>
          <w:sz w:val="30"/>
          <w:szCs w:val="20"/>
        </w:rPr>
        <w:t xml:space="preserve">Job </w:t>
      </w:r>
      <w:r w:rsidR="00AB0883">
        <w:rPr>
          <w:b/>
          <w:sz w:val="30"/>
          <w:szCs w:val="20"/>
        </w:rPr>
        <w:t>description</w:t>
      </w:r>
    </w:p>
    <w:p w14:paraId="7EE93D9D" w14:textId="77777777" w:rsidR="003D005F" w:rsidRPr="006D2AD7" w:rsidRDefault="003D005F" w:rsidP="003D005F">
      <w:pPr>
        <w:rPr>
          <w:sz w:val="20"/>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15"/>
        <w:gridCol w:w="6732"/>
      </w:tblGrid>
      <w:tr w:rsidR="003D005F" w:rsidRPr="003346D6" w14:paraId="3F1E1F69" w14:textId="77777777" w:rsidTr="00883D73">
        <w:tc>
          <w:tcPr>
            <w:tcW w:w="2515" w:type="dxa"/>
          </w:tcPr>
          <w:p w14:paraId="472396FA" w14:textId="77777777" w:rsidR="006D2AD7" w:rsidRDefault="006D2AD7" w:rsidP="00D05EBA">
            <w:pPr>
              <w:rPr>
                <w:sz w:val="20"/>
                <w:szCs w:val="20"/>
              </w:rPr>
            </w:pPr>
          </w:p>
          <w:p w14:paraId="7E83407F" w14:textId="1B1C6007" w:rsidR="003D005F" w:rsidRDefault="006D2AD7" w:rsidP="00D05EBA">
            <w:pPr>
              <w:rPr>
                <w:b/>
                <w:sz w:val="20"/>
                <w:szCs w:val="20"/>
              </w:rPr>
            </w:pPr>
            <w:r w:rsidRPr="006D2AD7">
              <w:rPr>
                <w:b/>
                <w:sz w:val="20"/>
                <w:szCs w:val="20"/>
              </w:rPr>
              <w:t xml:space="preserve">Position </w:t>
            </w:r>
            <w:r w:rsidR="00EE4623">
              <w:rPr>
                <w:b/>
                <w:sz w:val="20"/>
                <w:szCs w:val="20"/>
              </w:rPr>
              <w:t>name</w:t>
            </w:r>
          </w:p>
          <w:p w14:paraId="1967845D" w14:textId="2370D281" w:rsidR="006D2AD7" w:rsidRPr="006D2AD7" w:rsidRDefault="006D2AD7" w:rsidP="00D05EBA">
            <w:pPr>
              <w:rPr>
                <w:b/>
                <w:sz w:val="20"/>
                <w:szCs w:val="20"/>
              </w:rPr>
            </w:pPr>
          </w:p>
        </w:tc>
        <w:tc>
          <w:tcPr>
            <w:tcW w:w="6732" w:type="dxa"/>
          </w:tcPr>
          <w:p w14:paraId="766C0422" w14:textId="77777777" w:rsidR="00576997" w:rsidRDefault="00576997" w:rsidP="006D2AD7">
            <w:pPr>
              <w:rPr>
                <w:sz w:val="20"/>
                <w:szCs w:val="20"/>
              </w:rPr>
            </w:pPr>
          </w:p>
          <w:p w14:paraId="3A4875EE" w14:textId="26D65CAE" w:rsidR="003D005F" w:rsidRPr="006D2AD7" w:rsidRDefault="00D05EBA" w:rsidP="006D2AD7">
            <w:pPr>
              <w:rPr>
                <w:sz w:val="20"/>
                <w:szCs w:val="20"/>
              </w:rPr>
            </w:pPr>
            <w:r>
              <w:rPr>
                <w:sz w:val="20"/>
                <w:szCs w:val="20"/>
              </w:rPr>
              <w:t>H</w:t>
            </w:r>
            <w:r w:rsidR="006A77AF">
              <w:rPr>
                <w:sz w:val="20"/>
                <w:szCs w:val="20"/>
              </w:rPr>
              <w:t xml:space="preserve">uman </w:t>
            </w:r>
            <w:r>
              <w:rPr>
                <w:sz w:val="20"/>
                <w:szCs w:val="20"/>
              </w:rPr>
              <w:t>R</w:t>
            </w:r>
            <w:r w:rsidR="006A77AF">
              <w:rPr>
                <w:sz w:val="20"/>
                <w:szCs w:val="20"/>
              </w:rPr>
              <w:t>esources</w:t>
            </w:r>
            <w:r>
              <w:rPr>
                <w:sz w:val="20"/>
                <w:szCs w:val="20"/>
              </w:rPr>
              <w:t xml:space="preserve"> Director</w:t>
            </w:r>
          </w:p>
          <w:p w14:paraId="00971570" w14:textId="77777777" w:rsidR="006D2AD7" w:rsidRPr="003346D6" w:rsidRDefault="006D2AD7" w:rsidP="006D2AD7">
            <w:pPr>
              <w:rPr>
                <w:sz w:val="20"/>
                <w:szCs w:val="20"/>
                <w:lang w:val="ru-RU"/>
              </w:rPr>
            </w:pPr>
          </w:p>
        </w:tc>
      </w:tr>
      <w:tr w:rsidR="003D005F" w:rsidRPr="0068579B" w14:paraId="5C84CF4A" w14:textId="77777777" w:rsidTr="00883D73">
        <w:tc>
          <w:tcPr>
            <w:tcW w:w="2515" w:type="dxa"/>
          </w:tcPr>
          <w:p w14:paraId="3B63CB83" w14:textId="77777777" w:rsidR="006D2AD7" w:rsidRDefault="006D2AD7" w:rsidP="00D05EBA">
            <w:pPr>
              <w:rPr>
                <w:b/>
                <w:sz w:val="20"/>
                <w:szCs w:val="20"/>
              </w:rPr>
            </w:pPr>
          </w:p>
          <w:p w14:paraId="2097E909" w14:textId="789D571B" w:rsidR="003D005F" w:rsidRPr="006D2AD7" w:rsidRDefault="006D2AD7" w:rsidP="00D05EBA">
            <w:pPr>
              <w:rPr>
                <w:sz w:val="20"/>
                <w:szCs w:val="20"/>
              </w:rPr>
            </w:pPr>
            <w:r>
              <w:rPr>
                <w:b/>
                <w:sz w:val="20"/>
                <w:szCs w:val="20"/>
              </w:rPr>
              <w:t xml:space="preserve">Responsibilities </w:t>
            </w:r>
          </w:p>
        </w:tc>
        <w:tc>
          <w:tcPr>
            <w:tcW w:w="6732" w:type="dxa"/>
          </w:tcPr>
          <w:p w14:paraId="7AC6E19C" w14:textId="223A20DF" w:rsidR="006A77AF" w:rsidRDefault="006A77AF" w:rsidP="006A77AF">
            <w:pPr>
              <w:numPr>
                <w:ilvl w:val="0"/>
                <w:numId w:val="2"/>
              </w:numPr>
              <w:shd w:val="clear" w:color="auto" w:fill="FFFFFF"/>
              <w:spacing w:after="150"/>
              <w:ind w:left="300"/>
              <w:rPr>
                <w:sz w:val="20"/>
                <w:szCs w:val="20"/>
              </w:rPr>
            </w:pPr>
            <w:r>
              <w:rPr>
                <w:sz w:val="20"/>
                <w:szCs w:val="20"/>
              </w:rPr>
              <w:t>Setup Human Recourses Management Department in the new organization</w:t>
            </w:r>
          </w:p>
          <w:p w14:paraId="52C7989C"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Develops organization strategies by identifying and researching human resources issues; contributing information, analysis, and recommendations to organization strategic thinking and direction; establishing human resources objectives in line with organizational objectives.</w:t>
            </w:r>
          </w:p>
          <w:p w14:paraId="4E367176"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Implements human resources strategies by establishing department accountabilities, including talent acquisition, staffing, employment processing, compensation, health and welfare benefits, training and development, records management, safety and health, succession planning, employee relations and retention, AA/EEO compliance, and labor relations.</w:t>
            </w:r>
          </w:p>
          <w:p w14:paraId="19AB9F13"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Manages human resources operations by recruiting, selecting, orienting, training, coaching, counseling, and disciplining staff; planning, monitoring, appraising, and reviewing staff job contributions; maintaining compensation; determining production, productivity, quality, and customer-service strategies; designing systems; accumulating resources; resolving problems; implementing change.</w:t>
            </w:r>
          </w:p>
          <w:p w14:paraId="68026242"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Develops human resources operations financial strategies by estimating, forecasting, and anticipating requirements, trends, and variances; aligning monetary resources; developing action plans; measuring and analyzing results; initiating corrective actions; minimizing the impact of variances.</w:t>
            </w:r>
          </w:p>
          <w:p w14:paraId="3E806D52"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Accomplishes special project results by identifying and clarifying issues and priorities; communicating and coordinating requirements; expediting fulfillment; evaluating milestone accomplishments; evaluating optional courses of action; changing assumptions and direction.</w:t>
            </w:r>
          </w:p>
          <w:p w14:paraId="5FEEB97B"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Supports management by providing human resources advice, counsel, and decisions; analyzing information and applications.</w:t>
            </w:r>
          </w:p>
          <w:p w14:paraId="644E8397"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Guides management and employee actions by researching, developing, writing, and updating policies, procedures, methods, and guidelines; communicating and enforcing organization values.</w:t>
            </w:r>
          </w:p>
          <w:p w14:paraId="331B24E1"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Complies with federal, state, and local legal requirements by studying existing and new legislation; anticipating legislation; enforcing adherence to requirements; advising management on needed actions.</w:t>
            </w:r>
          </w:p>
          <w:p w14:paraId="33628A3B"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Updates job knowledge by participating in conferences and educational opportunities; reading professional publications; maintaining personal networks; participating in professional organizations.</w:t>
            </w:r>
          </w:p>
          <w:p w14:paraId="665DBFA4" w14:textId="77777777" w:rsidR="006A77AF" w:rsidRPr="006A77AF" w:rsidRDefault="006A77AF" w:rsidP="006A77AF">
            <w:pPr>
              <w:numPr>
                <w:ilvl w:val="0"/>
                <w:numId w:val="2"/>
              </w:numPr>
              <w:shd w:val="clear" w:color="auto" w:fill="FFFFFF"/>
              <w:spacing w:after="150"/>
              <w:ind w:left="300"/>
              <w:rPr>
                <w:sz w:val="20"/>
                <w:szCs w:val="20"/>
              </w:rPr>
            </w:pPr>
            <w:r w:rsidRPr="006A77AF">
              <w:rPr>
                <w:sz w:val="20"/>
                <w:szCs w:val="20"/>
              </w:rPr>
              <w:t>Enhances department and organization reputation by accepting ownership for accomplishing new and different requests; exploring opportunities to add value to job accomplishments.</w:t>
            </w:r>
          </w:p>
          <w:p w14:paraId="1ED495D5" w14:textId="358DD7FC" w:rsidR="003112AB" w:rsidRPr="00FA46F6" w:rsidRDefault="006A77AF" w:rsidP="006A77AF">
            <w:pPr>
              <w:pStyle w:val="ListParagraph"/>
              <w:overflowPunct w:val="0"/>
              <w:autoSpaceDE w:val="0"/>
              <w:autoSpaceDN w:val="0"/>
              <w:adjustRightInd w:val="0"/>
              <w:spacing w:before="120"/>
              <w:textAlignment w:val="baseline"/>
              <w:rPr>
                <w:sz w:val="20"/>
                <w:szCs w:val="20"/>
              </w:rPr>
            </w:pPr>
            <w:r w:rsidRPr="00FA46F6">
              <w:rPr>
                <w:sz w:val="20"/>
                <w:szCs w:val="20"/>
              </w:rPr>
              <w:t xml:space="preserve"> </w:t>
            </w:r>
          </w:p>
        </w:tc>
        <w:bookmarkStart w:id="0" w:name="_GoBack"/>
        <w:bookmarkEnd w:id="0"/>
      </w:tr>
      <w:tr w:rsidR="006A77AF" w:rsidRPr="009D4583" w14:paraId="7C0C74A4" w14:textId="77777777" w:rsidTr="00883D73">
        <w:tc>
          <w:tcPr>
            <w:tcW w:w="2515" w:type="dxa"/>
          </w:tcPr>
          <w:p w14:paraId="1117D5FF" w14:textId="04E3B443" w:rsidR="006A77AF" w:rsidRPr="00D05EBA" w:rsidRDefault="006A77AF" w:rsidP="00D05EBA">
            <w:pPr>
              <w:widowControl w:val="0"/>
              <w:rPr>
                <w:b/>
                <w:sz w:val="20"/>
                <w:szCs w:val="20"/>
              </w:rPr>
            </w:pPr>
            <w:r>
              <w:rPr>
                <w:b/>
                <w:sz w:val="20"/>
                <w:szCs w:val="20"/>
              </w:rPr>
              <w:t>Report Line</w:t>
            </w:r>
          </w:p>
        </w:tc>
        <w:tc>
          <w:tcPr>
            <w:tcW w:w="6732" w:type="dxa"/>
          </w:tcPr>
          <w:p w14:paraId="5A795706" w14:textId="2E872B68" w:rsidR="006A77AF" w:rsidRPr="00941B16" w:rsidRDefault="006A77AF" w:rsidP="00D05EBA">
            <w:pPr>
              <w:widowControl w:val="0"/>
              <w:rPr>
                <w:sz w:val="20"/>
                <w:szCs w:val="20"/>
              </w:rPr>
            </w:pPr>
            <w:r>
              <w:rPr>
                <w:sz w:val="20"/>
                <w:szCs w:val="20"/>
              </w:rPr>
              <w:t>CEO</w:t>
            </w:r>
          </w:p>
        </w:tc>
      </w:tr>
      <w:tr w:rsidR="006A77AF" w:rsidRPr="009D4583" w14:paraId="6D7B3384" w14:textId="77777777" w:rsidTr="00883D73">
        <w:tc>
          <w:tcPr>
            <w:tcW w:w="2515" w:type="dxa"/>
          </w:tcPr>
          <w:p w14:paraId="22A746A3" w14:textId="58159678" w:rsidR="006A77AF" w:rsidRPr="006A77AF" w:rsidRDefault="006A77AF" w:rsidP="00D05EBA">
            <w:pPr>
              <w:widowControl w:val="0"/>
              <w:rPr>
                <w:b/>
                <w:sz w:val="20"/>
                <w:szCs w:val="20"/>
              </w:rPr>
            </w:pPr>
            <w:r>
              <w:rPr>
                <w:b/>
                <w:sz w:val="20"/>
                <w:szCs w:val="20"/>
                <w:lang w:val="ru-RU"/>
              </w:rPr>
              <w:t xml:space="preserve">Subordinate </w:t>
            </w:r>
            <w:r>
              <w:rPr>
                <w:b/>
                <w:sz w:val="20"/>
                <w:szCs w:val="20"/>
              </w:rPr>
              <w:t>Units</w:t>
            </w:r>
          </w:p>
        </w:tc>
        <w:tc>
          <w:tcPr>
            <w:tcW w:w="6732" w:type="dxa"/>
          </w:tcPr>
          <w:p w14:paraId="6BEC9A87" w14:textId="77777777" w:rsidR="006A77AF" w:rsidRPr="006A77AF" w:rsidRDefault="006A77AF" w:rsidP="006A77AF">
            <w:pPr>
              <w:pStyle w:val="ListParagraph"/>
              <w:widowControl w:val="0"/>
              <w:numPr>
                <w:ilvl w:val="0"/>
                <w:numId w:val="3"/>
              </w:numPr>
              <w:rPr>
                <w:sz w:val="20"/>
                <w:szCs w:val="20"/>
              </w:rPr>
            </w:pPr>
            <w:r w:rsidRPr="006A77AF">
              <w:rPr>
                <w:sz w:val="20"/>
                <w:szCs w:val="20"/>
              </w:rPr>
              <w:t xml:space="preserve">Personnel Hiring, </w:t>
            </w:r>
          </w:p>
          <w:p w14:paraId="34C6629E" w14:textId="77777777" w:rsidR="006A77AF" w:rsidRPr="006A77AF" w:rsidRDefault="006A77AF" w:rsidP="006A77AF">
            <w:pPr>
              <w:pStyle w:val="ListParagraph"/>
              <w:widowControl w:val="0"/>
              <w:numPr>
                <w:ilvl w:val="0"/>
                <w:numId w:val="3"/>
              </w:numPr>
              <w:rPr>
                <w:sz w:val="20"/>
                <w:szCs w:val="20"/>
              </w:rPr>
            </w:pPr>
            <w:r w:rsidRPr="006A77AF">
              <w:rPr>
                <w:sz w:val="20"/>
                <w:szCs w:val="20"/>
              </w:rPr>
              <w:t xml:space="preserve">Personnel Record keeping, </w:t>
            </w:r>
          </w:p>
          <w:p w14:paraId="6759B4A4" w14:textId="77777777" w:rsidR="006A77AF" w:rsidRPr="006A77AF" w:rsidRDefault="006A77AF" w:rsidP="006A77AF">
            <w:pPr>
              <w:pStyle w:val="ListParagraph"/>
              <w:widowControl w:val="0"/>
              <w:numPr>
                <w:ilvl w:val="0"/>
                <w:numId w:val="3"/>
              </w:numPr>
              <w:rPr>
                <w:sz w:val="20"/>
                <w:szCs w:val="20"/>
              </w:rPr>
            </w:pPr>
            <w:r w:rsidRPr="006A77AF">
              <w:rPr>
                <w:sz w:val="20"/>
                <w:szCs w:val="20"/>
              </w:rPr>
              <w:t xml:space="preserve">Training center, </w:t>
            </w:r>
          </w:p>
          <w:p w14:paraId="064DB090" w14:textId="7773E44C" w:rsidR="006A77AF" w:rsidRPr="006A77AF" w:rsidRDefault="006A77AF" w:rsidP="006A77AF">
            <w:pPr>
              <w:pStyle w:val="ListParagraph"/>
              <w:widowControl w:val="0"/>
              <w:numPr>
                <w:ilvl w:val="0"/>
                <w:numId w:val="3"/>
              </w:numPr>
              <w:rPr>
                <w:sz w:val="20"/>
                <w:szCs w:val="20"/>
              </w:rPr>
            </w:pPr>
            <w:r w:rsidRPr="006A77AF">
              <w:rPr>
                <w:sz w:val="20"/>
                <w:szCs w:val="20"/>
              </w:rPr>
              <w:t>Personnel assessment &amp; Quality control</w:t>
            </w:r>
          </w:p>
        </w:tc>
      </w:tr>
    </w:tbl>
    <w:p w14:paraId="2D16B071" w14:textId="77777777" w:rsidR="003D005F" w:rsidRPr="003346D6" w:rsidRDefault="003D005F" w:rsidP="003D005F">
      <w:pPr>
        <w:rPr>
          <w:sz w:val="20"/>
          <w:szCs w:val="20"/>
          <w:lang w:val="ru-RU"/>
        </w:rPr>
      </w:pPr>
    </w:p>
    <w:p w14:paraId="4443DB7E" w14:textId="70BFB816" w:rsidR="00286137" w:rsidRDefault="006D2AD7">
      <w:r>
        <w:rPr>
          <w:sz w:val="20"/>
          <w:szCs w:val="20"/>
        </w:rPr>
        <w:tab/>
      </w:r>
    </w:p>
    <w:sectPr w:rsidR="00286137" w:rsidSect="00AB0883">
      <w:headerReference w:type="even" r:id="rId11"/>
      <w:pgSz w:w="11900" w:h="16840"/>
      <w:pgMar w:top="540" w:right="843" w:bottom="270" w:left="1800" w:header="142" w:footer="537"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569A95" w14:textId="77777777" w:rsidR="00890F2A" w:rsidRDefault="00890F2A" w:rsidP="003D005F">
      <w:r>
        <w:separator/>
      </w:r>
    </w:p>
  </w:endnote>
  <w:endnote w:type="continuationSeparator" w:id="0">
    <w:p w14:paraId="3177DD58" w14:textId="77777777" w:rsidR="00890F2A" w:rsidRDefault="00890F2A" w:rsidP="003D0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25C67" w14:textId="77777777" w:rsidR="00890F2A" w:rsidRDefault="00890F2A" w:rsidP="003D005F">
      <w:r>
        <w:separator/>
      </w:r>
    </w:p>
  </w:footnote>
  <w:footnote w:type="continuationSeparator" w:id="0">
    <w:p w14:paraId="4C0B1138" w14:textId="77777777" w:rsidR="00890F2A" w:rsidRDefault="00890F2A" w:rsidP="003D00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6F0" w14:textId="77777777" w:rsidR="00D05EBA" w:rsidRDefault="00D05EBA" w:rsidP="00D05EB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A172BB" w14:textId="77777777" w:rsidR="00D05EBA" w:rsidRDefault="00D05EBA" w:rsidP="00D05EBA">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069BA"/>
    <w:multiLevelType w:val="hybridMultilevel"/>
    <w:tmpl w:val="B1F6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90485"/>
    <w:multiLevelType w:val="hybridMultilevel"/>
    <w:tmpl w:val="0AC21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44ADF"/>
    <w:multiLevelType w:val="multilevel"/>
    <w:tmpl w:val="3982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50DEE"/>
    <w:multiLevelType w:val="hybridMultilevel"/>
    <w:tmpl w:val="36EA040A"/>
    <w:lvl w:ilvl="0" w:tplc="B65C79C6">
      <w:start w:val="13"/>
      <w:numFmt w:val="bullet"/>
      <w:lvlText w:val="-"/>
      <w:lvlJc w:val="left"/>
      <w:pPr>
        <w:ind w:left="720" w:hanging="360"/>
      </w:pPr>
      <w:rPr>
        <w:rFonts w:ascii="Cambria" w:eastAsia="Cambr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05F"/>
    <w:rsid w:val="00013243"/>
    <w:rsid w:val="00126E7E"/>
    <w:rsid w:val="001C10D5"/>
    <w:rsid w:val="00286137"/>
    <w:rsid w:val="0030645B"/>
    <w:rsid w:val="003112AB"/>
    <w:rsid w:val="003D005F"/>
    <w:rsid w:val="003E2F4D"/>
    <w:rsid w:val="004A4657"/>
    <w:rsid w:val="00527E3A"/>
    <w:rsid w:val="00576997"/>
    <w:rsid w:val="005B7379"/>
    <w:rsid w:val="005C2EEA"/>
    <w:rsid w:val="005F692A"/>
    <w:rsid w:val="0068579B"/>
    <w:rsid w:val="0069563D"/>
    <w:rsid w:val="006A2F56"/>
    <w:rsid w:val="006A64CE"/>
    <w:rsid w:val="006A77AF"/>
    <w:rsid w:val="006D2AD7"/>
    <w:rsid w:val="00712ED6"/>
    <w:rsid w:val="00817C60"/>
    <w:rsid w:val="00842ED7"/>
    <w:rsid w:val="00871457"/>
    <w:rsid w:val="00883D73"/>
    <w:rsid w:val="00890F2A"/>
    <w:rsid w:val="00911A8A"/>
    <w:rsid w:val="00937AE4"/>
    <w:rsid w:val="00941B16"/>
    <w:rsid w:val="00961CC7"/>
    <w:rsid w:val="009B72A5"/>
    <w:rsid w:val="009C782B"/>
    <w:rsid w:val="00AB0883"/>
    <w:rsid w:val="00AE0F07"/>
    <w:rsid w:val="00B1673D"/>
    <w:rsid w:val="00BD5A58"/>
    <w:rsid w:val="00C0263F"/>
    <w:rsid w:val="00D05EBA"/>
    <w:rsid w:val="00D44604"/>
    <w:rsid w:val="00D62AD5"/>
    <w:rsid w:val="00DC7E24"/>
    <w:rsid w:val="00E62884"/>
    <w:rsid w:val="00E644B2"/>
    <w:rsid w:val="00EA5738"/>
    <w:rsid w:val="00EE4623"/>
    <w:rsid w:val="00F83AEA"/>
    <w:rsid w:val="00FA46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A39AA7"/>
  <w14:defaultImageDpi w14:val="300"/>
  <w15:docId w15:val="{5624CF45-70B0-40F7-83D0-48FBE56E5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05F"/>
    <w:rPr>
      <w:rFonts w:ascii="Cambria" w:eastAsia="Cambria"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05F"/>
    <w:pPr>
      <w:tabs>
        <w:tab w:val="center" w:pos="4320"/>
        <w:tab w:val="right" w:pos="8640"/>
      </w:tabs>
    </w:pPr>
  </w:style>
  <w:style w:type="character" w:customStyle="1" w:styleId="HeaderChar">
    <w:name w:val="Header Char"/>
    <w:basedOn w:val="DefaultParagraphFont"/>
    <w:link w:val="Header"/>
    <w:uiPriority w:val="99"/>
    <w:rsid w:val="003D005F"/>
    <w:rPr>
      <w:rFonts w:ascii="Cambria" w:eastAsia="Cambria" w:hAnsi="Cambria" w:cs="Times New Roman"/>
    </w:rPr>
  </w:style>
  <w:style w:type="character" w:styleId="PageNumber">
    <w:name w:val="page number"/>
    <w:basedOn w:val="DefaultParagraphFont"/>
    <w:uiPriority w:val="99"/>
    <w:semiHidden/>
    <w:unhideWhenUsed/>
    <w:rsid w:val="003D005F"/>
  </w:style>
  <w:style w:type="paragraph" w:styleId="Footer">
    <w:name w:val="footer"/>
    <w:basedOn w:val="Normal"/>
    <w:link w:val="FooterChar"/>
    <w:uiPriority w:val="99"/>
    <w:unhideWhenUsed/>
    <w:rsid w:val="003D005F"/>
    <w:pPr>
      <w:tabs>
        <w:tab w:val="center" w:pos="4320"/>
        <w:tab w:val="right" w:pos="8640"/>
      </w:tabs>
    </w:pPr>
  </w:style>
  <w:style w:type="character" w:customStyle="1" w:styleId="FooterChar">
    <w:name w:val="Footer Char"/>
    <w:basedOn w:val="DefaultParagraphFont"/>
    <w:link w:val="Footer"/>
    <w:uiPriority w:val="99"/>
    <w:rsid w:val="003D005F"/>
    <w:rPr>
      <w:rFonts w:ascii="Cambria" w:eastAsia="Cambria" w:hAnsi="Cambria" w:cs="Times New Roman"/>
    </w:rPr>
  </w:style>
  <w:style w:type="paragraph" w:styleId="ListParagraph">
    <w:name w:val="List Paragraph"/>
    <w:basedOn w:val="Normal"/>
    <w:uiPriority w:val="34"/>
    <w:qFormat/>
    <w:rsid w:val="00576997"/>
    <w:pPr>
      <w:ind w:left="720"/>
      <w:contextualSpacing/>
    </w:pPr>
  </w:style>
  <w:style w:type="paragraph" w:styleId="PlainText">
    <w:name w:val="Plain Text"/>
    <w:basedOn w:val="Normal"/>
    <w:link w:val="PlainTextChar"/>
    <w:uiPriority w:val="99"/>
    <w:semiHidden/>
    <w:unhideWhenUsed/>
    <w:rsid w:val="003112AB"/>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3112AB"/>
    <w:rPr>
      <w:rFonts w:ascii="Calibri" w:eastAsiaTheme="minorHAnsi" w:hAnsi="Calibri"/>
      <w:sz w:val="22"/>
      <w:szCs w:val="21"/>
    </w:rPr>
  </w:style>
  <w:style w:type="paragraph" w:styleId="BalloonText">
    <w:name w:val="Balloon Text"/>
    <w:basedOn w:val="Normal"/>
    <w:link w:val="BalloonTextChar"/>
    <w:uiPriority w:val="99"/>
    <w:semiHidden/>
    <w:unhideWhenUsed/>
    <w:rsid w:val="005B737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7379"/>
    <w:rPr>
      <w:rFonts w:ascii="Segoe UI" w:eastAsia="Cambr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1254430">
      <w:bodyDiv w:val="1"/>
      <w:marLeft w:val="0"/>
      <w:marRight w:val="0"/>
      <w:marTop w:val="0"/>
      <w:marBottom w:val="0"/>
      <w:divBdr>
        <w:top w:val="none" w:sz="0" w:space="0" w:color="auto"/>
        <w:left w:val="none" w:sz="0" w:space="0" w:color="auto"/>
        <w:bottom w:val="none" w:sz="0" w:space="0" w:color="auto"/>
        <w:right w:val="none" w:sz="0" w:space="0" w:color="auto"/>
      </w:divBdr>
    </w:div>
    <w:div w:id="1950813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3128248957E940845FBDA913C3E085" ma:contentTypeVersion="2" ma:contentTypeDescription="Create a new document." ma:contentTypeScope="" ma:versionID="2ffa383800078fc3f85a4e8c680b2303">
  <xsd:schema xmlns:xsd="http://www.w3.org/2001/XMLSchema" xmlns:xs="http://www.w3.org/2001/XMLSchema" xmlns:p="http://schemas.microsoft.com/office/2006/metadata/properties" xmlns:ns2="9de6a297-4883-49b5-b734-272fd15c37c5" targetNamespace="http://schemas.microsoft.com/office/2006/metadata/properties" ma:root="true" ma:fieldsID="963a402012eff12b22321bfd757036a3" ns2:_="">
    <xsd:import namespace="9de6a297-4883-49b5-b734-272fd15c37c5"/>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e6a297-4883-49b5-b734-272fd15c37c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6E4BA6-8961-4223-A7A9-FD9AC6CD2028}">
  <ds:schemaRefs>
    <ds:schemaRef ds:uri="http://schemas.microsoft.com/sharepoint/v3/contenttype/forms"/>
  </ds:schemaRefs>
</ds:datastoreItem>
</file>

<file path=customXml/itemProps2.xml><?xml version="1.0" encoding="utf-8"?>
<ds:datastoreItem xmlns:ds="http://schemas.openxmlformats.org/officeDocument/2006/customXml" ds:itemID="{1BC6DD5A-F2FF-4554-8574-D158382658EC}"/>
</file>

<file path=customXml/itemProps3.xml><?xml version="1.0" encoding="utf-8"?>
<ds:datastoreItem xmlns:ds="http://schemas.openxmlformats.org/officeDocument/2006/customXml" ds:itemID="{613D8F5B-E6F2-4405-9736-7BD4AF5D8FE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B84B4D-2230-4D18-81C3-9D957AF37D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411</Words>
  <Characters>2344</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MicroMoney; Micromoney International; Micromoney.io; Renat Gainiev</dc:creator>
  <cp:keywords/>
  <dc:description/>
  <cp:lastModifiedBy>Rinat Gataullin</cp:lastModifiedBy>
  <cp:revision>4</cp:revision>
  <cp:lastPrinted>2015-02-04T12:17:00Z</cp:lastPrinted>
  <dcterms:created xsi:type="dcterms:W3CDTF">2015-08-06T09:13:00Z</dcterms:created>
  <dcterms:modified xsi:type="dcterms:W3CDTF">2015-09-30T09:51:00Z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0x010100163128248957E940845FBDA913C3E085</vt:lpwstr>
  </property>
</Properties>
</file>