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D4ED8"/>
          <w:sz w:val="40"/>
          <w:szCs w:val="40"/>
        </w:rPr>
        <w:t xml:space="preserve">ASSEMBLY LANGUAGE PROGRAMMING</w:t>
      </w:r>
    </w:p>
    <w:p>
      <w:pPr>
        <w:spacing w:after="40"/>
      </w:pPr>
      <w:r>
        <w:rPr>
          <w:color w:val="444444"/>
          <w:sz w:val="26"/>
          <w:szCs w:val="26"/>
        </w:rPr>
        <w:t xml:space="preserve">Week 1 Notes — Foundations</w:t>
      </w:r>
    </w:p>
    <w:p>
      <w:pPr>
        <w:spacing w:after="300"/>
      </w:pPr>
      <w:r>
        <w:rPr>
          <w:i/>
          <w:iCs/>
          <w:color w:val="666666"/>
          <w:sz w:val="22"/>
          <w:szCs w:val="22"/>
        </w:rPr>
        <w:t xml:space="preserve">Track focus: AI Security Engineering / NDR / Security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FF6FF" w:val="clear"/>
            <w:tcMar>
              <w:top w:type="dxa" w:w="150"/>
              <w:left w:type="dxa" w:w="200"/>
              <w:bottom w:type="dxa" w:w="150"/>
              <w:right w:type="dxa" w:w="200"/>
            </w:tcMar>
          </w:tcPr>
          <w:p>
            <w:pPr>
              <w:spacing w:after="60"/>
            </w:pPr>
            <w:r>
              <w:rPr>
                <w:b/>
                <w:bCs/>
                <w:color w:val="1D4ED8"/>
              </w:rPr>
              <w:t xml:space="preserve">Why this week matters to YOU</w:t>
            </w:r>
          </w:p>
          <w:p>
            <w:r>
              <w:t xml:space="preserve">Assembly is the native language of the CPU. Every reverse-engineered malware sample, every exploit, every 'why did this program crash' investigation in security work starts with reading assembly. This week builds the vocabulary and mental model everything else in the unit — and your future security work — depends on.</w:t>
            </w:r>
          </w:p>
        </w:tc>
      </w:tr>
    </w:tbl>
    <w:p>
      <w:pPr>
        <w:spacing w:after="120"/>
      </w:pPr>
    </w:p>
    <w:p>
      <w:pPr>
        <w:pStyle w:val="Heading1"/>
        <w:spacing w:after="150" w:before="300"/>
      </w:pPr>
      <w:r>
        <w:t xml:space="preserve">1. What Is Assembly Language?</w:t>
      </w:r>
    </w:p>
    <w:p>
      <w:pPr>
        <w:spacing w:after="140"/>
      </w:pPr>
      <w:r>
        <w:t xml:space="preserve">Assembly language is a low-level programming language with a near one-to-one correspondence to a CPU's machine code instructions. Where a high-level language like Python or C hides the hardware, assembly exposes it directly: registers, memory addresses, and individual CPU operations.</w:t>
      </w:r>
    </w:p>
    <w:p>
      <w:pPr>
        <w:spacing w:after="140"/>
      </w:pPr>
      <w:r>
        <w:t xml:space="preserve">The Language Ladder:</w:t>
      </w:r>
    </w:p>
    <w:p>
      <w:pPr>
        <w:pStyle w:val="ListParagraph"/>
        <w:numPr>
          <w:ilvl w:val="0"/>
          <w:numId w:val="2"/>
        </w:numPr>
        <w:spacing w:after="80"/>
      </w:pPr>
      <w:r>
        <w:t xml:space="preserve">High-level language (Python, C++) — you think in logic and abstractions</w:t>
      </w:r>
    </w:p>
    <w:p>
      <w:pPr>
        <w:pStyle w:val="ListParagraph"/>
        <w:numPr>
          <w:ilvl w:val="0"/>
          <w:numId w:val="2"/>
        </w:numPr>
        <w:spacing w:after="80"/>
      </w:pPr>
      <w:r>
        <w:t xml:space="preserve">Assembly language — one line generally equals one CPU instruction</w:t>
      </w:r>
    </w:p>
    <w:p>
      <w:pPr>
        <w:pStyle w:val="ListParagraph"/>
        <w:numPr>
          <w:ilvl w:val="0"/>
          <w:numId w:val="2"/>
        </w:numPr>
        <w:spacing w:after="80"/>
      </w:pPr>
      <w:r>
        <w:t xml:space="preserve">Machine code — pure binary instructions the CPU executes</w:t>
      </w:r>
    </w:p>
    <w:p>
      <w:pPr>
        <w:spacing w:after="140"/>
      </w:pPr>
      <w:r>
        <w:t xml:space="preserve">Security relevance: malware, firmware, exploits, and low-level defenses are analyzed and written at this level because that is the only language guaranteed to exist for any compiled program — you can always disassemble a binary back to assembly, even without source code.</w:t>
      </w:r>
    </w:p>
    <w:p>
      <w:pPr>
        <w:pStyle w:val="Heading1"/>
        <w:spacing w:after="150" w:before="300"/>
      </w:pPr>
      <w:r>
        <w:t xml:space="preserve">2. Basic Computer Architecture</w:t>
      </w:r>
    </w:p>
    <w:p>
      <w:pPr>
        <w:spacing w:after="140"/>
      </w:pPr>
      <w:r>
        <w:t xml:space="preserve">Assembly only makes sense in the context of the machine executing it. The classic model is the Von Neumann architecture, where both instructions and data share the same memory space.</w:t>
      </w:r>
    </w:p>
    <w:p>
      <w:pPr>
        <w:pStyle w:val="Heading2"/>
        <w:spacing w:after="120" w:before="240"/>
      </w:pPr>
      <w:r>
        <w:t xml:space="preserve">Key components</w:t>
      </w:r>
    </w:p>
    <w:p>
      <w:pPr>
        <w:pStyle w:val="ListParagraph"/>
        <w:numPr>
          <w:ilvl w:val="0"/>
          <w:numId w:val="2"/>
        </w:numPr>
        <w:spacing w:after="80"/>
      </w:pPr>
      <w:r>
        <w:t xml:space="preserve">CPU (Central Processing Unit) — executes instructions; contains the ALU and Control Unit</w:t>
      </w:r>
    </w:p>
    <w:p>
      <w:pPr>
        <w:pStyle w:val="ListParagraph"/>
        <w:numPr>
          <w:ilvl w:val="0"/>
          <w:numId w:val="2"/>
        </w:numPr>
        <w:spacing w:after="80"/>
      </w:pPr>
      <w:r>
        <w:t xml:space="preserve">ALU (Arithmetic Logic Unit) — performs arithmetic and logical operations (add, subtract, AND, OR, compare)</w:t>
      </w:r>
    </w:p>
    <w:p>
      <w:pPr>
        <w:pStyle w:val="ListParagraph"/>
        <w:numPr>
          <w:ilvl w:val="0"/>
          <w:numId w:val="2"/>
        </w:numPr>
        <w:spacing w:after="80"/>
      </w:pPr>
      <w:r>
        <w:t xml:space="preserve">Control Unit — fetches, decodes, and directs execution of instructions</w:t>
      </w:r>
    </w:p>
    <w:p>
      <w:pPr>
        <w:pStyle w:val="ListParagraph"/>
        <w:numPr>
          <w:ilvl w:val="0"/>
          <w:numId w:val="2"/>
        </w:numPr>
        <w:spacing w:after="80"/>
      </w:pPr>
      <w:r>
        <w:t xml:space="preserve">Registers — very small, very fast storage locations built into the CPU itself</w:t>
      </w:r>
    </w:p>
    <w:p>
      <w:pPr>
        <w:pStyle w:val="ListParagraph"/>
        <w:numPr>
          <w:ilvl w:val="0"/>
          <w:numId w:val="2"/>
        </w:numPr>
        <w:spacing w:after="80"/>
      </w:pPr>
      <w:r>
        <w:t xml:space="preserve">Memory (RAM) — larger, slower storage holding both program instructions and data, each with a numeric address</w:t>
      </w:r>
    </w:p>
    <w:p>
      <w:pPr>
        <w:pStyle w:val="ListParagraph"/>
        <w:numPr>
          <w:ilvl w:val="0"/>
          <w:numId w:val="2"/>
        </w:numPr>
        <w:spacing w:after="80"/>
      </w:pPr>
      <w:r>
        <w:t xml:space="preserve">Buses — the electrical pathways moving information: Data bus (the data itself), Address bus (which memory location), Control bus (read/write/other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FF6FF" w:val="clear"/>
            <w:tcMar>
              <w:top w:type="dxa" w:w="150"/>
              <w:left w:type="dxa" w:w="200"/>
              <w:bottom w:type="dxa" w:w="150"/>
              <w:right w:type="dxa" w:w="200"/>
            </w:tcMar>
          </w:tcPr>
          <w:p>
            <w:pPr>
              <w:spacing w:after="60"/>
            </w:pPr>
            <w:r>
              <w:rPr>
                <w:b/>
                <w:bCs/>
                <w:color w:val="1D4ED8"/>
              </w:rPr>
              <w:t xml:space="preserve">Security link</w:t>
            </w:r>
          </w:p>
          <w:p>
            <w:r>
              <w:t xml:space="preserve">Because instructions and data share memory in the Von Neumann model, a program that writes untrusted data into the wrong place in memory can trick the CPU into executing that data as instructions. This single architectural fact is the root cause behind buffer overflow and many memory-corruption exploits — the exact class of vulnerability your AI Security Gateway and API scanner projects need to defend against.</w:t>
            </w:r>
          </w:p>
        </w:tc>
      </w:tr>
    </w:tbl>
    <w:p>
      <w:pPr>
        <w:spacing w:after="120"/>
      </w:pPr>
    </w:p>
    <w:p>
      <w:pPr>
        <w:pStyle w:val="Heading1"/>
        <w:spacing w:after="150" w:before="300"/>
      </w:pPr>
      <w:r>
        <w:t xml:space="preserve">3. Number Systems</w:t>
      </w:r>
    </w:p>
    <w:p>
      <w:pPr>
        <w:spacing w:after="140"/>
      </w:pPr>
      <w:r>
        <w:t xml:space="preserve">Assembly programmers work directly in binary and hexadecimal because that is how the hardware stores and displays everything — registers, memory addresses, opcodes, and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D4ED8" w:val="clear"/>
            <w:tcMar>
              <w:top w:type="dxa" w:w="100"/>
              <w:left w:type="dxa" w:w="120"/>
              <w:bottom w:type="dxa" w:w="100"/>
              <w:right w:type="dxa" w:w="120"/>
            </w:tcMar>
          </w:tcPr>
          <w:p>
            <w:r>
              <w:rPr>
                <w:b/>
                <w:bCs/>
              </w:rPr>
              <w:t xml:space="preserve">System</w:t>
            </w:r>
          </w:p>
        </w:tc>
        <w:tc>
          <w:tcPr>
            <w:tcW w:type="dxa" w:w="3120"/>
            <w:shd w:fill="1D4ED8" w:val="clear"/>
            <w:tcMar>
              <w:top w:type="dxa" w:w="100"/>
              <w:left w:type="dxa" w:w="120"/>
              <w:bottom w:type="dxa" w:w="100"/>
              <w:right w:type="dxa" w:w="120"/>
            </w:tcMar>
          </w:tcPr>
          <w:p>
            <w:r>
              <w:rPr>
                <w:b/>
                <w:bCs/>
              </w:rPr>
              <w:t xml:space="preserve">Base</w:t>
            </w:r>
          </w:p>
        </w:tc>
        <w:tc>
          <w:tcPr>
            <w:tcW w:type="dxa" w:w="3120"/>
            <w:shd w:fill="1D4ED8" w:val="clear"/>
            <w:tcMar>
              <w:top w:type="dxa" w:w="100"/>
              <w:left w:type="dxa" w:w="120"/>
              <w:bottom w:type="dxa" w:w="100"/>
              <w:right w:type="dxa" w:w="120"/>
            </w:tcMar>
          </w:tcPr>
          <w:p>
            <w:r>
              <w:rPr>
                <w:b/>
                <w:bCs/>
              </w:rPr>
              <w:t xml:space="preserve">Digits used</w:t>
            </w:r>
          </w:p>
        </w:tc>
      </w:tr>
      <w:tr>
        <w:tc>
          <w:tcPr>
            <w:tcW w:type="dxa" w:w="3120"/>
            <w:tcMar>
              <w:top w:type="dxa" w:w="100"/>
              <w:left w:type="dxa" w:w="120"/>
              <w:bottom w:type="dxa" w:w="100"/>
              <w:right w:type="dxa" w:w="120"/>
            </w:tcMar>
          </w:tcPr>
          <w:p>
            <w:r>
              <w:rPr>
                <w:b w:val="false"/>
                <w:bCs w:val="false"/>
              </w:rPr>
              <w:t xml:space="preserve">Binary</w:t>
            </w:r>
          </w:p>
        </w:tc>
        <w:tc>
          <w:tcPr>
            <w:tcW w:type="dxa" w:w="3120"/>
            <w:tcMar>
              <w:top w:type="dxa" w:w="100"/>
              <w:left w:type="dxa" w:w="120"/>
              <w:bottom w:type="dxa" w:w="100"/>
              <w:right w:type="dxa" w:w="120"/>
            </w:tcMar>
          </w:tcPr>
          <w:p>
            <w:r>
              <w:rPr>
                <w:b w:val="false"/>
                <w:bCs w:val="false"/>
              </w:rPr>
              <w:t xml:space="preserve">2</w:t>
            </w:r>
          </w:p>
        </w:tc>
        <w:tc>
          <w:tcPr>
            <w:tcW w:type="dxa" w:w="3120"/>
            <w:tcMar>
              <w:top w:type="dxa" w:w="100"/>
              <w:left w:type="dxa" w:w="120"/>
              <w:bottom w:type="dxa" w:w="100"/>
              <w:right w:type="dxa" w:w="120"/>
            </w:tcMar>
          </w:tcPr>
          <w:p>
            <w:r>
              <w:rPr>
                <w:b w:val="false"/>
                <w:bCs w:val="false"/>
              </w:rPr>
              <w:t xml:space="preserve">0, 1</w:t>
            </w:r>
          </w:p>
        </w:tc>
      </w:tr>
      <w:tr>
        <w:tc>
          <w:tcPr>
            <w:tcW w:type="dxa" w:w="3120"/>
            <w:tcMar>
              <w:top w:type="dxa" w:w="100"/>
              <w:left w:type="dxa" w:w="120"/>
              <w:bottom w:type="dxa" w:w="100"/>
              <w:right w:type="dxa" w:w="120"/>
            </w:tcMar>
          </w:tcPr>
          <w:p>
            <w:r>
              <w:rPr>
                <w:b w:val="false"/>
                <w:bCs w:val="false"/>
              </w:rPr>
              <w:t xml:space="preserve">Decimal</w:t>
            </w:r>
          </w:p>
        </w:tc>
        <w:tc>
          <w:tcPr>
            <w:tcW w:type="dxa" w:w="3120"/>
            <w:tcMar>
              <w:top w:type="dxa" w:w="100"/>
              <w:left w:type="dxa" w:w="120"/>
              <w:bottom w:type="dxa" w:w="100"/>
              <w:right w:type="dxa" w:w="120"/>
            </w:tcMar>
          </w:tcPr>
          <w:p>
            <w:r>
              <w:rPr>
                <w:b w:val="false"/>
                <w:bCs w:val="false"/>
              </w:rPr>
              <w:t xml:space="preserve">10</w:t>
            </w:r>
          </w:p>
        </w:tc>
        <w:tc>
          <w:tcPr>
            <w:tcW w:type="dxa" w:w="3120"/>
            <w:tcMar>
              <w:top w:type="dxa" w:w="100"/>
              <w:left w:type="dxa" w:w="120"/>
              <w:bottom w:type="dxa" w:w="100"/>
              <w:right w:type="dxa" w:w="120"/>
            </w:tcMar>
          </w:tcPr>
          <w:p>
            <w:r>
              <w:rPr>
                <w:b w:val="false"/>
                <w:bCs w:val="false"/>
              </w:rPr>
              <w:t xml:space="preserve">0–9</w:t>
            </w:r>
          </w:p>
        </w:tc>
      </w:tr>
      <w:tr>
        <w:tc>
          <w:tcPr>
            <w:tcW w:type="dxa" w:w="3120"/>
            <w:tcMar>
              <w:top w:type="dxa" w:w="100"/>
              <w:left w:type="dxa" w:w="120"/>
              <w:bottom w:type="dxa" w:w="100"/>
              <w:right w:type="dxa" w:w="120"/>
            </w:tcMar>
          </w:tcPr>
          <w:p>
            <w:r>
              <w:rPr>
                <w:b w:val="false"/>
                <w:bCs w:val="false"/>
              </w:rPr>
              <w:t xml:space="preserve">Hexadecimal</w:t>
            </w:r>
          </w:p>
        </w:tc>
        <w:tc>
          <w:tcPr>
            <w:tcW w:type="dxa" w:w="3120"/>
            <w:tcMar>
              <w:top w:type="dxa" w:w="100"/>
              <w:left w:type="dxa" w:w="120"/>
              <w:bottom w:type="dxa" w:w="100"/>
              <w:right w:type="dxa" w:w="120"/>
            </w:tcMar>
          </w:tcPr>
          <w:p>
            <w:r>
              <w:rPr>
                <w:b w:val="false"/>
                <w:bCs w:val="false"/>
              </w:rPr>
              <w:t xml:space="preserve">16</w:t>
            </w:r>
          </w:p>
        </w:tc>
        <w:tc>
          <w:tcPr>
            <w:tcW w:type="dxa" w:w="3120"/>
            <w:tcMar>
              <w:top w:type="dxa" w:w="100"/>
              <w:left w:type="dxa" w:w="120"/>
              <w:bottom w:type="dxa" w:w="100"/>
              <w:right w:type="dxa" w:w="120"/>
            </w:tcMar>
          </w:tcPr>
          <w:p>
            <w:r>
              <w:rPr>
                <w:b w:val="false"/>
                <w:bCs w:val="false"/>
              </w:rPr>
              <w:t xml:space="preserve">0–9, A–F</w:t>
            </w:r>
          </w:p>
        </w:tc>
      </w:tr>
    </w:tbl>
    <w:p>
      <w:pPr>
        <w:spacing w:after="120"/>
      </w:pPr>
    </w:p>
    <w:p>
      <w:pPr>
        <w:spacing w:after="140"/>
      </w:pPr>
      <w:r>
        <w:t xml:space="preserve">Quick conversion facts:</w:t>
      </w:r>
    </w:p>
    <w:p>
      <w:pPr>
        <w:pStyle w:val="ListParagraph"/>
        <w:numPr>
          <w:ilvl w:val="0"/>
          <w:numId w:val="2"/>
        </w:numPr>
        <w:spacing w:after="80"/>
      </w:pPr>
      <w:r>
        <w:t xml:space="preserve">1 hexadecimal digit = exactly 4 binary bits (this is why hex is used as shorthand for binary)</w:t>
      </w:r>
    </w:p>
    <w:p>
      <w:pPr>
        <w:pStyle w:val="ListParagraph"/>
        <w:numPr>
          <w:ilvl w:val="0"/>
          <w:numId w:val="2"/>
        </w:numPr>
        <w:spacing w:after="80"/>
      </w:pPr>
      <w:r>
        <w:t xml:space="preserve">Example: 0x2A (hex) = 0010 1010 (binary) = 42 (decimal)</w:t>
      </w:r>
    </w:p>
    <w:p>
      <w:pPr>
        <w:pStyle w:val="ListParagraph"/>
        <w:numPr>
          <w:ilvl w:val="0"/>
          <w:numId w:val="2"/>
        </w:numPr>
        <w:spacing w:after="80"/>
      </w:pPr>
      <w:r>
        <w:t xml:space="preserve">A byte (8 bits) is always exactly 2 hex digits — e.g. 0xFF = 11111111 = 255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FF6FF" w:val="clear"/>
            <w:tcMar>
              <w:top w:type="dxa" w:w="150"/>
              <w:left w:type="dxa" w:w="200"/>
              <w:bottom w:type="dxa" w:w="150"/>
              <w:right w:type="dxa" w:w="200"/>
            </w:tcMar>
          </w:tcPr>
          <w:p>
            <w:pPr>
              <w:spacing w:after="60"/>
            </w:pPr>
            <w:r>
              <w:rPr>
                <w:b/>
                <w:bCs/>
                <w:color w:val="1D4ED8"/>
              </w:rPr>
              <w:t xml:space="preserve">Security link</w:t>
            </w:r>
          </w:p>
          <w:p>
            <w:r>
              <w:t xml:space="preserve">Memory dumps, packet captures, disassemblers, and hex editors all display data in hexadecimal. If you cannot convert between hex, binary, and decimal quickly, you cannot read a memory dump, a Zeek log's raw fields, or a disassembly listing — a daily task in NDR and reverse engineering work.</w:t>
            </w:r>
          </w:p>
        </w:tc>
      </w:tr>
    </w:tbl>
    <w:p>
      <w:pPr>
        <w:spacing w:after="120"/>
      </w:pPr>
    </w:p>
    <w:p>
      <w:pPr>
        <w:pStyle w:val="Heading1"/>
        <w:spacing w:after="150" w:before="300"/>
      </w:pPr>
      <w:r>
        <w:t xml:space="preserve">4. Data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D4ED8" w:val="clear"/>
            <w:tcMar>
              <w:top w:type="dxa" w:w="100"/>
              <w:left w:type="dxa" w:w="120"/>
              <w:bottom w:type="dxa" w:w="100"/>
              <w:right w:type="dxa" w:w="120"/>
            </w:tcMar>
          </w:tcPr>
          <w:p>
            <w:r>
              <w:rPr>
                <w:b/>
                <w:bCs/>
              </w:rPr>
              <w:t xml:space="preserve">Unit</w:t>
            </w:r>
          </w:p>
        </w:tc>
        <w:tc>
          <w:tcPr>
            <w:tcW w:type="dxa" w:w="3120"/>
            <w:shd w:fill="1D4ED8" w:val="clear"/>
            <w:tcMar>
              <w:top w:type="dxa" w:w="100"/>
              <w:left w:type="dxa" w:w="120"/>
              <w:bottom w:type="dxa" w:w="100"/>
              <w:right w:type="dxa" w:w="120"/>
            </w:tcMar>
          </w:tcPr>
          <w:p>
            <w:r>
              <w:rPr>
                <w:b/>
                <w:bCs/>
              </w:rPr>
              <w:t xml:space="preserve">Size</w:t>
            </w:r>
          </w:p>
        </w:tc>
        <w:tc>
          <w:tcPr>
            <w:tcW w:type="dxa" w:w="3120"/>
            <w:shd w:fill="1D4ED8" w:val="clear"/>
            <w:tcMar>
              <w:top w:type="dxa" w:w="100"/>
              <w:left w:type="dxa" w:w="120"/>
              <w:bottom w:type="dxa" w:w="100"/>
              <w:right w:type="dxa" w:w="120"/>
            </w:tcMar>
          </w:tcPr>
          <w:p>
            <w:r>
              <w:rPr>
                <w:b/>
                <w:bCs/>
              </w:rPr>
              <w:t xml:space="preserve">Typical use</w:t>
            </w:r>
          </w:p>
        </w:tc>
      </w:tr>
      <w:tr>
        <w:tc>
          <w:tcPr>
            <w:tcW w:type="dxa" w:w="3120"/>
            <w:tcMar>
              <w:top w:type="dxa" w:w="100"/>
              <w:left w:type="dxa" w:w="120"/>
              <w:bottom w:type="dxa" w:w="100"/>
              <w:right w:type="dxa" w:w="120"/>
            </w:tcMar>
          </w:tcPr>
          <w:p>
            <w:r>
              <w:rPr>
                <w:b w:val="false"/>
                <w:bCs w:val="false"/>
              </w:rPr>
              <w:t xml:space="preserve">Bit</w:t>
            </w:r>
          </w:p>
        </w:tc>
        <w:tc>
          <w:tcPr>
            <w:tcW w:type="dxa" w:w="3120"/>
            <w:tcMar>
              <w:top w:type="dxa" w:w="100"/>
              <w:left w:type="dxa" w:w="120"/>
              <w:bottom w:type="dxa" w:w="100"/>
              <w:right w:type="dxa" w:w="120"/>
            </w:tcMar>
          </w:tcPr>
          <w:p>
            <w:r>
              <w:rPr>
                <w:b w:val="false"/>
                <w:bCs w:val="false"/>
              </w:rPr>
              <w:t xml:space="preserve">1 binary digit</w:t>
            </w:r>
          </w:p>
        </w:tc>
        <w:tc>
          <w:tcPr>
            <w:tcW w:type="dxa" w:w="3120"/>
            <w:tcMar>
              <w:top w:type="dxa" w:w="100"/>
              <w:left w:type="dxa" w:w="120"/>
              <w:bottom w:type="dxa" w:w="100"/>
              <w:right w:type="dxa" w:w="120"/>
            </w:tcMar>
          </w:tcPr>
          <w:p>
            <w:r>
              <w:rPr>
                <w:b w:val="false"/>
                <w:bCs w:val="false"/>
              </w:rPr>
              <w:t xml:space="preserve">Smallest unit of data</w:t>
            </w:r>
          </w:p>
        </w:tc>
      </w:tr>
      <w:tr>
        <w:tc>
          <w:tcPr>
            <w:tcW w:type="dxa" w:w="3120"/>
            <w:tcMar>
              <w:top w:type="dxa" w:w="100"/>
              <w:left w:type="dxa" w:w="120"/>
              <w:bottom w:type="dxa" w:w="100"/>
              <w:right w:type="dxa" w:w="120"/>
            </w:tcMar>
          </w:tcPr>
          <w:p>
            <w:r>
              <w:rPr>
                <w:b w:val="false"/>
                <w:bCs w:val="false"/>
              </w:rPr>
              <w:t xml:space="preserve">Byte</w:t>
            </w:r>
          </w:p>
        </w:tc>
        <w:tc>
          <w:tcPr>
            <w:tcW w:type="dxa" w:w="3120"/>
            <w:tcMar>
              <w:top w:type="dxa" w:w="100"/>
              <w:left w:type="dxa" w:w="120"/>
              <w:bottom w:type="dxa" w:w="100"/>
              <w:right w:type="dxa" w:w="120"/>
            </w:tcMar>
          </w:tcPr>
          <w:p>
            <w:r>
              <w:rPr>
                <w:b w:val="false"/>
                <w:bCs w:val="false"/>
              </w:rPr>
              <w:t xml:space="preserve">8 bits</w:t>
            </w:r>
          </w:p>
        </w:tc>
        <w:tc>
          <w:tcPr>
            <w:tcW w:type="dxa" w:w="3120"/>
            <w:tcMar>
              <w:top w:type="dxa" w:w="100"/>
              <w:left w:type="dxa" w:w="120"/>
              <w:bottom w:type="dxa" w:w="100"/>
              <w:right w:type="dxa" w:w="120"/>
            </w:tcMar>
          </w:tcPr>
          <w:p>
            <w:r>
              <w:rPr>
                <w:b w:val="false"/>
                <w:bCs w:val="false"/>
              </w:rPr>
              <w:t xml:space="preserve">One character (ASCII), 0–255 unsigned</w:t>
            </w:r>
          </w:p>
        </w:tc>
      </w:tr>
      <w:tr>
        <w:tc>
          <w:tcPr>
            <w:tcW w:type="dxa" w:w="3120"/>
            <w:tcMar>
              <w:top w:type="dxa" w:w="100"/>
              <w:left w:type="dxa" w:w="120"/>
              <w:bottom w:type="dxa" w:w="100"/>
              <w:right w:type="dxa" w:w="120"/>
            </w:tcMar>
          </w:tcPr>
          <w:p>
            <w:r>
              <w:rPr>
                <w:b w:val="false"/>
                <w:bCs w:val="false"/>
              </w:rPr>
              <w:t xml:space="preserve">Word</w:t>
            </w:r>
          </w:p>
        </w:tc>
        <w:tc>
          <w:tcPr>
            <w:tcW w:type="dxa" w:w="3120"/>
            <w:tcMar>
              <w:top w:type="dxa" w:w="100"/>
              <w:left w:type="dxa" w:w="120"/>
              <w:bottom w:type="dxa" w:w="100"/>
              <w:right w:type="dxa" w:w="120"/>
            </w:tcMar>
          </w:tcPr>
          <w:p>
            <w:r>
              <w:rPr>
                <w:b w:val="false"/>
                <w:bCs w:val="false"/>
              </w:rPr>
              <w:t xml:space="preserve">16 bits</w:t>
            </w:r>
          </w:p>
        </w:tc>
        <w:tc>
          <w:tcPr>
            <w:tcW w:type="dxa" w:w="3120"/>
            <w:tcMar>
              <w:top w:type="dxa" w:w="100"/>
              <w:left w:type="dxa" w:w="120"/>
              <w:bottom w:type="dxa" w:w="100"/>
              <w:right w:type="dxa" w:w="120"/>
            </w:tcMar>
          </w:tcPr>
          <w:p>
            <w:r>
              <w:rPr>
                <w:b w:val="false"/>
                <w:bCs w:val="false"/>
              </w:rPr>
              <w:t xml:space="preserve">Historical x86 register size</w:t>
            </w:r>
          </w:p>
        </w:tc>
      </w:tr>
      <w:tr>
        <w:tc>
          <w:tcPr>
            <w:tcW w:type="dxa" w:w="3120"/>
            <w:tcMar>
              <w:top w:type="dxa" w:w="100"/>
              <w:left w:type="dxa" w:w="120"/>
              <w:bottom w:type="dxa" w:w="100"/>
              <w:right w:type="dxa" w:w="120"/>
            </w:tcMar>
          </w:tcPr>
          <w:p>
            <w:r>
              <w:rPr>
                <w:b w:val="false"/>
                <w:bCs w:val="false"/>
              </w:rPr>
              <w:t xml:space="preserve">Doubleword</w:t>
            </w:r>
          </w:p>
        </w:tc>
        <w:tc>
          <w:tcPr>
            <w:tcW w:type="dxa" w:w="3120"/>
            <w:tcMar>
              <w:top w:type="dxa" w:w="100"/>
              <w:left w:type="dxa" w:w="120"/>
              <w:bottom w:type="dxa" w:w="100"/>
              <w:right w:type="dxa" w:w="120"/>
            </w:tcMar>
          </w:tcPr>
          <w:p>
            <w:r>
              <w:rPr>
                <w:b w:val="false"/>
                <w:bCs w:val="false"/>
              </w:rPr>
              <w:t xml:space="preserve">32 bits</w:t>
            </w:r>
          </w:p>
        </w:tc>
        <w:tc>
          <w:tcPr>
            <w:tcW w:type="dxa" w:w="3120"/>
            <w:tcMar>
              <w:top w:type="dxa" w:w="100"/>
              <w:left w:type="dxa" w:w="120"/>
              <w:bottom w:type="dxa" w:w="100"/>
              <w:right w:type="dxa" w:w="120"/>
            </w:tcMar>
          </w:tcPr>
          <w:p>
            <w:r>
              <w:rPr>
                <w:b w:val="false"/>
                <w:bCs w:val="false"/>
              </w:rPr>
              <w:t xml:space="preserve">Standard 32-bit register/integer</w:t>
            </w:r>
          </w:p>
        </w:tc>
      </w:tr>
      <w:tr>
        <w:tc>
          <w:tcPr>
            <w:tcW w:type="dxa" w:w="3120"/>
            <w:tcMar>
              <w:top w:type="dxa" w:w="100"/>
              <w:left w:type="dxa" w:w="120"/>
              <w:bottom w:type="dxa" w:w="100"/>
              <w:right w:type="dxa" w:w="120"/>
            </w:tcMar>
          </w:tcPr>
          <w:p>
            <w:r>
              <w:rPr>
                <w:b w:val="false"/>
                <w:bCs w:val="false"/>
              </w:rPr>
              <w:t xml:space="preserve">Quadword</w:t>
            </w:r>
          </w:p>
        </w:tc>
        <w:tc>
          <w:tcPr>
            <w:tcW w:type="dxa" w:w="3120"/>
            <w:tcMar>
              <w:top w:type="dxa" w:w="100"/>
              <w:left w:type="dxa" w:w="120"/>
              <w:bottom w:type="dxa" w:w="100"/>
              <w:right w:type="dxa" w:w="120"/>
            </w:tcMar>
          </w:tcPr>
          <w:p>
            <w:r>
              <w:rPr>
                <w:b w:val="false"/>
                <w:bCs w:val="false"/>
              </w:rPr>
              <w:t xml:space="preserve">64 bits</w:t>
            </w:r>
          </w:p>
        </w:tc>
        <w:tc>
          <w:tcPr>
            <w:tcW w:type="dxa" w:w="3120"/>
            <w:tcMar>
              <w:top w:type="dxa" w:w="100"/>
              <w:left w:type="dxa" w:w="120"/>
              <w:bottom w:type="dxa" w:w="100"/>
              <w:right w:type="dxa" w:w="120"/>
            </w:tcMar>
          </w:tcPr>
          <w:p>
            <w:r>
              <w:rPr>
                <w:b w:val="false"/>
                <w:bCs w:val="false"/>
              </w:rPr>
              <w:t xml:space="preserve">Standard 64-bit register/integer</w:t>
            </w:r>
          </w:p>
        </w:tc>
      </w:tr>
    </w:tbl>
    <w:p>
      <w:pPr>
        <w:spacing w:after="120"/>
      </w:pPr>
    </w:p>
    <w:p>
      <w:pPr>
        <w:pStyle w:val="Heading2"/>
        <w:spacing w:after="120" w:before="240"/>
      </w:pPr>
      <w:r>
        <w:t xml:space="preserve">Signed numbers: Two's Complement</w:t>
      </w:r>
    </w:p>
    <w:p>
      <w:pPr>
        <w:spacing w:after="140"/>
      </w:pPr>
      <w:r>
        <w:t xml:space="preserve">To represent negative numbers, CPUs use two's complement: flip every bit of the positive value, then add 1. This lets addition and subtraction use the same hardware circuit for both signed and unsigned numbers.</w:t>
      </w:r>
    </w:p>
    <w:p>
      <w:pPr>
        <w:spacing w:after="140"/>
      </w:pPr>
      <w:r>
        <w:t xml:space="preserve">Why it matters: if a signed number is pushed past its maximum representable value, it silently wraps around into a negative number. This is called integer overflow, and it is a well-documented root cause of real security vulnerabilities — a value that was supposed to be validated as 'positive and small' can wrap into something that bypasses a security check entirely.</w:t>
      </w:r>
    </w:p>
    <w:p>
      <w:pPr>
        <w:pStyle w:val="Heading1"/>
        <w:spacing w:after="150" w:before="300"/>
      </w:pPr>
      <w:r>
        <w:t xml:space="preserve">5. The Translation Pipeline</w:t>
      </w:r>
    </w:p>
    <w:p>
      <w:pPr>
        <w:pStyle w:val="ListParagraph"/>
        <w:numPr>
          <w:ilvl w:val="0"/>
          <w:numId w:val="2"/>
        </w:numPr>
        <w:spacing w:after="80"/>
      </w:pPr>
      <w:r>
        <w:t xml:space="preserve">Assembler — converts your .asm source code into an object file of machine code</w:t>
      </w:r>
    </w:p>
    <w:p>
      <w:pPr>
        <w:pStyle w:val="ListParagraph"/>
        <w:numPr>
          <w:ilvl w:val="0"/>
          <w:numId w:val="2"/>
        </w:numPr>
        <w:spacing w:after="80"/>
      </w:pPr>
      <w:r>
        <w:t xml:space="preserve">Linker — combines one or more object files and any needed libraries into a single executable</w:t>
      </w:r>
    </w:p>
    <w:p>
      <w:pPr>
        <w:pStyle w:val="ListParagraph"/>
        <w:numPr>
          <w:ilvl w:val="0"/>
          <w:numId w:val="2"/>
        </w:numPr>
        <w:spacing w:after="80"/>
      </w:pPr>
      <w:r>
        <w:t xml:space="preserve">Loader — an operating system component that loads the executable into memory and starts execution</w:t>
      </w:r>
    </w:p>
    <w:p>
      <w:pPr>
        <w:spacing w:after="140"/>
      </w:pPr>
      <w:r>
        <w:t xml:space="preserve">Understanding this pipeline is what lets you reason about how a compiled program (a .exe on Windows or an ELF file on Linux) is actually structured — essential background for supply-chain security tooling and malware analysis.</w:t>
      </w:r>
    </w:p>
    <w:p>
      <w:pPr>
        <w:pStyle w:val="Heading1"/>
        <w:spacing w:after="150" w:before="300"/>
      </w:pPr>
      <w:r>
        <w:t xml:space="preserve">6. Introduction to Registers (x86 reference)</w:t>
      </w:r>
    </w:p>
    <w:p>
      <w:pPr>
        <w:spacing w:after="140"/>
      </w:pPr>
      <w:r>
        <w:t xml:space="preserve">Registers are the CPU's immediate working storage — far faster than RAM, but very limited in number. This unit typically uses x86 assembly (NASM or MASM syntax) as the teaching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D4ED8" w:val="clear"/>
            <w:tcMar>
              <w:top w:type="dxa" w:w="100"/>
              <w:left w:type="dxa" w:w="120"/>
              <w:bottom w:type="dxa" w:w="100"/>
              <w:right w:type="dxa" w:w="120"/>
            </w:tcMar>
          </w:tcPr>
          <w:p>
            <w:r>
              <w:rPr>
                <w:b/>
                <w:bCs/>
              </w:rPr>
              <w:t xml:space="preserve">Register</w:t>
            </w:r>
          </w:p>
        </w:tc>
        <w:tc>
          <w:tcPr>
            <w:tcW w:type="dxa" w:w="3120"/>
            <w:shd w:fill="1D4ED8" w:val="clear"/>
            <w:tcMar>
              <w:top w:type="dxa" w:w="100"/>
              <w:left w:type="dxa" w:w="120"/>
              <w:bottom w:type="dxa" w:w="100"/>
              <w:right w:type="dxa" w:w="120"/>
            </w:tcMar>
          </w:tcPr>
          <w:p>
            <w:r>
              <w:rPr>
                <w:b/>
                <w:bCs/>
              </w:rPr>
              <w:t xml:space="preserve">Role</w:t>
            </w:r>
          </w:p>
        </w:tc>
        <w:tc>
          <w:tcPr>
            <w:tcW w:type="dxa" w:w="3120"/>
            <w:shd w:fill="1D4ED8" w:val="clear"/>
            <w:tcMar>
              <w:top w:type="dxa" w:w="100"/>
              <w:left w:type="dxa" w:w="120"/>
              <w:bottom w:type="dxa" w:w="100"/>
              <w:right w:type="dxa" w:w="120"/>
            </w:tcMar>
          </w:tcPr>
          <w:p>
            <w:r>
              <w:rPr>
                <w:b/>
                <w:bCs/>
              </w:rPr>
              <w:t xml:space="preserve">Security relevance</w:t>
            </w:r>
          </w:p>
        </w:tc>
      </w:tr>
      <w:tr>
        <w:tc>
          <w:tcPr>
            <w:tcW w:type="dxa" w:w="3120"/>
            <w:tcMar>
              <w:top w:type="dxa" w:w="100"/>
              <w:left w:type="dxa" w:w="120"/>
              <w:bottom w:type="dxa" w:w="100"/>
              <w:right w:type="dxa" w:w="120"/>
            </w:tcMar>
          </w:tcPr>
          <w:p>
            <w:r>
              <w:rPr>
                <w:b w:val="false"/>
                <w:bCs w:val="false"/>
              </w:rPr>
              <w:t xml:space="preserve">EAX</w:t>
            </w:r>
          </w:p>
        </w:tc>
        <w:tc>
          <w:tcPr>
            <w:tcW w:type="dxa" w:w="3120"/>
            <w:tcMar>
              <w:top w:type="dxa" w:w="100"/>
              <w:left w:type="dxa" w:w="120"/>
              <w:bottom w:type="dxa" w:w="100"/>
              <w:right w:type="dxa" w:w="120"/>
            </w:tcMar>
          </w:tcPr>
          <w:p>
            <w:r>
              <w:rPr>
                <w:b w:val="false"/>
                <w:bCs w:val="false"/>
              </w:rPr>
              <w:t xml:space="preserve">Accumulator — arithmetic results</w:t>
            </w:r>
          </w:p>
        </w:tc>
        <w:tc>
          <w:tcPr>
            <w:tcW w:type="dxa" w:w="3120"/>
            <w:tcMar>
              <w:top w:type="dxa" w:w="100"/>
              <w:left w:type="dxa" w:w="120"/>
              <w:bottom w:type="dxa" w:w="100"/>
              <w:right w:type="dxa" w:w="120"/>
            </w:tcMar>
          </w:tcPr>
          <w:p>
            <w:r>
              <w:rPr>
                <w:b w:val="false"/>
                <w:bCs w:val="false"/>
              </w:rPr>
              <w:t xml:space="preserve">Commonly holds return values / results</w:t>
            </w:r>
          </w:p>
        </w:tc>
      </w:tr>
      <w:tr>
        <w:tc>
          <w:tcPr>
            <w:tcW w:type="dxa" w:w="3120"/>
            <w:tcMar>
              <w:top w:type="dxa" w:w="100"/>
              <w:left w:type="dxa" w:w="120"/>
              <w:bottom w:type="dxa" w:w="100"/>
              <w:right w:type="dxa" w:w="120"/>
            </w:tcMar>
          </w:tcPr>
          <w:p>
            <w:r>
              <w:rPr>
                <w:b w:val="false"/>
                <w:bCs w:val="false"/>
              </w:rPr>
              <w:t xml:space="preserve">EBX</w:t>
            </w:r>
          </w:p>
        </w:tc>
        <w:tc>
          <w:tcPr>
            <w:tcW w:type="dxa" w:w="3120"/>
            <w:tcMar>
              <w:top w:type="dxa" w:w="100"/>
              <w:left w:type="dxa" w:w="120"/>
              <w:bottom w:type="dxa" w:w="100"/>
              <w:right w:type="dxa" w:w="120"/>
            </w:tcMar>
          </w:tcPr>
          <w:p>
            <w:r>
              <w:rPr>
                <w:b w:val="false"/>
                <w:bCs w:val="false"/>
              </w:rPr>
              <w:t xml:space="preserve">Base — general-purpose storage</w:t>
            </w:r>
          </w:p>
        </w:tc>
        <w:tc>
          <w:tcPr>
            <w:tcW w:type="dxa" w:w="3120"/>
            <w:tcMar>
              <w:top w:type="dxa" w:w="100"/>
              <w:left w:type="dxa" w:w="120"/>
              <w:bottom w:type="dxa" w:w="100"/>
              <w:right w:type="dxa" w:w="120"/>
            </w:tcMar>
          </w:tcPr>
          <w:p>
            <w:r>
              <w:rPr>
                <w:b w:val="false"/>
                <w:bCs w:val="false"/>
              </w:rPr>
              <w:t xml:space="preserve">General-purpose</w:t>
            </w:r>
          </w:p>
        </w:tc>
      </w:tr>
      <w:tr>
        <w:tc>
          <w:tcPr>
            <w:tcW w:type="dxa" w:w="3120"/>
            <w:tcMar>
              <w:top w:type="dxa" w:w="100"/>
              <w:left w:type="dxa" w:w="120"/>
              <w:bottom w:type="dxa" w:w="100"/>
              <w:right w:type="dxa" w:w="120"/>
            </w:tcMar>
          </w:tcPr>
          <w:p>
            <w:r>
              <w:rPr>
                <w:b w:val="false"/>
                <w:bCs w:val="false"/>
              </w:rPr>
              <w:t xml:space="preserve">ECX</w:t>
            </w:r>
          </w:p>
        </w:tc>
        <w:tc>
          <w:tcPr>
            <w:tcW w:type="dxa" w:w="3120"/>
            <w:tcMar>
              <w:top w:type="dxa" w:w="100"/>
              <w:left w:type="dxa" w:w="120"/>
              <w:bottom w:type="dxa" w:w="100"/>
              <w:right w:type="dxa" w:w="120"/>
            </w:tcMar>
          </w:tcPr>
          <w:p>
            <w:r>
              <w:rPr>
                <w:b w:val="false"/>
                <w:bCs w:val="false"/>
              </w:rPr>
              <w:t xml:space="preserve">Counter — loop control</w:t>
            </w:r>
          </w:p>
        </w:tc>
        <w:tc>
          <w:tcPr>
            <w:tcW w:type="dxa" w:w="3120"/>
            <w:tcMar>
              <w:top w:type="dxa" w:w="100"/>
              <w:left w:type="dxa" w:w="120"/>
              <w:bottom w:type="dxa" w:w="100"/>
              <w:right w:type="dxa" w:w="120"/>
            </w:tcMar>
          </w:tcPr>
          <w:p>
            <w:r>
              <w:rPr>
                <w:b w:val="false"/>
                <w:bCs w:val="false"/>
              </w:rPr>
              <w:t xml:space="preserve">Controls repeated operations</w:t>
            </w:r>
          </w:p>
        </w:tc>
      </w:tr>
      <w:tr>
        <w:tc>
          <w:tcPr>
            <w:tcW w:type="dxa" w:w="3120"/>
            <w:tcMar>
              <w:top w:type="dxa" w:w="100"/>
              <w:left w:type="dxa" w:w="120"/>
              <w:bottom w:type="dxa" w:w="100"/>
              <w:right w:type="dxa" w:w="120"/>
            </w:tcMar>
          </w:tcPr>
          <w:p>
            <w:r>
              <w:rPr>
                <w:b w:val="false"/>
                <w:bCs w:val="false"/>
              </w:rPr>
              <w:t xml:space="preserve">EDX</w:t>
            </w:r>
          </w:p>
        </w:tc>
        <w:tc>
          <w:tcPr>
            <w:tcW w:type="dxa" w:w="3120"/>
            <w:tcMar>
              <w:top w:type="dxa" w:w="100"/>
              <w:left w:type="dxa" w:w="120"/>
              <w:bottom w:type="dxa" w:w="100"/>
              <w:right w:type="dxa" w:w="120"/>
            </w:tcMar>
          </w:tcPr>
          <w:p>
            <w:r>
              <w:rPr>
                <w:b w:val="false"/>
                <w:bCs w:val="false"/>
              </w:rPr>
              <w:t xml:space="preserve">Data — I/O and extended arithmetic</w:t>
            </w:r>
          </w:p>
        </w:tc>
        <w:tc>
          <w:tcPr>
            <w:tcW w:type="dxa" w:w="3120"/>
            <w:tcMar>
              <w:top w:type="dxa" w:w="100"/>
              <w:left w:type="dxa" w:w="120"/>
              <w:bottom w:type="dxa" w:w="100"/>
              <w:right w:type="dxa" w:w="120"/>
            </w:tcMar>
          </w:tcPr>
          <w:p>
            <w:r>
              <w:rPr>
                <w:b w:val="false"/>
                <w:bCs w:val="false"/>
              </w:rPr>
              <w:t xml:space="preserve">Extra capacity for large results</w:t>
            </w:r>
          </w:p>
        </w:tc>
      </w:tr>
      <w:tr>
        <w:tc>
          <w:tcPr>
            <w:tcW w:type="dxa" w:w="3120"/>
            <w:tcMar>
              <w:top w:type="dxa" w:w="100"/>
              <w:left w:type="dxa" w:w="120"/>
              <w:bottom w:type="dxa" w:w="100"/>
              <w:right w:type="dxa" w:w="120"/>
            </w:tcMar>
          </w:tcPr>
          <w:p>
            <w:r>
              <w:rPr>
                <w:b w:val="false"/>
                <w:bCs w:val="false"/>
              </w:rPr>
              <w:t xml:space="preserve">ESP</w:t>
            </w:r>
          </w:p>
        </w:tc>
        <w:tc>
          <w:tcPr>
            <w:tcW w:type="dxa" w:w="3120"/>
            <w:tcMar>
              <w:top w:type="dxa" w:w="100"/>
              <w:left w:type="dxa" w:w="120"/>
              <w:bottom w:type="dxa" w:w="100"/>
              <w:right w:type="dxa" w:w="120"/>
            </w:tcMar>
          </w:tcPr>
          <w:p>
            <w:r>
              <w:rPr>
                <w:b w:val="false"/>
                <w:bCs w:val="false"/>
              </w:rPr>
              <w:t xml:space="preserve">Stack Pointer — top of the stack</w:t>
            </w:r>
          </w:p>
        </w:tc>
        <w:tc>
          <w:tcPr>
            <w:tcW w:type="dxa" w:w="3120"/>
            <w:tcMar>
              <w:top w:type="dxa" w:w="100"/>
              <w:left w:type="dxa" w:w="120"/>
              <w:bottom w:type="dxa" w:w="100"/>
              <w:right w:type="dxa" w:w="120"/>
            </w:tcMar>
          </w:tcPr>
          <w:p>
            <w:r>
              <w:rPr>
                <w:b w:val="false"/>
                <w:bCs w:val="false"/>
              </w:rPr>
              <w:t xml:space="preserve">Directly manipulated in stack-based buffer overflow attacks</w:t>
            </w:r>
          </w:p>
        </w:tc>
      </w:tr>
      <w:tr>
        <w:tc>
          <w:tcPr>
            <w:tcW w:type="dxa" w:w="3120"/>
            <w:tcMar>
              <w:top w:type="dxa" w:w="100"/>
              <w:left w:type="dxa" w:w="120"/>
              <w:bottom w:type="dxa" w:w="100"/>
              <w:right w:type="dxa" w:w="120"/>
            </w:tcMar>
          </w:tcPr>
          <w:p>
            <w:r>
              <w:rPr>
                <w:b w:val="false"/>
                <w:bCs w:val="false"/>
              </w:rPr>
              <w:t xml:space="preserve">EBP</w:t>
            </w:r>
          </w:p>
        </w:tc>
        <w:tc>
          <w:tcPr>
            <w:tcW w:type="dxa" w:w="3120"/>
            <w:tcMar>
              <w:top w:type="dxa" w:w="100"/>
              <w:left w:type="dxa" w:w="120"/>
              <w:bottom w:type="dxa" w:w="100"/>
              <w:right w:type="dxa" w:w="120"/>
            </w:tcMar>
          </w:tcPr>
          <w:p>
            <w:r>
              <w:rPr>
                <w:b w:val="false"/>
                <w:bCs w:val="false"/>
              </w:rPr>
              <w:t xml:space="preserve">Base Pointer — base of current stack frame</w:t>
            </w:r>
          </w:p>
        </w:tc>
        <w:tc>
          <w:tcPr>
            <w:tcW w:type="dxa" w:w="3120"/>
            <w:tcMar>
              <w:top w:type="dxa" w:w="100"/>
              <w:left w:type="dxa" w:w="120"/>
              <w:bottom w:type="dxa" w:w="100"/>
              <w:right w:type="dxa" w:w="120"/>
            </w:tcMar>
          </w:tcPr>
          <w:p>
            <w:r>
              <w:rPr>
                <w:b w:val="false"/>
                <w:bCs w:val="false"/>
              </w:rPr>
              <w:t xml:space="preserve">Marks function boundaries; used in stack frame analysis</w:t>
            </w:r>
          </w:p>
        </w:tc>
      </w:tr>
      <w:tr>
        <w:tc>
          <w:tcPr>
            <w:tcW w:type="dxa" w:w="3120"/>
            <w:tcMar>
              <w:top w:type="dxa" w:w="100"/>
              <w:left w:type="dxa" w:w="120"/>
              <w:bottom w:type="dxa" w:w="100"/>
              <w:right w:type="dxa" w:w="120"/>
            </w:tcMar>
          </w:tcPr>
          <w:p>
            <w:r>
              <w:rPr>
                <w:b w:val="false"/>
                <w:bCs w:val="false"/>
              </w:rPr>
              <w:t xml:space="preserve">EIP</w:t>
            </w:r>
          </w:p>
        </w:tc>
        <w:tc>
          <w:tcPr>
            <w:tcW w:type="dxa" w:w="3120"/>
            <w:tcMar>
              <w:top w:type="dxa" w:w="100"/>
              <w:left w:type="dxa" w:w="120"/>
              <w:bottom w:type="dxa" w:w="100"/>
              <w:right w:type="dxa" w:w="120"/>
            </w:tcMar>
          </w:tcPr>
          <w:p>
            <w:r>
              <w:rPr>
                <w:b w:val="false"/>
                <w:bCs w:val="false"/>
              </w:rPr>
              <w:t xml:space="preserve">Instruction Pointer — address of next instruction</w:t>
            </w:r>
          </w:p>
        </w:tc>
        <w:tc>
          <w:tcPr>
            <w:tcW w:type="dxa" w:w="3120"/>
            <w:tcMar>
              <w:top w:type="dxa" w:w="100"/>
              <w:left w:type="dxa" w:w="120"/>
              <w:bottom w:type="dxa" w:w="100"/>
              <w:right w:type="dxa" w:w="120"/>
            </w:tcMar>
          </w:tcPr>
          <w:p>
            <w:r>
              <w:rPr>
                <w:b w:val="false"/>
                <w:bCs w:val="false"/>
              </w:rPr>
              <w:t xml:space="preserve">Overwriting this value is the classic goal of a control-flow-hijack exploit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FF6FF" w:val="clear"/>
            <w:tcMar>
              <w:top w:type="dxa" w:w="150"/>
              <w:left w:type="dxa" w:w="200"/>
              <w:bottom w:type="dxa" w:w="150"/>
              <w:right w:type="dxa" w:w="200"/>
            </w:tcMar>
          </w:tcPr>
          <w:p>
            <w:pPr>
              <w:spacing w:after="60"/>
            </w:pPr>
            <w:r>
              <w:rPr>
                <w:b/>
                <w:bCs/>
                <w:color w:val="1D4ED8"/>
              </w:rPr>
              <w:t xml:space="preserve">The big picture for Week 1</w:t>
            </w:r>
          </w:p>
          <w:p>
            <w:r>
              <w:t xml:space="preserve">By the end of this week you should be able to: explain what assembly is and why it exists, describe the CPU/memory/bus model, convert confidently between binary, decimal, and hex, explain two's complement, describe the assemble-link-load pipeline, and name the core x86 registers and their roles. Everything later in this unit (instructions, addressing modes, the stack, procedures) builds directly on these six ideas.</w:t>
            </w:r>
          </w:p>
        </w:tc>
      </w:tr>
    </w:tbl>
    <w:p>
      <w:pPr>
        <w:spacing w:after="120"/>
      </w:pPr>
    </w:p>
    <w:p>
      <w:pPr>
        <w:spacing w:after="200"/>
      </w:pPr>
    </w:p>
    <w:p>
      <w:pPr>
        <w:pStyle w:val="Heading1"/>
        <w:spacing w:before="300" w:after="150"/>
      </w:pPr>
      <w:r>
        <w:rPr>
          <w:b/>
          <w:bCs/>
        </w:rPr>
        <w:t xml:space="preserve">7. 🔐 Your Security &amp; AI Engineering Journey — Tying It Together</w:t>
      </w:r>
    </w:p>
    <w:p>
      <w:pPr>
        <w:spacing w:after="140"/>
      </w:pPr>
      <w:r>
        <w:t xml:space="preserve">Pulling together everything above: this week's ideas are not abstract computer-science trivia — they are the exact foundation reverse engineers, malware analysts and exploit developers use daily.</w:t>
      </w:r>
    </w:p>
    <w:p>
      <w:pPr>
        <w:pStyle w:val="ListParagraph"/>
        <w:numPr>
          <w:ilvl w:val="0"/>
          <w:numId w:val="2"/>
        </w:numPr>
        <w:spacing w:after="80"/>
      </w:pPr>
      <w:r>
        <w:t xml:space="preserve">Registers and the stack (ESP, EBP, EIP) are literally what stack-overflow exploits manipulate — this is the vocabulary of every buffer-overflow writeup you will ever read.</w:t>
      </w:r>
    </w:p>
    <w:p>
      <w:pPr>
        <w:pStyle w:val="ListParagraph"/>
        <w:numPr>
          <w:ilvl w:val="0"/>
          <w:numId w:val="2"/>
        </w:numPr>
        <w:spacing w:after="80"/>
      </w:pPr>
      <w:r>
        <w:t xml:space="preserve">Hex/binary fluency is a daily requirement for reading memory dumps, disassembly output, and raw packet or log data in NDR work.</w:t>
      </w:r>
    </w:p>
    <w:p>
      <w:pPr>
        <w:pStyle w:val="ListParagraph"/>
        <w:numPr>
          <w:ilvl w:val="0"/>
          <w:numId w:val="2"/>
        </w:numPr>
        <w:spacing w:after="80"/>
      </w:pPr>
      <w:r>
        <w:t xml:space="preserve">Understanding the assemble-link-load pipeline is what lets you reason about a compiled binary's structure when you don't have its source code — the exact situation in malware analysis and supply-chain security review.</w:t>
      </w:r>
    </w:p>
    <w:p>
      <w:pPr>
        <w:spacing w:after="200"/>
      </w:pPr>
    </w:p>
    <w:p>
      <w:pPr>
        <w:pStyle w:val="Heading1"/>
        <w:spacing w:before="300" w:after="150"/>
      </w:pPr>
      <w:r>
        <w:rPr>
          <w:b/>
          <w:bCs/>
        </w:rPr>
        <w:t xml:space="preserve">8. 💻 GitHub Build of the Week</w:t>
      </w:r>
    </w:p>
    <w:p>
      <w:pPr>
        <w:spacing w:after="140"/>
      </w:pPr>
      <w:r>
        <w:t xml:space="preserve">Build this small project THIS WEEK and push it to GitHub — your first repo toward the CK Systems portfolio, using nothing but what you learned above.</w:t>
      </w:r>
    </w:p>
    <w:p>
      <w:pPr>
        <w:spacing w:after="100"/>
      </w:pPr>
      <w:r>
        <w:rPr>
          <w:b/>
          <w:bCs/>
        </w:rPr>
        <w:t xml:space="preserve">Project: Number System Converter + Byte Inspector (Python or C)</w:t>
      </w:r>
    </w:p>
    <w:p>
      <w:pPr>
        <w:pStyle w:val="ListParagraph"/>
        <w:numPr>
          <w:ilvl w:val="0"/>
          <w:numId w:val="2"/>
        </w:numPr>
        <w:spacing w:after="80"/>
      </w:pPr>
      <w:r>
        <w:t xml:space="preserve">Write a small command-line tool that takes a number and converts it between binary, decimal, and hexadecimal, showing the working (not just the answer).</w:t>
      </w:r>
    </w:p>
    <w:p>
      <w:pPr>
        <w:pStyle w:val="ListParagraph"/>
        <w:numPr>
          <w:ilvl w:val="0"/>
          <w:numId w:val="2"/>
        </w:numPr>
        <w:spacing w:after="80"/>
      </w:pPr>
      <w:r>
        <w:t xml:space="preserve">Add a feature that takes any small text string, shows its raw bytes in hex (this is exactly what a hex editor or memory dump viewer does), and flags whether a given byte value is a printable ASCII character.</w:t>
      </w:r>
    </w:p>
    <w:p>
      <w:pPr>
        <w:pStyle w:val="ListParagraph"/>
        <w:numPr>
          <w:ilvl w:val="0"/>
          <w:numId w:val="2"/>
        </w:numPr>
        <w:spacing w:after="80"/>
      </w:pPr>
      <w:r>
        <w:t xml:space="preserve">Push it to a new GitHub repo named byte-inspector with a README explaining what it does and why hex/binary fluency matters for security work — this becomes the first small tool inside your future CK-Security-Core toolkit.</w:t>
      </w:r>
    </w:p>
    <w:p>
      <w:pPr>
        <w:spacing w:after="200"/>
      </w:pPr>
    </w:p>
    <w:p>
      <w:r>
        <w:rPr>
          <w:i/>
          <w:iCs/>
          <w:color w:val="666666"/>
        </w:rPr>
        <w:t xml:space="preserve">Next: Week 2 will build on this by writing your first real assembly instructions (MOV, ADD, SUB) and working with the stack directly.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2026-09-08T10:48:31.590Z</dcterms:created>
  <dcterms:modified xsi:type="dcterms:W3CDTF">2026-09-08T10:48:31.601Z</dcterms:modified>
</cp:coreProperties>
</file>

<file path=docProps/custom.xml><?xml version="1.0" encoding="utf-8"?>
<Properties xmlns="http://schemas.openxmlformats.org/officeDocument/2006/custom-properties" xmlns:vt="http://schemas.openxmlformats.org/officeDocument/2006/docPropsVTypes"/>
</file>