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Universidade Federal de Juiz de Fora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6"/>
          <w:szCs w:val="26"/>
        </w:rPr>
        <w:t xml:space="preserve">Departamento de Ciência da Computação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DCC168 Teste de Software, Período 2026-3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Prof. André Luiz de Oliveira</w:t>
      </w:r>
    </w:p>
    <w:p>
      <w:pPr>
        <w:spacing w:after="240" w:before="3000"/>
        <w:jc w:val="center"/>
      </w:pPr>
      <w:r>
        <w:rPr>
          <w:rFonts w:ascii="Arial" w:cs="Arial" w:eastAsia="Arial" w:hAnsi="Arial"/>
          <w:sz w:val="26"/>
          <w:szCs w:val="26"/>
        </w:rPr>
        <w:t xml:space="preserve">Projeto: Teste Funcional, Teste Estrutural e Teste Baseado em Defeitos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Parte I: Teste Funcional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Jogo da Velha</w:t>
      </w:r>
    </w:p>
    <w:p>
      <w:pPr>
        <w:spacing w:after="160" w:before="30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Integrantes do grupo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Charles Lelis Braga</w:t>
      </w:r>
      <w:r>
        <w:rPr>
          <w:rFonts w:ascii="Arial" w:cs="Arial" w:eastAsia="Arial" w:hAnsi="Arial"/>
          <w:sz w:val="24"/>
          <w:szCs w:val="24"/>
        </w:rPr>
        <w:t xml:space="preserve">    Matrícula: </w:t>
      </w:r>
      <w:r>
        <w:rPr>
          <w:rFonts w:ascii="Arial" w:cs="Arial" w:eastAsia="Arial" w:hAnsi="Arial"/>
          <w:sz w:val="24"/>
          <w:szCs w:val="24"/>
          <w:highlight w:val="yellow"/>
        </w:rPr>
        <w:t xml:space="preserve">[matrícula]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  <w:highlight w:val="yellow"/>
        </w:rPr>
        <w:t xml:space="preserve">[Nome do integrante 2]</w:t>
      </w:r>
      <w:r>
        <w:rPr>
          <w:rFonts w:ascii="Arial" w:cs="Arial" w:eastAsia="Arial" w:hAnsi="Arial"/>
          <w:sz w:val="24"/>
          <w:szCs w:val="24"/>
        </w:rPr>
        <w:t xml:space="preserve">    Matrícula: </w:t>
      </w:r>
      <w:r>
        <w:rPr>
          <w:rFonts w:ascii="Arial" w:cs="Arial" w:eastAsia="Arial" w:hAnsi="Arial"/>
          <w:sz w:val="24"/>
          <w:szCs w:val="24"/>
          <w:highlight w:val="yellow"/>
        </w:rPr>
        <w:t xml:space="preserve">[matrícula]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  <w:highlight w:val="yellow"/>
        </w:rPr>
        <w:t xml:space="preserve">[Nome do integrante 3]</w:t>
      </w:r>
      <w:r>
        <w:rPr>
          <w:rFonts w:ascii="Arial" w:cs="Arial" w:eastAsia="Arial" w:hAnsi="Arial"/>
          <w:sz w:val="24"/>
          <w:szCs w:val="24"/>
        </w:rPr>
        <w:t xml:space="preserve">    Matrícula: </w:t>
      </w:r>
      <w:r>
        <w:rPr>
          <w:rFonts w:ascii="Arial" w:cs="Arial" w:eastAsia="Arial" w:hAnsi="Arial"/>
          <w:sz w:val="24"/>
          <w:szCs w:val="24"/>
          <w:highlight w:val="yellow"/>
        </w:rPr>
        <w:t xml:space="preserve">[matrícula]</w:t>
      </w:r>
    </w:p>
    <w:p>
      <w:pPr>
        <w:spacing w:after="80" w:before="3000"/>
        <w:jc w:val="center"/>
      </w:pPr>
      <w:r>
        <w:rPr>
          <w:rFonts w:ascii="Arial" w:cs="Arial" w:eastAsia="Arial" w:hAnsi="Arial"/>
          <w:sz w:val="24"/>
          <w:szCs w:val="24"/>
        </w:rPr>
        <w:t xml:space="preserve">Juiz de Fora</w:t>
      </w:r>
    </w:p>
    <w:p>
      <w:pPr>
        <w:spacing w:after="80" w:before="0"/>
        <w:jc w:val="center"/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Arial" w:cs="Arial" w:eastAsia="Arial" w:hAnsi="Arial"/>
          <w:sz w:val="24"/>
          <w:szCs w:val="24"/>
        </w:rPr>
        <w:t xml:space="preserve">13 de outubro de 2026</w:t>
      </w:r>
    </w:p>
    <w:p>
      <w:pPr>
        <w:pStyle w:val="Heading1"/>
      </w:pPr>
      <w:r>
        <w:rPr>
          <w:rFonts w:ascii="Arial" w:cs="Arial" w:eastAsia="Arial" w:hAnsi="Arial"/>
        </w:rPr>
        <w:t xml:space="preserve">1. Introdução</w:t>
      </w: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Este relatório apresenta o resultado da Parte I do trabalho: a especificação do conjunto de teste funcional </w:t>
      </w:r>
      <w:r>
        <w:rPr>
          <w:rFonts w:ascii="Arial" w:cs="Arial" w:eastAsia="Arial" w:hAnsi="Arial"/>
          <w:b/>
          <w:bCs/>
        </w:rPr>
        <w:t xml:space="preserve">TestSet-Func</w:t>
      </w:r>
      <w:r>
        <w:rPr>
          <w:rFonts w:ascii="Arial" w:cs="Arial" w:eastAsia="Arial" w:hAnsi="Arial"/>
          <w:b w:val="false"/>
          <w:bCs w:val="false"/>
        </w:rPr>
        <w:t xml:space="preserve"> para o programa Jogo da Velha. O conjunto foi derivado apenas da especificação do programa, aplicando os três critérios de Teste Funcional pedidos no enunciado: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</w:rPr>
        <w:t xml:space="preserve">Particionamento em Classes de Equivalência</w:t>
      </w:r>
      <w:r>
        <w:rPr>
          <w:rFonts w:ascii="Arial" w:cs="Arial" w:eastAsia="Arial" w:hAnsi="Arial"/>
          <w:b w:val="false"/>
          <w:bCs w:val="false"/>
        </w:rPr>
        <w:t xml:space="preserve"> (seção 4);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</w:rPr>
        <w:t xml:space="preserve">Análise do Valor Limite</w:t>
      </w:r>
      <w:r>
        <w:rPr>
          <w:rFonts w:ascii="Arial" w:cs="Arial" w:eastAsia="Arial" w:hAnsi="Arial"/>
          <w:b w:val="false"/>
          <w:bCs w:val="false"/>
        </w:rPr>
        <w:t xml:space="preserve"> (seção 5);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</w:rPr>
        <w:t xml:space="preserve">Grafo de Causa-Efeito</w:t>
      </w:r>
      <w:r>
        <w:rPr>
          <w:rFonts w:ascii="Arial" w:cs="Arial" w:eastAsia="Arial" w:hAnsi="Arial"/>
          <w:b w:val="false"/>
          <w:bCs w:val="false"/>
        </w:rPr>
        <w:t xml:space="preserve"> (seção 6).</w:t>
      </w: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As classes de equivalência estão na Tabela 1 e os casos de teste na Tabela 2 (seção 7), ambas no formato do enunciado. A seção 8 mostra a rastreabilidade entre classes, valores limite, regras do grafo e casos de teste, e a seção 9 descreve a execução que preencheu a coluna Saída Obtida.</w:t>
      </w:r>
    </w:p>
    <w:p>
      <w:pPr>
        <w:pStyle w:val="Heading1"/>
      </w:pPr>
      <w:r>
        <w:rPr>
          <w:rFonts w:ascii="Arial" w:cs="Arial" w:eastAsia="Arial" w:hAnsi="Arial"/>
        </w:rPr>
        <w:t xml:space="preserve">2. Especificação do programa</w:t>
      </w: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O Jogo da Velha (Zaslavsky, 1982), também conhecido como Tic-Tac-Toe, é disputado entre dois jogadores, representados pelos símbolos “X” e “O”, cujo objetivo é ser o primeiro a formar uma linha com três símbolos iguais, seja na horizontal, vertical ou diagonal, em uma matriz de dimensão 3 x 3. Os jogadores se alternam para preencher as células da matriz com os símbolos “X” e “O” respectivamente. O jogo termina em empate se todas as células da matriz forem preenchidas sem um vencedor.</w:t>
      </w:r>
    </w:p>
    <w:p>
      <w:pPr>
        <w:pStyle w:val="Heading1"/>
      </w:pPr>
      <w:r>
        <w:rPr>
          <w:rFonts w:ascii="Arial" w:cs="Arial" w:eastAsia="Arial" w:hAnsi="Arial"/>
        </w:rPr>
        <w:t xml:space="preserve">3. Decisões do grupo sobre pontos em aberto</w:t>
      </w: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A especificação não define o comportamento do programa em vários casos (entrada inválida, célula ocupada, jogada após o fim, entre outros). As decisões abaixo fazem parte do oráculo de teste: são elas que determinam a saída esperada de cada caso.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3: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Decisões do grupo.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4138"/>
        <w:gridCol w:w="2800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em aberto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Decisão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Quem começa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 sempre faz a primeira jogada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“X e O respectivamente”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Numeração das células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Linha e coluna de 0 a 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Convenção de matriz em Java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Formato da entrada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linha de texto com dois inteiros separados por espaço: linha coluna (ex.: 1 2)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 de console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 mal formatada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Rejeitada com a mensagem “Jogada inválida: &lt;motivo&gt;”; o tabuleiro não muda e a vez não passa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Jogada inválida não pode custar a vez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Posição fora do tabuleiro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Rejeitada (POSITION_OUT_OF_BOUNDS); tabuleiro e vez inalterados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Idem D4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Célula já ocupada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Rejeitada (CELL_OCCUPIED); tabuleiro e vez inalterados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Idem D4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Jogada após o fim da partida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Rejeitada (GAME_ALREADY_FINISHED); resultado inalterado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partida encerrada não pode mudar de resultado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Ordem das verificações de uma jogada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1º posição dentro do tabuleiro, 2º partida em andamento, 3º célula vazia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 a saída quando há mais de um problema ao mesmo tempo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Vitória na 9ª jogada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 vitória, não empate: a vitória é verificada antes do empate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jogador completou uma linha; o empate exige “sem um vencedor”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Fim da partida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Ao vencer ou empatar, o programa mostra “X venceu!”, “O venceu!” ou “Empate!” e encerra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Notação usada nos casos de teste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Uma jogada é escrita como (linha,coluna). Exemplo: (0,2) é a linha 0, coluna 2.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Uma partida é a sequência de jogadas digitadas, alternando X e O a partir de X: &lt;X(0,0), O(1,0), X(0,1)&gt;.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Quando o caso testa o formato da entrada, a entrada é o texto digitado, entre aspas: &lt;"a 1"&gt;.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A saída esperada informa o </w:t>
      </w:r>
      <w:r>
        <w:rPr>
          <w:rFonts w:ascii="Arial" w:cs="Arial" w:eastAsia="Arial" w:hAnsi="Arial"/>
          <w:b/>
          <w:bCs/>
        </w:rPr>
        <w:t xml:space="preserve">estado da partida</w:t>
      </w:r>
      <w:r>
        <w:rPr>
          <w:rFonts w:ascii="Arial" w:cs="Arial" w:eastAsia="Arial" w:hAnsi="Arial"/>
          <w:b w:val="false"/>
          <w:bCs w:val="false"/>
        </w:rPr>
        <w:t xml:space="preserve"> (IN_PROGRESS, X_WINS, O_WINS, DRAW), o </w:t>
      </w:r>
      <w:r>
        <w:rPr>
          <w:rFonts w:ascii="Arial" w:cs="Arial" w:eastAsia="Arial" w:hAnsi="Arial"/>
          <w:b/>
          <w:bCs/>
        </w:rPr>
        <w:t xml:space="preserve">jogador da vez</w:t>
      </w:r>
      <w:r>
        <w:rPr>
          <w:rFonts w:ascii="Arial" w:cs="Arial" w:eastAsia="Arial" w:hAnsi="Arial"/>
          <w:b w:val="false"/>
          <w:bCs w:val="false"/>
        </w:rPr>
        <w:t xml:space="preserve"> ao final e, para jogadas rejeitadas, o </w:t>
      </w:r>
      <w:r>
        <w:rPr>
          <w:rFonts w:ascii="Arial" w:cs="Arial" w:eastAsia="Arial" w:hAnsi="Arial"/>
          <w:b/>
          <w:bCs/>
        </w:rPr>
        <w:t xml:space="preserve">motivo da rejeição</w:t>
      </w:r>
      <w:r>
        <w:rPr>
          <w:rFonts w:ascii="Arial" w:cs="Arial" w:eastAsia="Arial" w:hAnsi="Arial"/>
          <w:b w:val="false"/>
          <w:bCs w:val="false"/>
        </w:rPr>
        <w:t xml:space="preserve"> ou a mensagem exibida.</w:t>
      </w:r>
    </w:p>
    <w:p>
      <w:pPr>
        <w:pStyle w:val="Heading1"/>
      </w:pPr>
      <w:r>
        <w:rPr>
          <w:rFonts w:ascii="Arial" w:cs="Arial" w:eastAsia="Arial" w:hAnsi="Arial"/>
        </w:rPr>
        <w:t xml:space="preserve">4. Particionamento em Classes de Equivalência</w:t>
      </w:r>
    </w:p>
    <w:p>
      <w:pPr>
        <w:pStyle w:val="Heading2"/>
      </w:pPr>
      <w:r>
        <w:rPr>
          <w:rFonts w:ascii="Arial" w:cs="Arial" w:eastAsia="Arial" w:hAnsi="Arial"/>
        </w:rPr>
        <w:t xml:space="preserve">4.1 Condições de entrada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Condição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é avaliado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Formato da entrada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digitado para uma jogada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Linha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Primeiro valor da jogada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Segundo valor da jogada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Célula escolhida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Situação da célula no momento da jogada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 da partida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Situação da partida no momento da jogada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da jogada válida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que a jogada aceita provoca no tabuleiro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Jogador que completa a linha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Quem forma a linha vencedora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As duas últimas condições são </w:t>
      </w:r>
      <w:r>
        <w:rPr>
          <w:rFonts w:ascii="Arial" w:cs="Arial" w:eastAsia="Arial" w:hAnsi="Arial"/>
          <w:b/>
          <w:bCs/>
        </w:rPr>
        <w:t xml:space="preserve">classes de saída</w:t>
      </w:r>
      <w:r>
        <w:rPr>
          <w:rFonts w:ascii="Arial" w:cs="Arial" w:eastAsia="Arial" w:hAnsi="Arial"/>
          <w:b w:val="false"/>
          <w:bCs w:val="false"/>
        </w:rPr>
        <w:t xml:space="preserve">: particionam o domínio pelas saídas distintas que o programa deve produzir, para garantir que cada forma de vitória e o empate sejam exercitados.</w:t>
      </w:r>
    </w:p>
    <w:p>
      <w:pPr>
        <w:pStyle w:val="Heading2"/>
      </w:pPr>
      <w:r>
        <w:rPr>
          <w:rFonts w:ascii="Arial" w:cs="Arial" w:eastAsia="Arial" w:hAnsi="Arial"/>
        </w:rPr>
        <w:t xml:space="preserve">4.2 Tabela de classes de equivalência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1: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Classes de Equivalência.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38"/>
        <w:gridCol w:w="3000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Condição de Entrada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Classes de Equivalência Válidas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Classes de Equivalência Inválidas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Formato da entrada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dois inteiros separados por espaço (</w:t>
            </w: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quantidade de valores ≠ 2 (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I1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 e valor não inteiro (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I2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Linha (L)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≤ L ≤ 2 (</w:t>
            </w: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 &lt; 0 (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I3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 e L &gt; 2 (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I4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 (C)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≤ C ≤ 2 (</w:t>
            </w: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V3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&lt; 0 (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I5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 e C &gt; 2 (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I6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Célula escolhida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vazia (</w:t>
            </w: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V4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ocupada (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I7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 da partida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 andamento (</w:t>
            </w: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V5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encerrada, por vitória ou empate (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I8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da jogada válida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completa linha horizontal (</w:t>
            </w: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V6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), completa coluna (</w:t>
            </w: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V7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), completa diagonal principal (</w:t>
            </w: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V8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), completa diagonal secundária (</w:t>
            </w: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V9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), preenche a última célula sem formar linha, com empate (</w:t>
            </w: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V10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 e não completa linha nem preenche o tabuleiro, com a partida continuando (</w:t>
            </w: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V11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Jogador que completa a linha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 (</w:t>
            </w: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V12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 e O (</w:t>
            </w: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V13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No total são 21 classes de equivalência: 13 válidas (V1 a V13) e 8 inválidas (I1 a I8).</w:t>
      </w:r>
    </w:p>
    <w:p>
      <w:pPr>
        <w:pStyle w:val="Heading1"/>
      </w:pPr>
      <w:r>
        <w:rPr>
          <w:rFonts w:ascii="Arial" w:cs="Arial" w:eastAsia="Arial" w:hAnsi="Arial"/>
        </w:rPr>
        <w:t xml:space="preserve">5. Análise do Valor Limite</w:t>
      </w: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Os limites foram analisados nas variáveis numéricas da jogada (linha e coluna), na quantidade de valores da entrada e no número da jogada dentro da partida.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4: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Valores limite e casos de teste correspondentes.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038"/>
        <w:gridCol w:w="20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Limite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Valores testados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Caso de teste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Linha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inferior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(inválido) · 0 (válido)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CT09 · CT08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Linha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superior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(válido) · 3 (inválido)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CT08 · CT10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Coluna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inferior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 (inválido) · 0 (válido)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CT11 · CT08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Coluna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superior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(válido) · 3 (inválido)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CT08 · CT12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Quantidade de valores na entrada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· 1 (inválidos) · 2 (válido) · 3 (inválido)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CT20 · CT18 · CT21 · CT19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da jogada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início da partida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1ª jogada é de X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da jogada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menor vitória possível de X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vitória na 5ª jogada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da jogada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menor vitória possível de O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vitória na 6ª jogada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da jogada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tabuleiro cheio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9ª jogada com empate · 9ª jogada com vitória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CT05 · CT06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da jogada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após o fim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jogada seguinte à vitória · seguinte ao empate (10ª)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CT14 · CT15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O par CT05/CT06 é o limite mais importante do jogo: as duas partidas preenchem as nove células, mas uma termina em empate e a outra em vitória (decisão D9). Uma implementação que verifique “tabuleiro cheio” antes de “linha completa” passa no CT05 e falha no CT06.</w:t>
      </w:r>
    </w:p>
    <w:p>
      <w:pPr>
        <w:pStyle w:val="Heading1"/>
      </w:pPr>
      <w:r>
        <w:rPr>
          <w:rFonts w:ascii="Arial" w:cs="Arial" w:eastAsia="Arial" w:hAnsi="Arial"/>
        </w:rPr>
        <w:t xml:space="preserve">6. Grafo de Causa-Efeito</w:t>
      </w: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O grafo modela uma jogada já convertida em linha e coluna. O formato do texto digitado (classes V1, I1 e I2) fica fora do grafo, porque é tratado antes, pela leitura da entrada.</w:t>
      </w:r>
    </w:p>
    <w:p>
      <w:pPr>
        <w:pStyle w:val="Heading2"/>
      </w:pPr>
      <w:r>
        <w:rPr>
          <w:rFonts w:ascii="Arial" w:cs="Arial" w:eastAsia="Arial" w:hAnsi="Arial"/>
        </w:rPr>
        <w:t xml:space="preserve">6.1 Causas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Linha entre 0 e 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Coluna entre 0 e 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Partida em andamento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Célula escolhida vazia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C5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Jogada completa linha, coluna ou diagonal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C6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Jogada preenche a última célula vazia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6.2 Efeitos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Rejeita a jogada: posição fora do tabuleiro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Rejeita a jogada: partida já encerrada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E3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Rejeita a jogada: célula ocupada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E4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Jogador da vez vence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E5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Partida termina empatada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E6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Vez passa ao adversário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6.3 Relações</w:t>
      </w:r>
    </w:p>
    <w:p>
      <w:pPr>
        <w:spacing w:after="6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Nós intermediários: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N1 = C1 ∧ C2 (posição válida)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N2 = N1 ∧ C3 ∧ C4 (jogada aceita)</w:t>
      </w:r>
    </w:p>
    <w:p>
      <w:pPr>
        <w:spacing w:after="6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Efeitos: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E1 = ¬N1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E2 = N1 ∧ ¬C3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E3 = N1 ∧ C3 ∧ ¬C4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E4 = N2 ∧ C5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E5 = N2 ∧ ¬C5 ∧ C6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E6 = N2 ∧ ¬C5 ∧ ¬C6</w:t>
      </w: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A estrutura reflete a ordem das verificações (D8): E2 só ocorre com posição válida e E3 só ocorre com posição válida e partida em andamento. E4 não depende de C6, e E5 exige ¬C5: é a decisão D9 escrita no grafo. Os efeitos são mutuamente exclusivos: para qualquer combinação de causas, exatamente um efeito ocorre.</w:t>
      </w:r>
    </w:p>
    <w:p>
      <w:pPr>
        <w:pStyle w:val="Heading2"/>
      </w:pPr>
      <w:r>
        <w:rPr>
          <w:rFonts w:ascii="Arial" w:cs="Arial" w:eastAsia="Arial" w:hAnsi="Arial"/>
        </w:rPr>
        <w:t xml:space="preserve">6.4 Grafo</w:t>
      </w: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O grafo da Figura 1 é gerado automaticamente pelo código do projeto. As causas, os efeitos e as relações da seção 6.3 são declarados em Java, na classe CauseEffectSpecification, e a partir dessa declaração o gerador de relatório (ReportGenerator) produz o desenho, com o Graphviz, e a tabela de decisão da seção 6.5. Assim, o desenho e a tabela não são feitos à mão e ficam sempre iguais às relações declaradas.</w:t>
      </w:r>
    </w:p>
    <w:p>
      <w:pPr>
        <w:keepNext/>
        <w:jc w:val="center"/>
      </w:pPr>
      <w:r>
        <w:drawing>
          <wp:inline distT="0" distB="0" distL="0" distR="0">
            <wp:extent cx="4191000" cy="4933950"/>
            <wp:effectExtent t="0" r="0" b="0" l="0"/>
            <wp:docPr id="1" name="grafo-causa-efeito" descr="Grafo com as causas C1 a C6, os nós intermediários N1 e N2 e os efeitos E1 a E6" title="Grafo de Causa-Efe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1: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Grafo de Causa-Efeito de uma jogada.</w:t>
      </w: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No desenho, ∧ dentro do nó indica a porta E, e a aresta tracejada com ~ indica negação.</w:t>
      </w:r>
    </w:p>
    <w:p>
      <w:pPr>
        <w:pStyle w:val="Heading2"/>
      </w:pPr>
      <w:r>
        <w:rPr>
          <w:rFonts w:ascii="Arial" w:cs="Arial" w:eastAsia="Arial" w:hAnsi="Arial"/>
        </w:rPr>
        <w:t xml:space="preserve">6.5 Tabela de decisão</w:t>
      </w: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Cada coluna é uma regra (R1 a R7). V = verdadeiro, F = falso, - = o valor da causa não altera o efeito naquela regra, X = efeito produzido.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5: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Tabela de decisão derivada do grafo.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8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  <w:tblHeader/>
        </w:trPr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Causa / Efeito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R7</w:t>
            </w:r>
          </w:p>
        </w:tc>
      </w:tr>
      <w:tr>
        <w:trPr>
          <w:cantSplit/>
        </w:trPr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C1: Linha entre 0 e 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C2: Coluna entre 0 e 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C3: Partida em andamento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C4: Célula escolhida vazia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C5: Jogada completa linha, coluna ou diagonal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C6: Jogada preenche a última célula vazia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E1: Rejeita: posição fora do tabuleiro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E2: Rejeita: partida já encerrada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E3: Rejeita: célula ocupada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E4: Jogador da vez vence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E5: Partida termina empatada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E6: Vez passa ao adversário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Cada regra é coberta por pelo menos um caso de teste (seção 8.3). Para as regras com “-”, foram incluídos casos que fixam a causa livre em valores diferentes quando isso testa uma decisão do grupo: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</w:rPr>
        <w:t xml:space="preserve">R1 com C3 = F (CT16):</w:t>
      </w:r>
      <w:r>
        <w:rPr>
          <w:rFonts w:ascii="Arial" w:cs="Arial" w:eastAsia="Arial" w:hAnsi="Arial"/>
          <w:b w:val="false"/>
          <w:bCs w:val="false"/>
        </w:rPr>
        <w:t xml:space="preserve"> posição inválida com a partida encerrada. Deve prevalecer a rejeição por posição (D8).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</w:rPr>
        <w:t xml:space="preserve">R3 com C4 = F (CT15):</w:t>
      </w:r>
      <w:r>
        <w:rPr>
          <w:rFonts w:ascii="Arial" w:cs="Arial" w:eastAsia="Arial" w:hAnsi="Arial"/>
          <w:b w:val="false"/>
          <w:bCs w:val="false"/>
        </w:rPr>
        <w:t xml:space="preserve"> jogada após o empate em célula ocupada. Deve prevalecer a rejeição por partida encerrada (D8).</w:t>
      </w:r>
    </w:p>
    <w:p>
      <w:pPr>
        <w:pStyle w:val="ListParagraph"/>
        <w:numPr>
          <w:ilvl w:val="0"/>
          <w:numId w:val="2"/>
        </w:numPr>
        <w:spacing w:after="80" w:line="276"/>
        <w:jc w:val="both"/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Arial" w:cs="Arial" w:eastAsia="Arial" w:hAnsi="Arial"/>
          <w:b/>
          <w:bCs/>
        </w:rPr>
        <w:t xml:space="preserve">R5 com C6 = V (CT06):</w:t>
      </w:r>
      <w:r>
        <w:rPr>
          <w:rFonts w:ascii="Arial" w:cs="Arial" w:eastAsia="Arial" w:hAnsi="Arial"/>
          <w:b w:val="false"/>
          <w:bCs w:val="false"/>
        </w:rPr>
        <w:t xml:space="preserve"> vitória com a última célula. Deve ser vitória, não empate (D9).</w:t>
      </w:r>
    </w:p>
    <w:p>
      <w:pPr>
        <w:pStyle w:val="Heading1"/>
      </w:pPr>
      <w:r>
        <w:rPr>
          <w:rFonts w:ascii="Arial" w:cs="Arial" w:eastAsia="Arial" w:hAnsi="Arial"/>
        </w:rPr>
        <w:t xml:space="preserve">7. Casos de Teste (TestSet-Func)</w:t>
      </w: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A Tabela 2 reúne os 21 casos de teste gerados pela aplicação dos três critérios. A coluna Saída Obtida foi preenchida com a execução automatizada descrita na seção 9: em todos os casos a saída obtida foi igual à esperada.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2: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Casos de Teste.</w:t>
      </w:r>
    </w:p>
    <w:tbl>
      <w:tblPr>
        <w:tblW w:type="dxa" w:w="145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035"/>
        <w:gridCol w:w="2300"/>
        <w:gridCol w:w="4035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Condições de Entrada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Saída Esp.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Classes Eq. Exercitadas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Saída Obtida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CT01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&lt;X(0,0), O(1,0), X(0,1), O(1,1), X(0,2)&gt;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X_WINS (linha 0); mensagem "X venceu!"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V3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V4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V5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V6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V12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X_WINS (linha 0); mensagem "X venceu!"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CT02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&lt;X(0,0), O(0,2), X(1,0), O(1,2), X(2,1), O(2,2)&gt;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O_WINS (coluna 2); mensagem "O venceu!"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V3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V4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V5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V7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V13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O_WINS (coluna 2); mensagem "O venceu!"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CT03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&lt;X(0,0), O(0,1), X(1,1), O(0,2), X(2,2)&gt;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X_WINS (diagonal principal)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V3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V4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V5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V8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V12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X_WINS (diagonal principal)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CT04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&lt;X(0,2), O(0,0), X(1,1), O(0,1), X(2,0)&gt;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X_WINS (diagonal secundária)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V3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V4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V5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V9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V12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X_WINS (diagonal secundária)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CT05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&lt;X(0,0), O(0,1), X(0,2), O(1,1), X(1,0), O(2,0), X(2,1), O(1,2), X(2,2)&gt;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DRAW; mensagem "Empate!"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V3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V4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V5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V10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DRAW; mensagem "Empate!"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CT06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&lt;X(0,2), O(0,1), X(1,1), O(2,0), X(2,1), O(1,0), X(0,0), O(1,2), X(2,2)&gt;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X_WINS (diagonal principal na 9ª jogada), não DRAW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V3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V4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V5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V8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V12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X_WINS (diagonal principal na 9ª jogada), não DRAW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CT07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&lt;X(1,1)&gt;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IN_PROGRESS; X jogou primeiro; vez de 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V3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V4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V5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V11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IN_PROGRESS; X jogou primeiro; vez de 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CT08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&lt;X(0,0), O(0,2), X(2,0), O(2,2)&gt;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IN_PROGRESS; as 4 jogadas aceitas; vez de X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V3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V4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V5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V11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IN_PROGRESS; as 4 jogadas aceitas; vez de X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CT09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&lt;X(-1,0)&gt;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Rejeitada: POSITION_OUT_OF_BOUNDS; tabuleiro vazio; vez de X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I3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V3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Rejeitada: POSITION_OUT_OF_BOUNDS; tabuleiro vazio; vez de X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CT10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&lt;X(3,0)&gt;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Rejeitada: POSITION_OUT_OF_BOUNDS; tabuleiro vazio; vez de X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I4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V3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Rejeitada: POSITION_OUT_OF_BOUNDS; tabuleiro vazio; vez de X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CT11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&lt;X(0,-1)&gt;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Rejeitada: POSITION_OUT_OF_BOUNDS; tabuleiro vazio; vez de X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I5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Rejeitada: POSITION_OUT_OF_BOUNDS; tabuleiro vazio; vez de X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CT12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&lt;X(0,3)&gt;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Rejeitada: POSITION_OUT_OF_BOUNDS; tabuleiro vazio; vez de X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I6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Rejeitada: POSITION_OUT_OF_BOUNDS; tabuleiro vazio; vez de X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CT13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&lt;X(0,0), O(0,0)&gt;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2ª jogada rejeitada: CELL_OCCUPIED; célula (0,0) continua com X; vez de 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V3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I7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V5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2ª jogada rejeitada: CELL_OCCUPIED; célula (0,0) continua com X; vez de 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CT14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jogadas do CT01 + &lt;O(2,2)&gt;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Rejeitada: GAME_ALREADY_FINISHED; resultado continua X_WINS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V3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V4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I8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Rejeitada: GAME_ALREADY_FINISHED; resultado continua X_WINS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CT15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jogadas do CT05 + &lt;X(0,0)&gt;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Rejeitada: GAME_ALREADY_FINISHED (não CELL_OCCUPIED); resultado continua DRAW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V3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I7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I8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Rejeitada: GAME_ALREADY_FINISHED (não CELL_OCCUPIED); resultado continua DRAW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CT16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jogadas do CT01 + &lt;O(3,3)&gt;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Rejeitada: POSITION_OUT_OF_BOUNDS (não GAME_ALREADY_FINISHED); resultado continua X_WINS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I4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I6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I8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Rejeitada: POSITION_OUT_OF_BOUNDS (não GAME_ALREADY_FINISHED); resultado continua X_WINS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CT17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&lt;"a 1"&gt;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Mensagem "Jogada inválida: 'a' não é um número"; tabuleiro vazio; vez de X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I2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Mensagem "Jogada inválida: 'a' não é um número"; tabuleiro vazio; vez de X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CT18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&lt;"1"&gt;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Mensagem "Jogada inválida: informe exatamente dois números"; tabuleiro vazio; vez de X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I1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Mensagem "Jogada inválida: informe exatamente dois números"; tabuleiro vazio; vez de X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CT19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&lt;"1 1 1"&gt;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Mensagem "Jogada inválida: informe exatamente dois números"; tabuleiro vazio; vez de X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I1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Mensagem "Jogada inválida: informe exatamente dois números"; tabuleiro vazio; vez de X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CT20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&lt;""&gt; (linha vazia)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Mensagem "Jogada inválida: informe exatamente dois números"; tabuleiro vazio; vez de X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I1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Mensagem "Jogada inválida: informe exatamente dois números"; tabuleiro vazio; vez de X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CT21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&lt;"  1   1  "&gt; (espaços extras)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Jogada aceita em (1,1); IN_PROGRESS; vez de 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V3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V4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V5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0863D"/>
                <w:sz w:val="16"/>
                <w:szCs w:val="16"/>
              </w:rPr>
              <w:t xml:space="preserve">V11</w:t>
            </w:r>
          </w:p>
        </w:tc>
        <w:tc>
          <w:tcPr>
            <w:tcW w:type="dxa" w:w="4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Jogada aceita em (1,1); IN_PROGRESS; vez de O</w:t>
            </w:r>
          </w:p>
        </w:tc>
      </w:tr>
    </w:tbl>
    <w:p>
      <w:pPr>
        <w:spacing w:after="120"/>
      </w:pPr>
    </w:p>
    <w:p>
      <w:pPr>
        <w:spacing w:after="140" w:line="276"/>
        <w:jc w:val="both"/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Arial" w:cs="Arial" w:eastAsia="Arial" w:hAnsi="Arial"/>
          <w:b/>
          <w:bCs/>
        </w:rPr>
        <w:t xml:space="preserve">Sobre os casos com mais de uma classe inválida:</w:t>
      </w:r>
      <w:r>
        <w:rPr>
          <w:rFonts w:ascii="Arial" w:cs="Arial" w:eastAsia="Arial" w:hAnsi="Arial"/>
          <w:b w:val="false"/>
          <w:bCs w:val="false"/>
        </w:rPr>
        <w:t xml:space="preserve"> pela técnica, cada caso deve exercitar uma única classe inválida, para que a causa de uma falha seja identificável. CT15 e CT16 são exceções intencionais: vêm do grafo de causa-efeito e testam qual rejeição prevalece quando há dois problemas ao mesmo tempo (D8). As classes inválidas desses casos já são cobertas isoladamente: I4 e I6 no CT10 e no CT12, I7 no CT13 e I8 no CT14.</w:t>
      </w:r>
    </w:p>
    <w:p>
      <w:pPr>
        <w:pStyle w:val="Heading1"/>
      </w:pPr>
      <w:r>
        <w:rPr>
          <w:rFonts w:ascii="Arial" w:cs="Arial" w:eastAsia="Arial" w:hAnsi="Arial"/>
        </w:rPr>
        <w:t xml:space="preserve">8. Rastreabilidade</w:t>
      </w:r>
    </w:p>
    <w:p>
      <w:pPr>
        <w:pStyle w:val="Heading2"/>
      </w:pPr>
      <w:r>
        <w:rPr>
          <w:rFonts w:ascii="Arial" w:cs="Arial" w:eastAsia="Arial" w:hAnsi="Arial"/>
        </w:rPr>
        <w:t xml:space="preserve">8.1 Classes de equivalência → casos de teste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9"/>
        <w:gridCol w:w="4269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Classe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Casos de teste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V1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dois inteiros separados por espaço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todos exceto CT17 a CT20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I1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quantidade de valores ≠ 2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CT18, CT19, CT20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I2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não inteiro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V2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≤ L ≤ 2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CT01 a CT08, CT11 a CT15, CT21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I3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 &lt; 0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I4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 &gt; 2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CT10, CT16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V3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≤ C ≤ 2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CT01 a CT10, CT13 a CT15, CT21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I5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&lt; 0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I6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&gt; 2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CT12, CT16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V4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célula vazia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CT01 a CT08, CT14, CT21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I7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célula ocupada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CT13, CT15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V5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partida em andamento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CT01 a CT08, CT13, CT21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I8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partida encerrada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CT14, CT15, CT16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V6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completa linha horizontal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V7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completa coluna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V8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completa diagonal principal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CT03, CT06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V9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completa diagonal secundária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V10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empate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V11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partida continua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CT07, CT08, CT21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V12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 completa a linha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CT01, CT03, CT04, CT06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63D"/>
                <w:sz w:val="18"/>
                <w:szCs w:val="18"/>
              </w:rPr>
              <w:t xml:space="preserve">V13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completa a linha</w:t>
            </w:r>
          </w:p>
        </w:tc>
        <w:tc>
          <w:tcPr>
            <w:tcW w:type="dxa" w:w="4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CT02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Todas as 21 classes (13 válidas e 8 inválidas) são exercitadas por pelo menos um caso de teste.</w:t>
      </w:r>
    </w:p>
    <w:p>
      <w:pPr>
        <w:pStyle w:val="Heading2"/>
      </w:pPr>
      <w:r>
        <w:rPr>
          <w:rFonts w:ascii="Arial" w:cs="Arial" w:eastAsia="Arial" w:hAnsi="Arial"/>
        </w:rPr>
        <w:t xml:space="preserve">8.2 Valores limite → casos de teste</w:t>
      </w: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A correspondência está na coluna “Caso de teste” da Tabela 4 (seção 5). Todos os limites identificados têm caso de teste.</w:t>
      </w:r>
    </w:p>
    <w:p>
      <w:pPr>
        <w:pStyle w:val="Heading2"/>
      </w:pPr>
      <w:r>
        <w:rPr>
          <w:rFonts w:ascii="Arial" w:cs="Arial" w:eastAsia="Arial" w:hAnsi="Arial"/>
        </w:rPr>
        <w:t xml:space="preserve">8.3 Regras da tabela de decisão → casos de teste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769"/>
        <w:gridCol w:w="3769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Regra</w:t>
            </w:r>
          </w:p>
        </w:tc>
        <w:tc>
          <w:tcPr>
            <w:tcW w:type="dxa" w:w="4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Efeito</w:t>
            </w:r>
          </w:p>
        </w:tc>
        <w:tc>
          <w:tcPr>
            <w:tcW w:type="dxa" w:w="3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Casos de teste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4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E1: coluna fora do tabuleiro</w:t>
            </w:r>
          </w:p>
        </w:tc>
        <w:tc>
          <w:tcPr>
            <w:tcW w:type="dxa" w:w="3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CT11, CT12, CT16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4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E1: linha fora do tabuleiro (coluna válida)</w:t>
            </w:r>
          </w:p>
        </w:tc>
        <w:tc>
          <w:tcPr>
            <w:tcW w:type="dxa" w:w="3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CT09, CT10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4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E2: partida já encerrada</w:t>
            </w:r>
          </w:p>
        </w:tc>
        <w:tc>
          <w:tcPr>
            <w:tcW w:type="dxa" w:w="3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CT14, CT15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4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E3: célula ocupada</w:t>
            </w:r>
          </w:p>
        </w:tc>
        <w:tc>
          <w:tcPr>
            <w:tcW w:type="dxa" w:w="3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CT13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4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E4: jogador da vez vence</w:t>
            </w:r>
          </w:p>
        </w:tc>
        <w:tc>
          <w:tcPr>
            <w:tcW w:type="dxa" w:w="3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CT01, CT02, CT03, CT04, CT06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R6</w:t>
            </w:r>
          </w:p>
        </w:tc>
        <w:tc>
          <w:tcPr>
            <w:tcW w:type="dxa" w:w="4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E5: empate</w:t>
            </w:r>
          </w:p>
        </w:tc>
        <w:tc>
          <w:tcPr>
            <w:tcW w:type="dxa" w:w="3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R7</w:t>
            </w:r>
          </w:p>
        </w:tc>
        <w:tc>
          <w:tcPr>
            <w:tcW w:type="dxa" w:w="4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E6: vez passa ao adversário</w:t>
            </w:r>
          </w:p>
        </w:tc>
        <w:tc>
          <w:tcPr>
            <w:tcW w:type="dxa" w:w="3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CT07, CT08, CT21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9. Execução do TestSet-Func</w:t>
      </w:r>
    </w:p>
    <w:p>
      <w:pPr>
        <w:spacing w:after="140" w:line="276"/>
        <w:jc w:val="both"/>
      </w:pPr>
      <w:r>
        <w:rPr>
          <w:rFonts w:ascii="Arial" w:cs="Arial" w:eastAsia="Arial" w:hAnsi="Arial"/>
          <w:b w:val="false"/>
          <w:bCs w:val="false"/>
        </w:rPr>
        <w:t xml:space="preserve">Para preencher a coluna Saída Obtida, o Jogo da Velha foi implementado em Java (console) e os 21 casos da Tabela 2 foram automatizados com JUnit 4, um método de teste por caso, com o mesmo ID, entrada, saída esperada e classes da tabela. Os casos de teste foram escritos antes da implementação das regras do jogo.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6: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Nível em que cada caso é executado.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Casos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rodam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CT03, CT04, CT06 a CT16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Regras do jogo, chamando as jogadas diretamente (GameFunctionalTest)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Testam o comportamento da partida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CT01, CT02, CT05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Console, com entrada simulada (ConsoleFunctionalTest)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saída esperada inclui a mensagem final (“X venceu!”, “O venceu!”, “Empate!”)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CT17 a CT21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Console, com entrada simulada (ConsoleFunctionalTest)</w:t>
            </w:r>
          </w:p>
        </w:tc>
        <w:tc>
          <w:tcPr>
            <w:tcW w:type="dxa" w:w="3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Testam a leitura do texto digitado, que só existe no console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</w:rPr>
        <w:t xml:space="preserve">Resultado:</w:t>
      </w:r>
      <w:r>
        <w:rPr>
          <w:rFonts w:ascii="Arial" w:cs="Arial" w:eastAsia="Arial" w:hAnsi="Arial"/>
          <w:b w:val="false"/>
          <w:bCs w:val="false"/>
        </w:rPr>
        <w:t xml:space="preserve"> na primeira execução do TestSet-Func (07/10/2026) os 21 casos foram executados e os 21 passaram, sem falhas. A execução foi repetida em 13/10/2026 com o mesmo resultado (21 executados, 0 falhas, 0 erros). Nenhum defeito foi revelado pelo TestSet-Func nesta etapa.</w:t>
      </w:r>
    </w:p>
    <w:p>
      <w:pPr>
        <w:pStyle w:val="Heading1"/>
      </w:pPr>
      <w:r>
        <w:rPr>
          <w:rFonts w:ascii="Arial" w:cs="Arial" w:eastAsia="Arial" w:hAnsi="Arial"/>
        </w:rPr>
        <w:t xml:space="preserve">10. Resumo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cantSplit/>
          <w:tblHeader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Quantidade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Decisões sobre pontos em aberto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Classes de equivalência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(13 válidas, 8 inválidas)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Limites analisados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Causas / efeitos / regras do grafo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/ 6 / 7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Casos de teste (TestSet-Func)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Casos executados / aprovados / reprovados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/ 21 / 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Defeitos registrados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Referências</w:t>
      </w:r>
    </w:p>
    <w:p>
      <w:pPr>
        <w:spacing w:after="140" w:line="276"/>
        <w:jc w:val="left"/>
      </w:pPr>
      <w:r>
        <w:rPr>
          <w:rFonts w:ascii="Arial" w:cs="Arial" w:eastAsia="Arial" w:hAnsi="Arial"/>
          <w:b w:val="false"/>
          <w:bCs w:val="false"/>
        </w:rPr>
        <w:t xml:space="preserve">ZASLAVSKY, C. (1982). Tic Tac Toe: And Other Three-In-A Row Games from Ancient Egypt to the Modern Computer. [S.l.]: Crowell. ISBN 0-690-04316-3.</w:t>
      </w:r>
    </w:p>
    <w:p>
      <w:pPr>
        <w:spacing w:after="140" w:line="276"/>
        <w:jc w:val="left"/>
      </w:pPr>
      <w:r>
        <w:rPr>
          <w:rFonts w:ascii="Arial" w:cs="Arial" w:eastAsia="Arial" w:hAnsi="Arial"/>
          <w:b w:val="false"/>
          <w:bCs w:val="false"/>
        </w:rPr>
        <w:t xml:space="preserve">JUNIT. JUnit download and install. Disponível em: https://github.com/junit-team/junit4/wiki/Download-and-Install.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DCC168, Parte I: Teste Funcional, Jogo da Velha  · 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DCC168, Parte I: Teste Funcional, Jogo da Velha  · 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DCC168, Parte I: Teste Funcional, Jogo da Velha  · 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fa580b9687c005ea00721ca93b0257e3275e4ef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Parte I: Teste Funcional do Jogo da Velha</dc:title>
  <dc:creator>Grupo DCC168</dc:creator>
  <cp:lastModifiedBy>Un-named</cp:lastModifiedBy>
  <cp:revision>1</cp:revision>
  <dcterms:created xsi:type="dcterms:W3CDTF">2026-10-13T22:06:04.326Z</dcterms:created>
  <dcterms:modified xsi:type="dcterms:W3CDTF">2026-10-13T22:06:04.331Z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