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7330-1530176512235" w:id="1"/>
      <w:bookmarkEnd w:id="1"/>
      <w:r>
        <w:rPr>
          <w:b w:val="true"/>
          <w:sz w:val="36"/>
        </w:rPr>
        <w:t>诺基亚MEC技术及实现方案（二）——MEC关键技术和应用</w:t>
      </w:r>
    </w:p>
    <w:p>
      <w:pPr>
        <w:jc w:val="center"/>
      </w:pPr>
      <w:bookmarkStart w:name="2819-1530176512236" w:id="2"/>
      <w:bookmarkEnd w:id="2"/>
      <w:r>
        <w:drawing>
          <wp:inline distT="0" distR="0" distB="0" distL="0">
            <wp:extent cx="5267325" cy="2961233"/>
            <wp:docPr id="0" name="Drawing 0" descr="B9B130C411A748ABB9A2C9F85326F179.jpeg"/>
            <a:graphic xmlns:a="http://schemas.openxmlformats.org/drawingml/2006/main">
              <a:graphicData uri="http://schemas.openxmlformats.org/drawingml/2006/picture">
                <pic:pic xmlns:pic="http://schemas.openxmlformats.org/drawingml/2006/picture">
                  <pic:nvPicPr>
                    <pic:cNvPr id="0" name="Picture 0" descr="B9B130C411A748ABB9A2C9F85326F179.jpeg"/>
                    <pic:cNvPicPr>
                      <a:picLocks noChangeAspect="true"/>
                    </pic:cNvPicPr>
                  </pic:nvPicPr>
                  <pic:blipFill>
                    <a:blip r:embed="rId3"/>
                    <a:stretch>
                      <a:fillRect/>
                    </a:stretch>
                  </pic:blipFill>
                  <pic:spPr>
                    <a:xfrm>
                      <a:off x="0" y="0"/>
                      <a:ext cx="5267325" cy="2961233"/>
                    </a:xfrm>
                    <a:prstGeom prst="rect">
                      <a:avLst/>
                    </a:prstGeom>
                  </pic:spPr>
                </pic:pic>
              </a:graphicData>
            </a:graphic>
          </wp:inline>
        </w:drawing>
      </w:r>
    </w:p>
    <w:p>
      <w:pPr/>
      <w:bookmarkStart w:name="9992-1530176512237" w:id="3"/>
      <w:bookmarkEnd w:id="3"/>
    </w:p>
    <w:p>
      <w:pPr/>
      <w:bookmarkStart w:name="9223-1530176512237" w:id="4"/>
      <w:bookmarkEnd w:id="4"/>
      <w:r>
        <w:rPr/>
        <w:t>上期微技术介绍了移动边缘计算MEC的概念和收益，本期来介绍MEC的关键技术和典型应用。</w:t>
      </w:r>
    </w:p>
    <w:p>
      <w:pPr/>
      <w:bookmarkStart w:name="8386-1530176512237" w:id="5"/>
      <w:bookmarkEnd w:id="5"/>
    </w:p>
    <w:p>
      <w:pPr/>
      <w:bookmarkStart w:name="5747-1530176512238" w:id="6"/>
      <w:bookmarkEnd w:id="6"/>
      <w:r>
        <w:rPr>
          <w:b w:val="true"/>
        </w:rPr>
        <w:t>MEC关键技术</w:t>
      </w:r>
    </w:p>
    <w:p>
      <w:pPr/>
      <w:bookmarkStart w:name="9213-1530176512238" w:id="7"/>
      <w:bookmarkEnd w:id="7"/>
    </w:p>
    <w:p>
      <w:pPr/>
      <w:bookmarkStart w:name="3087-1530176512238" w:id="8"/>
      <w:bookmarkEnd w:id="8"/>
      <w:r>
        <w:rPr>
          <w:b w:val="true"/>
          <w:color w:val="007aaa"/>
        </w:rPr>
        <w:t>MEC作为一项内容分发和下沉技术</w:t>
      </w:r>
      <w:r>
        <w:rPr/>
        <w:t>，通过与移动运营商的结合，提高了运营商的效率，这也是MEC的核心生命力。它在降低时延的同时也保证网络效率，并且兼顾不同场景下的安全性。</w:t>
      </w:r>
      <w:r>
        <w:rPr>
          <w:b w:val="true"/>
          <w:color w:val="007aaa"/>
        </w:rPr>
        <w:t>它将云计算推广向整个产业链，不论是核心网还是边缘网</w:t>
      </w:r>
      <w:r>
        <w:rPr/>
        <w:t>。</w:t>
      </w:r>
    </w:p>
    <w:p>
      <w:pPr/>
      <w:bookmarkStart w:name="5529-1530176512239" w:id="9"/>
      <w:bookmarkEnd w:id="9"/>
    </w:p>
    <w:p>
      <w:pPr/>
      <w:bookmarkStart w:name="8228-1530176512240" w:id="10"/>
      <w:bookmarkEnd w:id="10"/>
      <w:r>
        <w:rPr/>
        <w:t>目前有几种高度相关的</w:t>
      </w:r>
      <w:r>
        <w:rPr>
          <w:b w:val="true"/>
          <w:color w:val="ff4c00"/>
        </w:rPr>
        <w:t>边缘计算的技术变种，他们有很多共性，细微的区别是因为最初支持者的区别</w:t>
      </w:r>
      <w:r>
        <w:rPr/>
        <w:t>。这些技术变种包括：</w:t>
      </w:r>
    </w:p>
    <w:p>
      <w:pPr/>
      <w:bookmarkStart w:name="8625-1530176512241" w:id="11"/>
      <w:bookmarkEnd w:id="11"/>
    </w:p>
    <w:p>
      <w:pPr>
        <w:numPr>
          <w:ilvl w:val="0"/>
          <w:numId w:val="1"/>
        </w:numPr>
      </w:pPr>
      <w:bookmarkStart w:name="8165-1530176512243" w:id="12"/>
      <w:bookmarkEnd w:id="12"/>
      <w:r>
        <w:rPr>
          <w:b w:val="true"/>
        </w:rPr>
        <w:t>ETSI MEC</w:t>
      </w:r>
      <w:r>
        <w:rPr/>
        <w:t>：ETSI移动边缘计算产业标准化小组（The ETSI Mobile Edge Computing Industry Specification Group (ISG) ）成立于2014年，定义能集成厂商、业务提供商和三方的边缘计算平台的开放性架构。ISG目前范围从移动接入扩展到了多种其它接入技术， 例如WiFi、5G 毫米波段固定接入技术等。为了准确反映这种范围的变化，2017年，</w:t>
      </w:r>
      <w:r>
        <w:rPr>
          <w:b w:val="true"/>
          <w:color w:val="ff4c00"/>
        </w:rPr>
        <w:t>MEC又被改名为多种接入边缘计算</w:t>
      </w:r>
      <w:r>
        <w:rPr/>
        <w:t>（Multi-access Edge Compute). ETSI MEC 的通用架构如下： </w:t>
      </w:r>
    </w:p>
    <w:p>
      <w:pPr/>
      <w:bookmarkStart w:name="3078-1530176512243" w:id="13"/>
      <w:bookmarkEnd w:id="13"/>
    </w:p>
    <w:p>
      <w:pPr>
        <w:jc w:val="center"/>
      </w:pPr>
      <w:bookmarkStart w:name="0057-1530176512244" w:id="14"/>
      <w:bookmarkEnd w:id="14"/>
      <w:r>
        <w:drawing>
          <wp:inline distT="0" distR="0" distB="0" distL="0">
            <wp:extent cx="5267325" cy="1482867"/>
            <wp:docPr id="1" name="Drawing 1" descr="B666105F859547C598C48873775D2F91.jpeg"/>
            <a:graphic xmlns:a="http://schemas.openxmlformats.org/drawingml/2006/main">
              <a:graphicData uri="http://schemas.openxmlformats.org/drawingml/2006/picture">
                <pic:pic xmlns:pic="http://schemas.openxmlformats.org/drawingml/2006/picture">
                  <pic:nvPicPr>
                    <pic:cNvPr id="0" name="Picture 1" descr="B666105F859547C598C48873775D2F91.jpeg"/>
                    <pic:cNvPicPr>
                      <a:picLocks noChangeAspect="true"/>
                    </pic:cNvPicPr>
                  </pic:nvPicPr>
                  <pic:blipFill>
                    <a:blip r:embed="rId5"/>
                    <a:stretch>
                      <a:fillRect/>
                    </a:stretch>
                  </pic:blipFill>
                  <pic:spPr>
                    <a:xfrm>
                      <a:off x="0" y="0"/>
                      <a:ext cx="5267325" cy="1482867"/>
                    </a:xfrm>
                    <a:prstGeom prst="rect">
                      <a:avLst/>
                    </a:prstGeom>
                  </pic:spPr>
                </pic:pic>
              </a:graphicData>
            </a:graphic>
          </wp:inline>
        </w:drawing>
      </w:r>
    </w:p>
    <w:p>
      <w:pPr/>
      <w:bookmarkStart w:name="7943-1530176512244" w:id="15"/>
      <w:bookmarkEnd w:id="15"/>
      <w:r>
        <w:rPr/>
        <w:t> </w:t>
      </w:r>
    </w:p>
    <w:p>
      <w:pPr>
        <w:numPr>
          <w:ilvl w:val="0"/>
          <w:numId w:val="2"/>
        </w:numPr>
      </w:pPr>
      <w:bookmarkStart w:name="0019-1530176512246" w:id="16"/>
      <w:bookmarkEnd w:id="16"/>
      <w:r>
        <w:rPr>
          <w:b w:val="true"/>
        </w:rPr>
        <w:t>雾计算（Fog Computing）</w:t>
      </w:r>
      <w:r>
        <w:rPr/>
        <w:t xml:space="preserve"> Fog Computing是2011年Cisco引入的概念， </w:t>
      </w:r>
      <w:r>
        <w:rPr>
          <w:b w:val="true"/>
          <w:color w:val="007aaa"/>
        </w:rPr>
        <w:t>主要强调IoT业务</w:t>
      </w:r>
      <w:r>
        <w:rPr/>
        <w:t>。Fog Computing 把边缘的概念进一步扩展到终端节点或用户设备， 所以FCN (Fog Computing Node)包含计算、存储和其它设备交互通信的能力。FCNs提供设备定位和设备上下文，它在IoT应用中像翻译器一样使设备能在IP或非IP传输中都可以用， 并且可以决定设备采用何种网络接入方式（例如用LTE还是WiFi）。</w:t>
      </w:r>
    </w:p>
    <w:p>
      <w:pPr/>
      <w:bookmarkStart w:name="2841-1530176512246" w:id="17"/>
      <w:bookmarkEnd w:id="17"/>
    </w:p>
    <w:p>
      <w:pPr>
        <w:jc w:val="center"/>
      </w:pPr>
      <w:bookmarkStart w:name="3093-1530176512247" w:id="18"/>
      <w:bookmarkEnd w:id="18"/>
      <w:r>
        <w:drawing>
          <wp:inline distT="0" distR="0" distB="0" distL="0">
            <wp:extent cx="5041900" cy="2945080"/>
            <wp:docPr id="2" name="Drawing 2" descr="D31E269184EE4EFBB9F96C83541BE1DD.jpeg"/>
            <a:graphic xmlns:a="http://schemas.openxmlformats.org/drawingml/2006/main">
              <a:graphicData uri="http://schemas.openxmlformats.org/drawingml/2006/picture">
                <pic:pic xmlns:pic="http://schemas.openxmlformats.org/drawingml/2006/picture">
                  <pic:nvPicPr>
                    <pic:cNvPr id="0" name="Picture 2" descr="D31E269184EE4EFBB9F96C83541BE1DD.jpeg"/>
                    <pic:cNvPicPr>
                      <a:picLocks noChangeAspect="true"/>
                    </pic:cNvPicPr>
                  </pic:nvPicPr>
                  <pic:blipFill>
                    <a:blip r:embed="rId6"/>
                    <a:stretch>
                      <a:fillRect/>
                    </a:stretch>
                  </pic:blipFill>
                  <pic:spPr>
                    <a:xfrm>
                      <a:off x="0" y="0"/>
                      <a:ext cx="5041900" cy="2945080"/>
                    </a:xfrm>
                    <a:prstGeom prst="rect">
                      <a:avLst/>
                    </a:prstGeom>
                  </pic:spPr>
                </pic:pic>
              </a:graphicData>
            </a:graphic>
          </wp:inline>
        </w:drawing>
      </w:r>
    </w:p>
    <w:p>
      <w:pPr/>
      <w:bookmarkStart w:name="1965-1530176512247" w:id="19"/>
      <w:bookmarkEnd w:id="19"/>
    </w:p>
    <w:p>
      <w:pPr>
        <w:numPr>
          <w:ilvl w:val="0"/>
          <w:numId w:val="3"/>
        </w:numPr>
      </w:pPr>
      <w:bookmarkStart w:name="5368-1530176512248" w:id="20"/>
      <w:bookmarkEnd w:id="20"/>
      <w:r>
        <w:rPr>
          <w:b w:val="true"/>
        </w:rPr>
        <w:t>朵云/微云（Cloudlet）</w:t>
      </w:r>
      <w:r>
        <w:rPr/>
        <w:t xml:space="preserve"> Cloudlets提供的是小规模的、手机使能的、靠近网络边缘的云数据中心，手机设备、朵云、云组成的三层结构中， 它处于中间第二层。朵云主要和学术界应用有关，最早是卡耐基梅隆大学领先地</w:t>
      </w:r>
      <w:r>
        <w:rPr>
          <w:b w:val="true"/>
          <w:color w:val="007aaa"/>
        </w:rPr>
        <w:t>实现了基于OpenStack的开放式朵云实现机制</w:t>
      </w:r>
      <w:r>
        <w:rPr/>
        <w:t>。一个Cloudlet可以是驻留在附近的一个小型的简单设备-可能在一个咖啡店中。需要时，设备从一个集中位置下载用户数据，允许本地用户访问，从而减少延迟。完成后，如有需要，可以将用户数据返回到集中位置。该过程对用户不可见，不过用户对更快的响应会感到满意</w:t>
      </w:r>
    </w:p>
    <w:p>
      <w:pPr/>
      <w:bookmarkStart w:name="3366-1530176512249" w:id="21"/>
      <w:bookmarkEnd w:id="21"/>
      <w:r>
        <w:rPr/>
        <w:t> </w:t>
      </w:r>
    </w:p>
    <w:p>
      <w:pPr>
        <w:jc w:val="center"/>
      </w:pPr>
      <w:bookmarkStart w:name="1824-1530176512250" w:id="22"/>
      <w:bookmarkEnd w:id="22"/>
      <w:r>
        <w:drawing>
          <wp:inline distT="0" distR="0" distB="0" distL="0">
            <wp:extent cx="5267325" cy="2973090"/>
            <wp:docPr id="3" name="Drawing 3" descr="A22AE5C8517A4E05A14AD5233413A20E.jpeg"/>
            <a:graphic xmlns:a="http://schemas.openxmlformats.org/drawingml/2006/main">
              <a:graphicData uri="http://schemas.openxmlformats.org/drawingml/2006/picture">
                <pic:pic xmlns:pic="http://schemas.openxmlformats.org/drawingml/2006/picture">
                  <pic:nvPicPr>
                    <pic:cNvPr id="0" name="Picture 3" descr="A22AE5C8517A4E05A14AD5233413A20E.jpeg"/>
                    <pic:cNvPicPr>
                      <a:picLocks noChangeAspect="true"/>
                    </pic:cNvPicPr>
                  </pic:nvPicPr>
                  <pic:blipFill>
                    <a:blip r:embed="rId7"/>
                    <a:stretch>
                      <a:fillRect/>
                    </a:stretch>
                  </pic:blipFill>
                  <pic:spPr>
                    <a:xfrm>
                      <a:off x="0" y="0"/>
                      <a:ext cx="5267325" cy="2973090"/>
                    </a:xfrm>
                    <a:prstGeom prst="rect">
                      <a:avLst/>
                    </a:prstGeom>
                  </pic:spPr>
                </pic:pic>
              </a:graphicData>
            </a:graphic>
          </wp:inline>
        </w:drawing>
      </w:r>
    </w:p>
    <w:p>
      <w:pPr/>
      <w:bookmarkStart w:name="7331-1530176512250" w:id="23"/>
      <w:bookmarkEnd w:id="23"/>
    </w:p>
    <w:p>
      <w:pPr/>
      <w:bookmarkStart w:name="9634-1530176512250" w:id="24"/>
      <w:bookmarkEnd w:id="24"/>
      <w:r>
        <w:rPr>
          <w:b w:val="true"/>
          <w:color w:val="007aaa"/>
        </w:rPr>
        <w:t>作为电信厂商和运营商，我们来进一步关注ETSI 的MEC的具体应用</w:t>
      </w:r>
      <w:r>
        <w:rPr/>
        <w:t>。</w:t>
      </w:r>
    </w:p>
    <w:p>
      <w:pPr/>
      <w:bookmarkStart w:name="4061-1530176512251" w:id="25"/>
      <w:bookmarkEnd w:id="25"/>
    </w:p>
    <w:p>
      <w:pPr/>
      <w:bookmarkStart w:name="8892-1530176512251" w:id="26"/>
      <w:bookmarkEnd w:id="26"/>
      <w:r>
        <w:rPr>
          <w:b w:val="true"/>
        </w:rPr>
        <w:t>MEC具体应用</w:t>
      </w:r>
    </w:p>
    <w:p>
      <w:pPr/>
      <w:bookmarkStart w:name="6362-1530176512252" w:id="27"/>
      <w:bookmarkEnd w:id="27"/>
    </w:p>
    <w:p>
      <w:pPr/>
      <w:bookmarkStart w:name="2253-1530176512252" w:id="28"/>
      <w:bookmarkEnd w:id="28"/>
      <w:r>
        <w:rPr/>
        <w:t>MEC被真正需要并非因为技术，而是应用需求。目前，MEC已拥有完善的应用模式和使用场景。例如：个人应用包括YouTube等视频网站，体育场馆大型赛事的多角度观看，博物馆的增强现实应用，大型商场的线上线下互动等均是MEC的优秀使用场景。此外，MEC在物联网领域也有所应用，其中车联网尤为突出。</w:t>
      </w:r>
    </w:p>
    <w:p>
      <w:pPr/>
      <w:bookmarkStart w:name="4349-1530176512266" w:id="29"/>
      <w:bookmarkEnd w:id="29"/>
    </w:p>
    <w:p>
      <w:pPr/>
      <w:bookmarkStart w:name="1293-1530176512252" w:id="30"/>
      <w:bookmarkEnd w:id="30"/>
      <w:r>
        <w:rPr/>
        <w:t> </w:t>
      </w:r>
    </w:p>
    <w:p>
      <w:pPr>
        <w:jc w:val="center"/>
      </w:pPr>
      <w:bookmarkStart w:name="1067-1530176512253" w:id="31"/>
      <w:bookmarkEnd w:id="31"/>
      <w:r>
        <w:drawing>
          <wp:inline distT="0" distR="0" distB="0" distL="0">
            <wp:extent cx="5267325" cy="1450043"/>
            <wp:docPr id="4" name="Drawing 4" descr="A603128F9C3E414BB198263CE953A945.jpeg"/>
            <a:graphic xmlns:a="http://schemas.openxmlformats.org/drawingml/2006/main">
              <a:graphicData uri="http://schemas.openxmlformats.org/drawingml/2006/picture">
                <pic:pic xmlns:pic="http://schemas.openxmlformats.org/drawingml/2006/picture">
                  <pic:nvPicPr>
                    <pic:cNvPr id="0" name="Picture 4" descr="A603128F9C3E414BB198263CE953A945.jpeg"/>
                    <pic:cNvPicPr>
                      <a:picLocks noChangeAspect="true"/>
                    </pic:cNvPicPr>
                  </pic:nvPicPr>
                  <pic:blipFill>
                    <a:blip r:embed="rId8"/>
                    <a:stretch>
                      <a:fillRect/>
                    </a:stretch>
                  </pic:blipFill>
                  <pic:spPr>
                    <a:xfrm>
                      <a:off x="0" y="0"/>
                      <a:ext cx="5267325" cy="1450043"/>
                    </a:xfrm>
                    <a:prstGeom prst="rect">
                      <a:avLst/>
                    </a:prstGeom>
                  </pic:spPr>
                </pic:pic>
              </a:graphicData>
            </a:graphic>
          </wp:inline>
        </w:drawing>
      </w:r>
    </w:p>
    <w:p>
      <w:pPr/>
      <w:bookmarkStart w:name="7929-1530176512253" w:id="32"/>
      <w:bookmarkEnd w:id="32"/>
    </w:p>
    <w:p>
      <w:pPr/>
      <w:bookmarkStart w:name="3338-1530176512253" w:id="33"/>
      <w:bookmarkEnd w:id="33"/>
      <w:r>
        <w:rPr>
          <w:b w:val="true"/>
          <w:color w:val="007aaa"/>
        </w:rPr>
        <w:t>总得说来</w:t>
      </w:r>
      <w:r>
        <w:rPr/>
        <w:t>，能够受益于MEC的业务将会有以下一个或一个以上的特点：</w:t>
      </w:r>
    </w:p>
    <w:p>
      <w:pPr/>
      <w:bookmarkStart w:name="9087-1530176512254" w:id="34"/>
      <w:bookmarkEnd w:id="34"/>
    </w:p>
    <w:p>
      <w:pPr>
        <w:numPr>
          <w:ilvl w:val="0"/>
          <w:numId w:val="4"/>
        </w:numPr>
      </w:pPr>
      <w:bookmarkStart w:name="4957-1530176512254" w:id="35"/>
      <w:bookmarkEnd w:id="35"/>
      <w:r>
        <w:rPr/>
        <w:t>快速反应、低时延、近实时要求的应用</w:t>
      </w:r>
    </w:p>
    <w:p>
      <w:pPr>
        <w:numPr>
          <w:ilvl w:val="0"/>
          <w:numId w:val="4"/>
        </w:numPr>
      </w:pPr>
      <w:bookmarkStart w:name="6777-1530176512255" w:id="36"/>
      <w:bookmarkEnd w:id="36"/>
      <w:r>
        <w:rPr/>
        <w:t>数据缓存</w:t>
      </w:r>
    </w:p>
    <w:p>
      <w:pPr>
        <w:numPr>
          <w:ilvl w:val="0"/>
          <w:numId w:val="4"/>
        </w:numPr>
      </w:pPr>
      <w:bookmarkStart w:name="6744-1530176512255" w:id="37"/>
      <w:bookmarkEnd w:id="37"/>
      <w:r>
        <w:rPr/>
        <w:t>位置感知的应用</w:t>
      </w:r>
    </w:p>
    <w:p>
      <w:pPr>
        <w:numPr>
          <w:ilvl w:val="0"/>
          <w:numId w:val="4"/>
        </w:numPr>
      </w:pPr>
      <w:bookmarkStart w:name="5973-1530176512256" w:id="38"/>
      <w:bookmarkEnd w:id="38"/>
      <w:r>
        <w:rPr/>
        <w:t>上下文感知的应用</w:t>
      </w:r>
    </w:p>
    <w:p>
      <w:pPr>
        <w:numPr>
          <w:ilvl w:val="0"/>
          <w:numId w:val="4"/>
        </w:numPr>
      </w:pPr>
      <w:bookmarkStart w:name="2328-1530176512256" w:id="39"/>
      <w:bookmarkEnd w:id="39"/>
      <w:r>
        <w:rPr/>
        <w:t>大计算量的应用</w:t>
      </w:r>
    </w:p>
    <w:p>
      <w:pPr>
        <w:numPr>
          <w:ilvl w:val="0"/>
          <w:numId w:val="4"/>
        </w:numPr>
      </w:pPr>
      <w:bookmarkStart w:name="1590-1530176512257" w:id="40"/>
      <w:bookmarkEnd w:id="40"/>
      <w:r>
        <w:rPr/>
        <w:t>数据传输和解码</w:t>
      </w:r>
    </w:p>
    <w:p>
      <w:pPr>
        <w:numPr>
          <w:ilvl w:val="0"/>
          <w:numId w:val="4"/>
        </w:numPr>
      </w:pPr>
      <w:bookmarkStart w:name="2084-1530176512257" w:id="41"/>
      <w:bookmarkEnd w:id="41"/>
      <w:r>
        <w:rPr/>
        <w:t>要求长电池续航能力的应用等</w:t>
      </w:r>
    </w:p>
    <w:p>
      <w:pPr/>
      <w:bookmarkStart w:name="8429-1530176512258" w:id="42"/>
      <w:bookmarkEnd w:id="42"/>
      <w:r>
        <w:rPr/>
        <w:t> </w:t>
      </w:r>
    </w:p>
    <w:p>
      <w:pPr>
        <w:jc w:val="center"/>
      </w:pPr>
      <w:bookmarkStart w:name="5114-1530176512258" w:id="43"/>
      <w:bookmarkEnd w:id="43"/>
      <w:r>
        <w:drawing>
          <wp:inline distT="0" distR="0" distB="0" distL="0">
            <wp:extent cx="5267325" cy="2870817"/>
            <wp:docPr id="5" name="Drawing 5" descr="2815693E09A14884BF8AFB0E9AFC8236.jpeg"/>
            <a:graphic xmlns:a="http://schemas.openxmlformats.org/drawingml/2006/main">
              <a:graphicData uri="http://schemas.openxmlformats.org/drawingml/2006/picture">
                <pic:pic xmlns:pic="http://schemas.openxmlformats.org/drawingml/2006/picture">
                  <pic:nvPicPr>
                    <pic:cNvPr id="0" name="Picture 5" descr="2815693E09A14884BF8AFB0E9AFC8236.jpeg"/>
                    <pic:cNvPicPr>
                      <a:picLocks noChangeAspect="true"/>
                    </pic:cNvPicPr>
                  </pic:nvPicPr>
                  <pic:blipFill>
                    <a:blip r:embed="rId9"/>
                    <a:stretch>
                      <a:fillRect/>
                    </a:stretch>
                  </pic:blipFill>
                  <pic:spPr>
                    <a:xfrm>
                      <a:off x="0" y="0"/>
                      <a:ext cx="5267325" cy="2870817"/>
                    </a:xfrm>
                    <a:prstGeom prst="rect">
                      <a:avLst/>
                    </a:prstGeom>
                  </pic:spPr>
                </pic:pic>
              </a:graphicData>
            </a:graphic>
          </wp:inline>
        </w:drawing>
      </w:r>
    </w:p>
    <w:p>
      <w:pPr/>
      <w:bookmarkStart w:name="3945-1530176512258" w:id="44"/>
      <w:bookmarkEnd w:id="44"/>
    </w:p>
    <w:p>
      <w:pPr/>
      <w:bookmarkStart w:name="3849-1530176512259" w:id="45"/>
      <w:bookmarkEnd w:id="45"/>
      <w:r>
        <w:rPr/>
        <w:t>MEC云平台以用户需求为出发点，它通过平台的集成，满足</w:t>
      </w:r>
      <w:r>
        <w:rPr>
          <w:b w:val="true"/>
          <w:color w:val="007aaa"/>
        </w:rPr>
        <w:t>各类用户</w:t>
      </w:r>
      <w:r>
        <w:rPr/>
        <w:t>的业务需求，包括</w:t>
      </w:r>
      <w:r>
        <w:rPr>
          <w:b w:val="true"/>
          <w:color w:val="007aaa"/>
        </w:rPr>
        <w:t>视频增强、增强现实、虚拟现实等</w:t>
      </w:r>
      <w:r>
        <w:rPr/>
        <w:t>，也包括</w:t>
      </w:r>
      <w:r>
        <w:rPr>
          <w:b w:val="true"/>
          <w:color w:val="007aaa"/>
        </w:rPr>
        <w:t>对企业多点连接、工业化以及物联网和物联网延伸技术</w:t>
      </w:r>
      <w:r>
        <w:rPr/>
        <w:t>的需求。具体技术而言，包括分布式的计算、实时现场的传输和传递以及互动体验等对时延要求较高的领域。此外，中国制造2025和德国工业4.0也需要MEC。</w:t>
      </w:r>
    </w:p>
    <w:p>
      <w:pPr/>
      <w:bookmarkStart w:name="2047-1530176512260" w:id="46"/>
      <w:bookmarkEnd w:id="46"/>
    </w:p>
    <w:p>
      <w:pPr/>
      <w:bookmarkStart w:name="2591-1530176512260" w:id="47"/>
      <w:bookmarkEnd w:id="47"/>
      <w:r>
        <w:rPr/>
        <w:t>如上期所述MEC会为我们在视频、游戏等实施或交互式个人应用中， 或企业用户的增值专享业务中，在物联网及其垂直行业用户提供更多基于位置的海量低功耗连接应用，车联网等极低时延、大数据量的应用中帮助运营商成功转型，创造出更多网络连接和应用的新价值。</w:t>
      </w:r>
    </w:p>
    <w:p>
      <w:pPr/>
      <w:bookmarkStart w:name="3839-1530176512260" w:id="48"/>
      <w:bookmarkEnd w:id="48"/>
    </w:p>
    <w:p>
      <w:pPr>
        <w:jc w:val="center"/>
      </w:pPr>
      <w:bookmarkStart w:name="6033-1530176512261" w:id="49"/>
      <w:bookmarkEnd w:id="49"/>
      <w:r>
        <w:drawing>
          <wp:inline distT="0" distR="0" distB="0" distL="0">
            <wp:extent cx="5267325" cy="2899445"/>
            <wp:docPr id="6" name="Drawing 6" descr="7A1B4020D41542F8BE0D93FD3BCD8513.jpeg"/>
            <a:graphic xmlns:a="http://schemas.openxmlformats.org/drawingml/2006/main">
              <a:graphicData uri="http://schemas.openxmlformats.org/drawingml/2006/picture">
                <pic:pic xmlns:pic="http://schemas.openxmlformats.org/drawingml/2006/picture">
                  <pic:nvPicPr>
                    <pic:cNvPr id="0" name="Picture 6" descr="7A1B4020D41542F8BE0D93FD3BCD8513.jpeg"/>
                    <pic:cNvPicPr>
                      <a:picLocks noChangeAspect="true"/>
                    </pic:cNvPicPr>
                  </pic:nvPicPr>
                  <pic:blipFill>
                    <a:blip r:embed="rId10"/>
                    <a:stretch>
                      <a:fillRect/>
                    </a:stretch>
                  </pic:blipFill>
                  <pic:spPr>
                    <a:xfrm>
                      <a:off x="0" y="0"/>
                      <a:ext cx="5267325" cy="2899445"/>
                    </a:xfrm>
                    <a:prstGeom prst="rect">
                      <a:avLst/>
                    </a:prstGeom>
                  </pic:spPr>
                </pic:pic>
              </a:graphicData>
            </a:graphic>
          </wp:inline>
        </w:drawing>
      </w:r>
    </w:p>
    <w:p>
      <w:pPr/>
      <w:bookmarkStart w:name="7934-1530176512262" w:id="50"/>
      <w:bookmarkEnd w:id="50"/>
      <w:r>
        <w:rPr/>
        <w:t> </w:t>
      </w:r>
    </w:p>
    <w:p>
      <w:pPr/>
      <w:bookmarkStart w:name="4715-1530176512268" w:id="51"/>
      <w:bookmarkEnd w:id="51"/>
    </w:p>
    <w:p>
      <w:pPr/>
      <w:bookmarkStart w:name="4192-1530176512262" w:id="52"/>
      <w:bookmarkEnd w:id="52"/>
      <w:r>
        <w:rPr/>
        <w:t>诺基亚贝尔作为最早的MEC倡导者， 其MEC技术具体是怎样实现的， 以及他在中国和世界上有哪些成功的应用案例， 我们将在下周的微技术栏目中进一步介绍。</w:t>
      </w:r>
    </w:p>
    <w:p>
      <w:pPr/>
      <w:bookmarkStart w:name="7310-1530176512262" w:id="53"/>
      <w:bookmarkEnd w:id="53"/>
    </w:p>
    <w:p>
      <w:pPr>
        <w:jc w:val="center"/>
      </w:pPr>
      <w:bookmarkStart w:name="4156-1530176512262" w:id="54"/>
      <w:bookmarkEnd w:id="54"/>
      <w:r>
        <w:drawing>
          <wp:inline distT="0" distR="0" distB="0" distL="0">
            <wp:extent cx="5267325" cy="3572255"/>
            <wp:docPr id="7" name="Drawing 7" descr="8E8169FCCDBE4CE3BDEBC280EFF88B0B.jpeg"/>
            <a:graphic xmlns:a="http://schemas.openxmlformats.org/drawingml/2006/main">
              <a:graphicData uri="http://schemas.openxmlformats.org/drawingml/2006/picture">
                <pic:pic xmlns:pic="http://schemas.openxmlformats.org/drawingml/2006/picture">
                  <pic:nvPicPr>
                    <pic:cNvPr id="0" name="Picture 7" descr="8E8169FCCDBE4CE3BDEBC280EFF88B0B.jpeg"/>
                    <pic:cNvPicPr>
                      <a:picLocks noChangeAspect="true"/>
                    </pic:cNvPicPr>
                  </pic:nvPicPr>
                  <pic:blipFill>
                    <a:blip r:embed="rId11"/>
                    <a:stretch>
                      <a:fillRect/>
                    </a:stretch>
                  </pic:blipFill>
                  <pic:spPr>
                    <a:xfrm>
                      <a:off x="0" y="0"/>
                      <a:ext cx="5267325" cy="3572255"/>
                    </a:xfrm>
                    <a:prstGeom prst="rect">
                      <a:avLst/>
                    </a:prstGeom>
                  </pic:spPr>
                </pic:pic>
              </a:graphicData>
            </a:graphic>
          </wp:inline>
        </w:drawing>
      </w:r>
    </w:p>
    <w:p>
      <w:pPr/>
      <w:bookmarkStart w:name="6740-1530176512263" w:id="55"/>
      <w:bookmarkEnd w:id="5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7.jpeg" Type="http://schemas.openxmlformats.org/officeDocument/2006/relationships/image"/>
<Relationship Id="rId11"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numbering.xml" Type="http://schemas.openxmlformats.org/officeDocument/2006/relationships/numbering"/>
<Relationship Id="rId5" Target="media/image2.jpeg" Type="http://schemas.openxmlformats.org/officeDocument/2006/relationships/image"/>
<Relationship Id="rId6" Target="media/image3.jpeg" Type="http://schemas.openxmlformats.org/officeDocument/2006/relationships/image"/>
<Relationship Id="rId7" Target="media/image4.jpeg" Type="http://schemas.openxmlformats.org/officeDocument/2006/relationships/image"/>
<Relationship Id="rId8" Target="media/image5.jpeg" Type="http://schemas.openxmlformats.org/officeDocument/2006/relationships/image"/>
<Relationship Id="rId9"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2018-07-04T01:48:50Z</dcterms:created>
  <dc:creator>Apache POI</dc:creator>
</cp:coreProperties>
</file>