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Le besoin de veille</w:t>
      </w:r>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r>
        <w:t>1.1 Les quatre axes qui en découlent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r>
        <w:t>2. Méthodologie et système de veille</w:t>
      </w:r>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r>
        <w:t>2.1 Les sept critères d'évaluation</w:t>
      </w:r>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r>
        <w:t>2.2 Sources et automatisation</w:t>
      </w:r>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r>
        <w:t>3. Cartographie des solutions, axe par axe</w:t>
      </w:r>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r>
        <w:t>3.1 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r>
        <w:t>3.2 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r>
        <w:t>3.3 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r>
        <w:t>3.4 Axe 4, interprétabilité et documentation assistée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r>
        <w:t xml:space="preserve">3.5 La matrice des options sur les sept critères</w:t>
      </w:r>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r>
        <w:t xml:space="preserve">3.6 Cas d'usage et prérequis de chaque solution</w:t>
      </w:r>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en mode Cowork ; ChatGPT</w:t>
            </w:r>
          </w:p>
        </w:tc>
      </w:tr>
    </w:tbl>
    <w:p>
      <w:pPr>
        <w:pStyle w:val="Heading1"/>
      </w:pPr>
      <w:r>
        <w:t>4. Sources fiables, datées et hiérarchisées</w:t>
      </w:r>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r>
        <w:t>4.1 Développement durable et sobriété</w:t>
      </w:r>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r>
        <w:t xml:space="preserve">4.2 Veille métier : le marché du vin et la vente en ligne</w:t>
      </w:r>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r>
        <w:t>5. Sécurité, conformité et usage responsable de l'IA</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de bureau a lu les sorties du notebook qu'il exécutait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Exception : les essais C et D du 25 septembre, chiffres recalculés par l'assistant dans un script séparé ; ma relecture est en cours</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r>
        <w:t>6. Synthèse et amélioration continue</w:t>
      </w:r>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r>
        <w:t>6.1 Pistes d'amélioration continue</w:t>
      </w:r>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r>
        <w:t xml:space="preserve">Annexe A. Le dispositif de veille en fonctionnement</w:t>
      </w:r>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