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w:t>
      </w:r>
      <w:r>
        <w:rPr>
          <w:rFonts w:ascii="Calibri" w:hAnsi="Calibri"/>
          <w:color w:val="333333"/>
          <w:sz w:val="20"/>
        </w:rPr>
        <w:t>31 juillet 2026</w:t>
      </w:r>
    </w:p>
    <w:p>
      <w:pPr>
        <w:spacing w:after="60"/>
      </w:pPr>
      <w:r>
        <w:rPr>
          <w:rFonts w:ascii="Calibri" w:hAnsi="Calibri"/>
          <w:b/>
          <w:color w:val="1F2937"/>
          <w:sz w:val="20"/>
        </w:rPr>
        <w:t xml:space="preserve">Version : </w:t>
      </w:r>
      <w:r>
        <w:rPr>
          <w:rFonts w:ascii="Calibri" w:hAnsi="Calibri"/>
          <w:color w:val="333333"/>
          <w:sz w:val="20"/>
        </w:rPr>
        <w:t xml:space="preserve">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contre la grille des attendus (section 11) et preuves actualisées, rédigé le 18 septembre ; 1.5, grille portée à seize indicateurs ; 1.4, mise à jour du 17 septembre (section 10) ; 1.3, passages du 4 août et du 3 septembre 2026, vingt-neuf écarts</w:t>
      </w:r>
    </w:p>
    <w:p>
      <w:pPr>
        <w:spacing w:before="60" w:after="160"/>
      </w:pPr>
      <w:r>
        <w:rPr>
          <w:rFonts w:ascii="Calibri" w:hAnsi="Calibri"/>
          <w:b w:val="0"/>
          <w:i w:val="0"/>
          <w:color w:val="333333"/>
          <w:sz w:val="20"/>
        </w:rPr>
        <w:t xml:space="preserve">Quatre passages, quarante écarts, tous corrigés. Le premier, sur la version du 26 juin 2026, a donné onze corrections, faites le 31 juillet. Trois portaient sur des chiffres publiés : facteur d'accélération, nombre de critères, base de la concentration (écarts 1, 2 et 4). Le deuxième, le 4 août, en a relevé huit, corrigés le jour même (section 8). Le troisième, le 3 septembre, dix, sur les portfolios (section 9). Le quatrième, le 17 septembre, onze de forme, contre la grille de l'énoncé (section 11).</w:t>
      </w:r>
    </w:p>
    <w:p>
      <w:pPr>
        <w:spacing w:after="40"/>
      </w:pP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Objet et méthode de l'audit</w:t>
      </w:r>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r>
        <w:t>1.1 Méthode retenue</w:t>
      </w:r>
    </w:p>
    <w:p>
      <w:pPr>
        <w:pStyle w:val="ListNumber"/>
        <w:spacing w:after="40"/>
        <w:ind w:left="369"/>
      </w:pPr>
      <w:r>
        <w:rPr>
          <w:rFonts w:ascii="Calibri" w:hAnsi="Calibri"/>
          <w:b/>
          <w:i w:val="0"/>
          <w:color w:val="333333"/>
          <w:sz w:val="21"/>
        </w:rPr>
        <w:t>Relecture croisée des sept documents</w:t>
      </w:r>
      <w:r>
        <w:rPr>
          <w:rFonts w:ascii="Calibri" w:hAnsi="Calibri"/>
          <w:b w:val="0"/>
          <w:i w:val="0"/>
          <w:color w:val="333333"/>
          <w:sz w:val="21"/>
        </w:rPr>
        <w:t xml:space="preserve"> de la documentation et du kit de soutenance, avec extraction automatique de tous les nombres cités et regroupement par indicateur.</w:t>
      </w:r>
    </w:p>
    <w:p>
      <w:pPr>
        <w:pStyle w:val="ListNumber"/>
        <w:spacing w:after="40"/>
        <w:ind w:left="369"/>
      </w:pPr>
      <w:r>
        <w:rPr>
          <w:rFonts w:ascii="Calibri" w:hAnsi="Calibri"/>
          <w:b/>
          <w:i w:val="0"/>
          <w:color w:val="333333"/>
          <w:sz w:val="21"/>
        </w:rPr>
        <w:t>Réexécution complète du notebook</w:t>
      </w:r>
      <w:r>
        <w:rPr>
          <w:rFonts w:ascii="Calibri" w:hAnsi="Calibri"/>
          <w:b w:val="0"/>
          <w:i w:val="0"/>
          <w:color w:val="333333"/>
          <w:sz w:val="21"/>
        </w:rPr>
        <w:t xml:space="preserve"> le 31 juillet 2026 sur une machine différente de celle d'origine,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r>
        <w:t>1.2 Échelle de statut employée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r>
        <w:t>2. Conformité aux livrables attendus</w:t>
      </w:r>
    </w:p>
    <w:p>
      <w:r>
        <w:rPr>
          <w:rFonts w:ascii="Calibri" w:hAnsi="Calibri"/>
          <w:b w:val="0"/>
          <w:i w:val="0"/>
          <w:color w:val="333333"/>
          <w:sz w:val="21"/>
        </w:rPr>
        <w:t>Le projet attend trois livrables numérotés. Le tableau ci-dessous établit la correspondance avec les fichiers effectivement produits et vérifie la convention de nommage imposée, à savoir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données sources, figures, essais complémentaires, journal, README,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Sept documents préfixés Lippens_Charles_2_ (veille, cahier des charges, gestion de projet, démarche et POC, guide de prise en main, synthèse globale, audit de conformité), réunis en un seul PDF pour le dépôt</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Partiel au 28 septembre 2026 : version 4 retenue et corrigée le 28 septembre ; élément 3 du dépôt à produire après la séance 3</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J'ai choisi de déposer la documentation en un seul PDF, ce qui impose d'actualiser les sommaires avant l'export. La mini formation destinée aux métiers est un attendu du livrable 2. Elle occupe la section 7 du cahier des charges et fait l'objet d'un guide de prise en main distinct.</w:t>
      </w:r>
    </w:p>
    <w:p>
      <w:pPr>
        <w:spacing w:after="40"/>
      </w:pPr>
    </w:p>
    <w:p>
      <w:pPr>
        <w:pStyle w:val="Heading1"/>
      </w:pPr>
      <w:r>
        <w:t>3. Grille des indicateurs de qualité, renseignée et auditée</w:t>
      </w:r>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r>
        <w:t>3.1 Veille technologique et méthodologique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 Isolation Forest répond au besoin de détection avant restitution ; la justification part du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r>
        <w:t>3.2 Identification du besoin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r>
        <w:t xml:space="preserve">3.3 Formalisation du cahier des charges fonctionnel</w:t>
      </w:r>
    </w:p>
    <w:p>
      <w:r>
        <w:rPr>
          <w:rFonts w:ascii="Calibri" w:hAnsi="Calibri"/>
          <w:b w:val="0"/>
          <w:i w:val="0"/>
          <w:color w:val="333333"/>
          <w:sz w:val="21"/>
        </w:rPr>
        <w:t xml:space="preserve">Bloc ajouté le 17 septembre 2026. La grille officielle du projet mis à jour le 24 juin 2026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r>
        <w:t xml:space="preserve">3.4 Objectifs pédagogiques du projet</w:t>
      </w:r>
    </w:p>
    <w:p>
      <w:r>
        <w:rPr>
          <w:rFonts w:ascii="Calibri" w:hAnsi="Calibri"/>
          <w:b w:val="0"/>
          <w:i w:val="0"/>
          <w:color w:val="333333"/>
          <w:sz w:val="21"/>
        </w:rPr>
        <w:t>Au-delà de la grille, l'énoncé liste huit objectifs pédagogiques. Ils ne sont pas assortis d'indicateurs mais l'évaluateur s'en sert pour construire ses questions. Le tableau ci-dessous montre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 : Isolation Forest, SHAP, moteurs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Corrigé le 31 juillet</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bl>
    <w:p>
      <w:pPr>
        <w:spacing w:after="40"/>
      </w:pPr>
    </w:p>
    <w:p>
      <w:pPr>
        <w:pStyle w:val="Heading1"/>
      </w:pPr>
      <w:r>
        <w:t>4. Contrôle des chiffres publiés</w:t>
      </w:r>
    </w:p>
    <w:p>
      <w:r>
        <w:rPr>
          <w:rFonts w:ascii="Calibri" w:hAnsi="Calibri"/>
          <w:b w:val="0"/>
          <w:i w:val="0"/>
          <w:color w:val="333333"/>
          <w:sz w:val="21"/>
        </w:rPr>
        <w:t>Le notebook a été réexécuté intégralement le 31 juillet 2026, sur une machine différente de celle utilisée en juin, avec les mêmes fichiers sources et la même graine aléatoire. Cette double exécution sépare nettement ce qui est reproductible de ce qui dépend du matériel.</w:t>
      </w:r>
    </w:p>
    <w:p>
      <w:pPr>
        <w:pStyle w:val="Heading2"/>
      </w:pPr>
      <w:r>
        <w:t>4.1 Résultats déterministes, confirmés à l'identique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ma relecture est prévue avant la séance 3</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r>
        <w:t>4.2 Écarts relevés et corrigés</w:t>
      </w:r>
    </w:p>
    <w:p>
      <w:pPr>
        <w:pStyle w:val="Heading3"/>
      </w:pPr>
      <w:r>
        <w:t>Écart 1 : facteur d'accélération des moteurs alternatifs</w:t>
      </w:r>
    </w:p>
    <w:p>
      <w:r>
        <w:rPr>
          <w:rFonts w:ascii="Calibri" w:hAnsi="Calibri"/>
          <w:b w:val="0"/>
          <w:i w:val="0"/>
          <w:color w:val="333333"/>
          <w:sz w:val="21"/>
        </w:rPr>
        <w:t xml:space="preserve">La documentation de juin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du 31 juillet donnait 3,5 et 2,9, celle du 4 août,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Volumétrie réelle, 825 lignes, poste de juin</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Volumétrie réelle, 825 lignes, réexécution d'audit de juillet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Deux millions de lignes, poste de juin</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Deux millions de lignes, réexécution d'audit de juillet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datés. Polars et DuckDB sont 4,1 et 2,9 fois plus rapides que pandas le 4 août (exécution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que les écarts à la volumétrie réelle restaient inférieurs à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r>
        <w:t>Écart 2 : composition de la liste des critères de comparaison</w:t>
      </w:r>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Liste annoncée en juin</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Les supports courts, comme les diapositives, citent les sept, sans coupe.</w:t>
      </w:r>
    </w:p>
    <w:p>
      <w:pPr>
        <w:spacing w:after="40"/>
      </w:pPr>
    </w:p>
    <w:p>
      <w:pPr>
        <w:pStyle w:val="Heading3"/>
      </w:pPr>
      <w:r>
        <w:t>Écart 3 : numérotation des jalons</w:t>
      </w:r>
    </w:p>
    <w:p>
      <w:r>
        <w:rPr>
          <w:rFonts w:ascii="Calibri" w:hAnsi="Calibri"/>
          <w:b w:val="0"/>
          <w:i w:val="0"/>
          <w:color w:val="333333"/>
          <w:sz w:val="21"/>
        </w:rPr>
        <w:t>Le cahier des charges décrivait cinq jalons de J1 à J5 tandis que le document de gestion de projet en décrivait quatre, sur le même calendrier de quatre semaines. Seul J3 portait le même intitulé dans les deux textes. Les deux documents ont été alignés sur cinq jalons, la documentation et la restitution étant deux étapes distinctes.</w:t>
      </w:r>
    </w:p>
    <w:p>
      <w:pPr>
        <w:pStyle w:val="Heading3"/>
      </w:pPr>
      <w:r>
        <w:t>Écart 4 : base de calcul de la concentration du chiffre d'affaires</w:t>
      </w:r>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r>
        <w:t>Écart 5 : lisibilité du rapport de contrôle qualité dans le notebook</w:t>
      </w:r>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Le comportement de Pandera pour les contrôles portant sur l'ensemble du tableau est de remonter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r>
        <w:t>Écarts 6 à 11 : corrections rédactionnelles et de complétude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Suppression, remplacée par une résolution de chemin relative documentée</w:t>
            </w:r>
          </w:p>
        </w:tc>
      </w:tr>
    </w:tbl>
    <w:p>
      <w:pPr>
        <w:spacing w:after="40"/>
      </w:pPr>
    </w:p>
    <w:p>
      <w:pPr>
        <w:pStyle w:val="Heading1"/>
      </w:pPr>
      <w:r>
        <w:t>5. Contrôle rédactionnel et accessibilité</w:t>
      </w:r>
    </w:p>
    <w:p>
      <w:r>
        <w:rPr>
          <w:rFonts w:ascii="Calibri" w:hAnsi="Calibri"/>
          <w:b w:val="0"/>
          <w:i w:val="0"/>
          <w:color w:val="333333"/>
          <w:sz w:val="21"/>
        </w:rPr>
        <w:t>Les livrables doivent pouvoir être remis à des interlocuteurs variés, des ressources humaines à la direction. Un contrôle rédactionnel a donc été mené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r>
        <w:t>6. Risques résiduels et limites de cet audit</w:t>
      </w:r>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r>
        <w:t>7. Conclusion de l'audit</w:t>
      </w:r>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deux premiers livrables sont produits et nommés conformément à la consigne ; le troisième, le portfolio, sera déposé après la séance 3 sous le nom Lippens_Charles_3_portfolio_092026 (site retenu ou PDF avec son lien). Les treize résultats déterministes du notebook ont été confirmés par une réexécution indépendante, puis retrouvés le 25 septembre sur mon poste et le 28 septembre dans un environnement neuf. La marge, citée sans cellule de calcul, a été recalculée le 25 septembre par l'assistant (essai C) ; ma relecture est prévue avant la séance 3.</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teste en discussion.</w:t>
      </w:r>
    </w:p>
    <w:p>
      <w:pPr>
        <w:spacing w:before="60" w:after="160"/>
      </w:pPr>
      <w:r>
        <w:rPr>
          <w:rFonts w:ascii="Calibri" w:hAnsi="Calibri"/>
          <w:b/>
          <w:i w:val="0"/>
          <w:color w:val="333333"/>
          <w:sz w:val="20"/>
        </w:rPr>
        <w:t xml:space="preserve">Verdict.</w:t>
      </w:r>
      <w:r>
        <w:rPr>
          <w:rFonts w:ascii="Calibri" w:hAnsi="Calibri"/>
          <w:b w:val="0"/>
          <w:i w:val="0"/>
          <w:color w:val="333333"/>
          <w:sz w:val="20"/>
        </w:rPr>
        <w:t xml:space="preserve"> La version du 31 juillet 2026 est conforme et présentable. Chaque écart est corrigé et reste visible dans cet historique.</w:t>
      </w:r>
    </w:p>
    <w:p>
      <w:pPr>
        <w:spacing w:after="40"/>
      </w:pPr>
    </w:p>
    <w:p>
      <w:pPr>
        <w:pStyle w:val="Heading1"/>
      </w:pPr>
      <w:r>
        <w:t xml:space="preserve">8. Second passage d'audit, 4 août 2026</w:t>
      </w:r>
    </w:p>
    <w:p>
      <w:r>
        <w:rPr>
          <w:rFonts w:ascii="Calibri" w:hAnsi="Calibri"/>
          <w:b w:val="0"/>
          <w:i w:val="0"/>
          <w:color w:val="333333"/>
          <w:sz w:val="21"/>
        </w:rPr>
        <w:t xml:space="preserve">Un second passage a été conduit le 4 août 2026,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r>
        <w:t xml:space="preserve">8.1 Ce que la troisième réexécution confirme</w:t>
      </w:r>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et le 28 septembre dans un environnement neuf.</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des facteurs datés : Polars et DuckDB 4,1 et 2,9 fois plus rapides que pandas le 4 août,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poste de juin</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 de juillet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d'août, 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poste de juin</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 de juillet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d'août, 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du 31 juillet (3,5 et 2,9) n'est pas dans ce tableau, qui garde la réexécution d'audit de juillet (3,8 et 3,6). Toutes les mesures sont listées en annexe A.2 de la documentation de la démarche et dans le journal des essais.</w:t>
      </w:r>
    </w:p>
    <w:p>
      <w:pPr>
        <w:spacing w:after="120"/>
      </w:pPr>
    </w:p>
    <w:p>
      <w:pPr>
        <w:pStyle w:val="Heading2"/>
      </w:pPr>
      <w:r>
        <w:t xml:space="preserve">8.2 Écarts relevés et corrigés, numérotés à la suite du premier passage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livrée dans le notebook affichait 39,1 ms pour DuckDB et des facteurs de 3,5 et 2,9, ce qui contredisait la phrase « moins de trente millisecondes » et l'énoncé « facteur 3 à 6 » publiés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le moteur et la machine ; tableau des trois machines publié ci-dessus. Formulation remplacée le 28 septembre 2026 par des facteurs datés.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d'une exécution de juin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des enchaînements « vers »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indiquait juin 2026 alors que le dossier est daté de juillet 2026.</w:t>
            </w:r>
          </w:p>
        </w:tc>
        <w:tc>
          <w:tcPr>
            <w:tcW w:type="dxa" w:w="3549"/>
          </w:tcPr>
          <w:p>
            <w:pPr>
              <w:spacing w:after="0"/>
            </w:pPr>
            <w:r>
              <w:rPr>
                <w:rFonts w:ascii="Calibri" w:hAnsi="Calibri"/>
                <w:color w:val="333333"/>
                <w:sz w:val="18"/>
              </w:rPr>
              <w:t xml:space="preserve">Date alignée sur juillet 2026.</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r>
        <w:t xml:space="preserve">8.3 Autres vérifications sans écart</w:t>
      </w:r>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preuves localisables inchangées.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du 4 août 2026 est conforme et présentable. J'en retiens une règle : rejouer le contrôle après chaque modification, même après un audit réussi, car une correction peut en désynchroniser une autre.</w:t>
      </w:r>
    </w:p>
    <w:p>
      <w:pPr>
        <w:spacing w:after="120"/>
      </w:pPr>
    </w:p>
    <w:p>
      <w:pPr>
        <w:pStyle w:val="Heading1"/>
      </w:pPr>
      <w:r>
        <w:t xml:space="preserve">9. Troisième passage, 3 septembre 2026 : les portfolios et l'état réel du parcours</w:t>
      </w:r>
    </w:p>
    <w:p>
      <w:r>
        <w:rPr>
          <w:rFonts w:ascii="Calibri" w:hAnsi="Calibri"/>
          <w:b w:val="0"/>
          <w:i w:val="0"/>
          <w:color w:val="333333"/>
          <w:sz w:val="21"/>
        </w:rPr>
        <w:t xml:space="preserve">Un mois après le second passage, 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r>
        <w:t xml:space="preserve">9.1 Écarts relevés et corrigés, numérotés à la suite des précédents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daté de juin,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formulations maladroites héritées d'un remplacement de flèches corrigées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r>
        <w:t xml:space="preserve">9.2 Vérifications rejouées</w:t>
      </w:r>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corrigée du 4 août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r>
        <w:t xml:space="preserve">10. Mise à jour du 17 septembre 2026, à la validation du projet 12</w:t>
      </w:r>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à partir d'octobre 2026 pour environ deux mois</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r>
        <w:t xml:space="preserve">11. Quatrième passage, 17 septembre 2026 : audit des attendus de l'énoncé mis à jour</w:t>
      </w:r>
    </w:p>
    <w:p>
      <w:r>
        <w:rPr>
          <w:rFonts w:ascii="Calibri" w:hAnsi="Calibri"/>
          <w:b w:val="0"/>
          <w:i w:val="0"/>
          <w:color w:val="333333"/>
          <w:sz w:val="21"/>
        </w:rPr>
        <w:t xml:space="preserve">L'énoncé du projet a été mis à jour le 24 juin 2026. Le dossier a été confronté point par point à sa grille de seize indicateurs,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et modèle,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dans le dépôt</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nommées 062026</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 dates, versions et pagination cohérentes ; 565 liens internes et ancres des quatre portfolios vérifiés sans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relire le dossier contre le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