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Résumé pour un lecteur pressé</w:t>
      </w:r>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quatre améliorations à au moins une autre option, sur sept critères : chaque choix se vérifie.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le 4 août,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r>
        <w:t>2. Veille métier et technologique</w:t>
      </w:r>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Le résultat.</w:t>
      </w:r>
      <w:r>
        <w:rPr>
          <w:rFonts w:ascii="Calibri" w:hAnsi="Calibri"/>
          <w:b w:val="0"/>
          <w:i w:val="0"/>
          <w:color w:val="333333"/>
          <w:sz w:val="21"/>
        </w:rPr>
        <w:t xml:space="preserve"> Un contrat de qualité pour les données, deux moteurs alternatifs gardés en réserve pour la performance, une détection multivariée pour les anomalies, une explication par valeurs de Shapley pour l'interprétabilité. Le détail figure dans le document de veille.</w:t>
      </w:r>
    </w:p>
    <w:p>
      <w:pPr>
        <w:pStyle w:val="Heading1"/>
      </w:pPr>
      <w:r>
        <w:t>3. Cadrage et cahier des charges</w:t>
      </w:r>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de Nicolas, responsable des ventes, au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Le périmètre porte sur l'extraction au 31 octobre et les ventes d'octobre. Il traite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sauf la clarté de la restitution, qui attend la mise en situation. Exemples : 9 types d'anomalies ; un pouvoir explicatif de 0,72 sur le jeu de test, 0,67 en moyenne sur cinq découpages. À deux millions de lignes, Polars et DuckDB sont 4,1 fois et 2,9 fois plus rapides que pandas le 4 août (exécution livrée) ; 8,1 et 5,7 fois sur mon poste le 25 septembre. Quatre séquences de formation, avec des dispositions d'accessibilité, accompagnent les utilisateurs non techniques.</w:t>
      </w:r>
    </w:p>
    <w:p>
      <w:pPr>
        <w:pStyle w:val="Heading1"/>
      </w:pPr>
      <w:r>
        <w:t>4. Organisation et pilotage</w:t>
      </w:r>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deux tâches en cours au plus. Quatre itérations mènent à cinq jalons. J1 a été validé en séance le 18 septembre, J2 et J3 le 25 septembre ; J4 est présenté en séance 3, le 2 octobre, et J5 à la soutenance, la semaine du 12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dès le premier. Le quatrième, le 17 septembre 2026, contre la grille de l'énoncé mis à jour, en a relevé onze de forme. Tous sont corrigés. Je place désormais ce contrôle à chaque fin d'itération et après chaque modification.</w:t>
      </w:r>
    </w:p>
    <w:p>
      <w:pPr>
        <w:pStyle w:val="Heading1"/>
      </w:pPr>
      <w:r>
        <w:t>5. Démarche outillée par l'IA</w:t>
      </w:r>
    </w:p>
    <w:p>
      <w:r>
        <w:rPr>
          <w:rFonts w:ascii="Calibri" w:hAnsi="Calibri"/>
          <w:b w:val="0"/>
          <w:i w:val="0"/>
          <w:color w:val="333333"/>
          <w:sz w:val="21"/>
        </w:rPr>
        <w:t xml:space="preserve">Chaque axe a son essai tracé : demande, variantes, résultat mesuré, décision et motif, vérification (journal complet dans la démarche). Les essais consignés sont faits avec Claude (Anthropic). J'ai aussi utilisé ChatGPT (OpenAI), surtout pour la rédaction, la relecture, la recherche d'idées et le code ; ces échanges n'ont pas été archivés. Les chiffres des essais C et D ont été recalculés par l'assistant dans un script séparé ; ma relecture est prévue avant la séance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de moteur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r>
        <w:t>6. Grille des indicateurs de qualité, renseignée</w:t>
      </w:r>
    </w:p>
    <w:p>
      <w:r>
        <w:rPr>
          <w:rFonts w:ascii="Calibri" w:hAnsi="Calibri"/>
          <w:b w:val="0"/>
          <w:i w:val="0"/>
          <w:color w:val="333333"/>
          <w:sz w:val="21"/>
        </w:rPr>
        <w:t>Reprise de la grille officielle du projet. Pour chaque indicateur : où la preuve est apportée, et le statut. Le détail de la vérification figure dans le document d'audit de conformité.</w:t>
      </w:r>
    </w:p>
    <w:p>
      <w:pPr>
        <w:pStyle w:val="Heading2"/>
      </w:pPr>
      <w:r>
        <w:t>6.1 Veille technologique et méthodologique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r>
        <w:t>6.2 Identification du besoin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r>
        <w:t xml:space="preserve">6.3 Formalisation du cahier des charges fonctionnel</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r>
        <w:t xml:space="preserve">6.4 Objectifs pédagogiques du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Bilan.</w:t>
      </w:r>
      <w:r>
        <w:rPr>
          <w:rFonts w:ascii="Calibri" w:hAnsi="Calibri"/>
          <w:b w:val="0"/>
          <w:i w:val="0"/>
          <w:color w:val="333333"/>
          <w:sz w:val="21"/>
        </w:rPr>
        <w:t xml:space="preserve"> Les seize indicateurs de la grille officielle et les huit objectifs pédagogiques sont couverts, chacun rattaché à une preuve localisable dans un document identifié.</w:t>
      </w:r>
    </w:p>
    <w:p>
      <w:pPr>
        <w:pStyle w:val="Heading1"/>
      </w:pPr>
      <w:r>
        <w:t>7. Conclusion</w:t>
      </w:r>
    </w:p>
    <w:p>
      <w:r>
        <w:rPr>
          <w:rFonts w:ascii="Calibri" w:hAnsi="Calibri"/>
          <w:b w:val="0"/>
          <w:i w:val="0"/>
          <w:color w:val="333333"/>
          <w:sz w:val="21"/>
        </w:rPr>
        <w:t xml:space="preserve">Dans la partie 1, j'ai comparé, justifié, piloté et documenté chaque choix, et testé l'IA avec un regard critique.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surprennent.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