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mise en situation faite, liste de contrôle reformulée, validation de J4 datée ; 2.8, mise à jour du 1er octobre 2026 (jalon J4 réussi le 30 septembre, relecture des essais C et D en cours, date du dépôt, typographie) ; 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sept critères de comparaison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Hypothèses de départ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Journal de traçabilité des essais d'IA</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2.1 Axe 1, qualité des données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2.2 Axe 2, performance et reproductibilité</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2.3 Axe 3, détection d'anomalies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2.4 Axe 4, interprétabilité et documentation</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9" w:history="1">
        <w:r>
          <w:rPr>
            <w:rFonts w:ascii="Calibri" w:hAnsi="Calibri"/>
            <w:color w:val="1F2937"/>
            <w:sz w:val="21"/>
          </w:rPr>
          <w:t xml:space="preserve">3. Justifications techniques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0" w:history="1">
        <w:r>
          <w:rPr>
            <w:rFonts w:ascii="Calibri" w:hAnsi="Calibri"/>
            <w:color w:val="1F2937"/>
            <w:sz w:val="21"/>
          </w:rPr>
          <w:t xml:space="preserve">4. Résultats consolidés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5. Ce que le projet change pour le métier</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2" w:history="1">
        <w:r>
          <w:rPr>
            <w:rFonts w:ascii="Calibri" w:hAnsi="Calibri"/>
            <w:color w:val="1F2937"/>
            <w:sz w:val="21"/>
          </w:rPr>
          <w:t xml:space="preserve">5.1 Recommandations remises au commanditaire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6. Reproductibilité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4" w:history="1">
        <w:r>
          <w:rPr>
            <w:rFonts w:ascii="Calibri" w:hAnsi="Calibri"/>
            <w:color w:val="1F2937"/>
            <w:sz w:val="21"/>
          </w:rPr>
          <w:t xml:space="preserve">7. Limites et biais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8. Procédure de documentation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8.1 Règles de nommage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8.2 Règles de versionnage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8.3 Règles de journalisation des essais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9" w:history="1">
        <w:r>
          <w:rPr>
            <w:rFonts w:ascii="Calibri" w:hAnsi="Calibri"/>
            <w:color w:val="1F2937"/>
            <w:sz w:val="21"/>
          </w:rPr>
          <w:t xml:space="preserve">8.4 Règles de rédaction des livrables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0" w:history="1">
        <w:r>
          <w:rPr>
            <w:rFonts w:ascii="Calibri" w:hAnsi="Calibri"/>
            <w:color w:val="1F2937"/>
            <w:sz w:val="21"/>
          </w:rPr>
          <w:t xml:space="preserve">8.5 Contrôle avant dépôt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1" w:history="1">
        <w:r>
          <w:rPr>
            <w:rFonts w:ascii="Calibri" w:hAnsi="Calibri"/>
            <w:color w:val="1F2937"/>
            <w:sz w:val="21"/>
          </w:rPr>
          <w:t xml:space="preserve">9. Posture de conseil adoptée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2" w:history="1">
        <w:r>
          <w:rPr>
            <w:rFonts w:ascii="Calibri" w:hAnsi="Calibri"/>
            <w:color w:val="1F2937"/>
            <w:sz w:val="21"/>
          </w:rPr>
          <w:t xml:space="preserve">9.1 Ce que le positionnement change concrètement</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3" w:history="1">
        <w:r>
          <w:rPr>
            <w:rFonts w:ascii="Calibri" w:hAnsi="Calibri"/>
            <w:color w:val="1F2937"/>
            <w:sz w:val="21"/>
          </w:rPr>
          <w:t xml:space="preserve">9.2 Limites du mandat, énoncées au commanditaire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4" w:history="1">
        <w:r>
          <w:rPr>
            <w:rFonts w:ascii="Calibri" w:hAnsi="Calibri"/>
            <w:color w:val="1F2937"/>
            <w:sz w:val="21"/>
          </w:rPr>
          <w:t xml:space="preserve">9.3 Accompagnement des équipes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5" w:history="1">
        <w:r>
          <w:rPr>
            <w:rFonts w:ascii="Calibri" w:hAnsi="Calibri"/>
            <w:color w:val="1F2937"/>
            <w:sz w:val="21"/>
          </w:rPr>
          <w:t xml:space="preserve">10. Synthèse et prochaines étapes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6" w:history="1">
        <w:r>
          <w:rPr>
            <w:rFonts w:ascii="Calibri" w:hAnsi="Calibri"/>
            <w:color w:val="1F2937"/>
            <w:sz w:val="21"/>
          </w:rPr>
          <w:t xml:space="preserve">Annexe A. Journal brut des essais d'IA</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7" w:history="1">
        <w:r>
          <w:rPr>
            <w:rFonts w:ascii="Calibri" w:hAnsi="Calibri"/>
            <w:color w:val="1F2937"/>
            <w:sz w:val="21"/>
          </w:rPr>
          <w:t xml:space="preserve">A.1 Axe 1, qualité des données</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8" w:history="1">
        <w:r>
          <w:rPr>
            <w:rFonts w:ascii="Calibri" w:hAnsi="Calibri"/>
            <w:color w:val="1F2937"/>
            <w:sz w:val="21"/>
          </w:rPr>
          <w:t xml:space="preserve">A.2 Axe 2, performance et reproductibilité</w:t>
        </w:r>
        <w:r>
          <w:rPr>
            <w:rFonts w:ascii="Calibri" w:hAnsi="Calibri"/>
            <w:color w:val="1F2937"/>
            <w:sz w:val="21"/>
          </w:rPr>
          <w:tab/>
        </w:r>
        <w:r>
          <w:rPr>
            <w:rFonts w:ascii="Calibri" w:hAnsi="Calibri"/>
            <w:color w:val="1F2937"/>
            <w:sz w:val="21"/>
          </w:rPr>
          <w:t>15</w:t>
        </w:r>
      </w:hyperlink>
    </w:p>
    <w:p>
      <w:pPr>
        <w:tabs>
          <w:tab w:val="right" w:leader="dot" w:pos="9298"/>
        </w:tabs>
        <w:spacing w:after="40"/>
        <w:ind w:left="340"/>
      </w:pPr>
      <w:hyperlink w:anchor="_TocP130029" w:history="1">
        <w:r>
          <w:rPr>
            <w:rFonts w:ascii="Calibri" w:hAnsi="Calibri"/>
            <w:color w:val="1F2937"/>
            <w:sz w:val="21"/>
          </w:rPr>
          <w:t xml:space="preserve">A.3 Axe 3, détection d'anomalies</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0" w:history="1">
        <w:r>
          <w:rPr>
            <w:rFonts w:ascii="Calibri" w:hAnsi="Calibri"/>
            <w:color w:val="1F2937"/>
            <w:sz w:val="21"/>
          </w:rPr>
          <w:t xml:space="preserve">A.4 Axe 4, interprétabilité et documentation</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1" w:history="1">
        <w:r>
          <w:rPr>
            <w:rFonts w:ascii="Calibri" w:hAnsi="Calibri"/>
            <w:color w:val="1F2937"/>
            <w:sz w:val="21"/>
          </w:rPr>
          <w:t xml:space="preserve">A.5 Besoin 2, les chiffres du réassort</w:t>
        </w:r>
        <w:r>
          <w:rPr>
            <w:rFonts w:ascii="Calibri" w:hAnsi="Calibri"/>
            <w:color w:val="1F2937"/>
            <w:sz w:val="21"/>
          </w:rPr>
          <w:tab/>
        </w:r>
        <w:r>
          <w:rPr>
            <w:rFonts w:ascii="Calibri" w:hAnsi="Calibri"/>
            <w:color w:val="1F2937"/>
            <w:sz w:val="21"/>
          </w:rPr>
          <w:t>17</w:t>
        </w:r>
      </w:hyperlink>
      <w:r>
        <w:fldChar w:fldCharType="end"/>
      </w:r>
    </w:p>
    <w:p>
      <w:r>
        <w:br w:type="page"/>
      </w:r>
    </w:p>
    <w:p>
      <w:pPr>
        <w:pStyle w:val="Heading1"/>
      </w:pPr>
      <w:bookmarkStart w:id="7001" w:name="_TocP130001"/>
      <w:r>
        <w:t>1. Objet et méthode</w:t>
      </w:r>
      <w:bookmarkEnd w:id="7001"/>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Le but : une démarche reproductible et présentable.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J'ai relu et relancé le 7 octobre les essais C et D du 25 septembre, recalculés par l'assistant dans un script séparé : mêmes chiffres. Une suggestion qui n'apporte rien de mesurable est écartée, et cet écart est noté comme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bookmarkStart w:id="7002" w:name="_TocP130002"/>
      <w:r>
        <w:t>1.1 Les sept critères de comparaison</w:t>
      </w:r>
      <w:bookmarkEnd w:id="7002"/>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bookmarkStart w:id="7003" w:name="_TocP130003"/>
      <w:r>
        <w:t>1.2 Hypothèses de départ</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À la volumétrie actuelle, changer de moteur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dont le nombre découle du taux de 5 %, et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bookmarkStart w:id="7004" w:name="_TocP130004"/>
      <w:r>
        <w:t>2. Journal de traçabilité des essais d'IA</w:t>
      </w:r>
      <w:bookmarkEnd w:id="7004"/>
    </w:p>
    <w:p>
      <w:r>
        <w:rPr>
          <w:rFonts w:ascii="Calibri" w:hAnsi="Calibri"/>
          <w:b w:val="0"/>
          <w:i w:val="0"/>
          <w:color w:val="333333"/>
          <w:sz w:val="21"/>
        </w:rPr>
        <w:t xml:space="preserve">Pour chaque axe : la demande à l'assistant, les variantes, le résultat mesuré, la décision et son motif. Les essais consignés sont faits avec Claude (Anthropic). J'ai aussi utilisé ChatGPT (OpenAI), surtout pour la rédaction, la relecture, la recherche d'idées et le code ; ces échanges n'ont pas été archivés. Le journal brut (outil, dates, extraits de code et de sorties, retouches à la main) est en annexe A et dans le dossier journal_essais_IA, à côté du notebook.</w:t>
      </w:r>
    </w:p>
    <w:p>
      <w:pPr>
        <w:pStyle w:val="Heading2"/>
      </w:pPr>
      <w:bookmarkStart w:id="7005" w:name="_TocP130005"/>
      <w:r>
        <w:t>2.1 Axe 1, qualité des données</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bookmarkStart w:id="7006" w:name="_TocP130006"/>
      <w:r>
        <w:t>2.2 Axe 2, performance et reproductibilité</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Réécrire la jointure et l'agrégation dans deux moteurs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moteurs s'exécutent en moins de 40 millisecondes ; DuckDB est le plus lent, à cause de son temps d'initialisation. À deux millions de lignes, Polars et DuckDB sont 4,1 fois et 2,9 fois plus rapides que pandas le 4 août (exécution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résultat de chaque moteur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du 26 juin au 28 septembre,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moteurs, au volume réel puis sur deux millions de lignes (exécution livrée du 4 août 2026). Figure redessinée à partir des sorties du notebook (mêmes données).</w:t>
      </w:r>
    </w:p>
    <w:p>
      <w:pPr>
        <w:pStyle w:val="Heading2"/>
      </w:pPr>
      <w:bookmarkStart w:id="7007" w:name="_TocP130007"/>
      <w:r>
        <w:t>2.3 Axe 3, détection d'anomalies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Isolation Forest signale 36 références, la méthode existante 13, dont 10 communes. La méthode multivariée capte donc 26 références supplémentaires, invisibles à la première.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bookmarkStart w:id="7008" w:name="_TocP130008"/>
      <w:r>
        <w:t>2.4 Axe 4, interprétabilité et documentation</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Modéliser le volume de ventes à partir des variables disponibles, puis expliquer les facteurs de façon interprétable,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bookmarkStart w:id="7009" w:name="_TocP130009"/>
      <w:r>
        <w:t>3. Justifications techniques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Limite le surapprentissage et permet une mesure honnête de la performance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La première mesure la part de variation expliquée, la seconde parle en unités vendues, compréhensible par le métier</w:t>
            </w:r>
          </w:p>
        </w:tc>
      </w:tr>
    </w:tbl>
    <w:p>
      <w:pPr>
        <w:spacing w:after="40"/>
      </w:pPr>
    </w:p>
    <w:p>
      <w:pPr>
        <w:pStyle w:val="Heading1"/>
      </w:pPr>
      <w:bookmarkStart w:id="7010" w:name="_TocP130010"/>
      <w:r>
        <w:t>4. Résultats consolidés</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le 4 août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bookmarkStart w:id="7011" w:name="_TocP130011"/>
      <w:r>
        <w:t>5. Ce que le projet change pour le métier</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Un seul moteur,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 xml:space="preserve">Pas de nouvel outil à installer aujourd'hui ; deux alternatives mesurées si le volume augmente</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 xml:space="preserve">Le réassort se pilote sur la disponibilité en stock</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 xml:space="preserve">Des essais tracés dans un journal, avec leurs décisions</w:t>
            </w:r>
          </w:p>
        </w:tc>
      </w:tr>
    </w:tbl>
    <w:p>
      <w:pPr>
        <w:spacing w:after="40"/>
      </w:pPr>
    </w:p>
    <w:p>
      <w:pPr>
        <w:pStyle w:val="Heading2"/>
      </w:pPr>
      <w:bookmarkStart w:id="7012" w:name="_TocP130012"/>
      <w:r>
        <w:t>5.1 Recommandations remises au commanditaire</w:t>
      </w:r>
      <w:bookmarkEnd w:id="7012"/>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Concentrer l'effort de réassort sur les 435 références qui portent 80 % du chiffre d'affaires.</w:t>
      </w:r>
      <w:r>
        <w:rPr>
          <w:rFonts w:ascii="Calibri" w:hAnsi="Calibri"/>
          <w:b w:val="0"/>
          <w:i w:val="0"/>
          <w:color w:val="333333"/>
          <w:sz w:val="21"/>
        </w:rPr>
        <w:t xml:space="preserve"> Les 254 restantes justifient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 huit ventes,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bookmarkStart w:id="7013" w:name="_TocP130013"/>
      <w:r>
        <w:t>6. Reproductibilité</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les 25 et 30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imprime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un dossier de figures, exportées à part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du 4 août 2026,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sur mon poste (Anaconda, Python 3.13.9, pandas 2.2.3, versions différentes du requirements.txt), trois notebooks réexécutés sans erreur : mêmes chiffres métier, temps différents. Le 28 septembre, réexécution par l'assistant dans un environnement neuf, créé avec le requirements.txt : mêmes sorties, temps exceptés. Le 30 septembre, sur mon poste, environnement neuf créé avec le seul requirements.txt : les deux notebooks du dossier de dépôt sans erreur, 14 chiffres clés sur 14, autres sorties identiques hors temps de calcul et version de Python. C'est la preuve du jalon J4 : le critère parle d'un poste vierge, la preuve réelle est cet environnement neuf sur mon poste. Le jalon J4 a été validé en séance 3, le 2 octobre</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bookmarkStart w:id="7014" w:name="_TocP130014"/>
      <w:r>
        <w:t>7. Limites et biais</w:t>
      </w:r>
      <w:bookmarkEnd w:id="7014"/>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 xml:space="preserve">Chaque anomalie est un signal à vérifier</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Affirmer que le stock explique les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essais C et D relus et relancés le 7 octobre</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bookmarkStart w:id="7015" w:name="_TocP130015"/>
      <w:r>
        <w:t>8. Procédure de documentation</w:t>
      </w:r>
      <w:bookmarkEnd w:id="7015"/>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Celles de la section 8.2 sont celles que je retiens pour un projet suivant. Ici, les versions ont été tenues par des fichiers datés, un historique en tête de chaque document et une sauvegarde avant chaque remplacement (gestion de projet, section 5).</w:t>
      </w:r>
    </w:p>
    <w:p>
      <w:pPr>
        <w:pStyle w:val="Heading2"/>
      </w:pPr>
      <w:bookmarkStart w:id="7016" w:name="_TocP130016"/>
      <w:r>
        <w:t>8.1 Règles de nommage</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bookmarkStart w:id="7017" w:name="_TocP130017"/>
      <w:r>
        <w:t>8.2 Règles de versionnage</w:t>
      </w:r>
      <w:bookmarkEnd w:id="7017"/>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bookmarkStart w:id="7018" w:name="_TocP130018"/>
      <w:r>
        <w:t>8.3 Règles de journalisation des essais</w:t>
      </w:r>
      <w:bookmarkEnd w:id="7018"/>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une information s'ajoute aux cinq précédentes, pour répondre à la lettre de l'étape 4 de l'énoncé : le message tel qu'envoyé à l'assistant, copié depuis l'application, avec la date. Les essais menés avant cette date sont documentés en annexe A avec le degré de fidélité de chaque élément.</w:t>
      </w:r>
    </w:p>
    <w:p>
      <w:pPr>
        <w:spacing w:after="40"/>
      </w:pPr>
    </w:p>
    <w:p>
      <w:pPr>
        <w:pStyle w:val="Heading2"/>
      </w:pPr>
      <w:bookmarkStart w:id="7019" w:name="_TocP130019"/>
      <w:r>
        <w:t>8.4 Règles de rédaction des livrables</w:t>
      </w:r>
      <w:bookmarkEnd w:id="7019"/>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bookmarkStart w:id="7020" w:name="_TocP130020"/>
      <w:r>
        <w:t>8.5 Contrôle avant dépôt</w:t>
      </w:r>
      <w:bookmarkEnd w:id="7020"/>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 xml:space="preserve">Le notebook s'exécute en entier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bookmarkStart w:id="7021" w:name="_TocP130021"/>
      <w:r>
        <w:t>9. Posture de conseil adoptée</w:t>
      </w:r>
      <w:bookmarkEnd w:id="7021"/>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bookmarkStart w:id="7022" w:name="_TocP130022"/>
      <w:r>
        <w:t>9.1 Ce que le positionnement change concrètement</w:t>
      </w:r>
      <w:bookmarkEnd w:id="702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bookmarkStart w:id="7023" w:name="_TocP130023"/>
      <w:r>
        <w:t>9.2 Limites du mandat, énoncées au commanditaire</w:t>
      </w:r>
      <w:bookmarkEnd w:id="7023"/>
    </w:p>
    <w:p>
      <w:pPr>
        <w:pStyle w:val="ListBullet"/>
        <w:spacing w:after="40"/>
        <w:ind w:left="369"/>
      </w:pPr>
      <w:r>
        <w:rPr>
          <w:rFonts w:ascii="Calibri" w:hAnsi="Calibri"/>
          <w:b w:val="0"/>
          <w:i w:val="0"/>
          <w:color w:val="333333"/>
          <w:sz w:val="21"/>
        </w:rPr>
        <w:t xml:space="preserve">Le projet livre une preuve de concept. Passer à l'exploitation courante demande un travail d'industrialisation qui n'est pas dans le périmètre.</w:t>
      </w:r>
    </w:p>
    <w:p>
      <w:pPr>
        <w:pStyle w:val="ListBullet"/>
        <w:spacing w:after="40"/>
        <w:ind w:left="369"/>
      </w:pPr>
      <w:r>
        <w:rPr>
          <w:rFonts w:ascii="Calibri" w:hAnsi="Calibri"/>
          <w:b w:val="0"/>
          <w:i w:val="0"/>
          <w:color w:val="333333"/>
          <w:sz w:val="21"/>
        </w:rPr>
        <w:t xml:space="preserve">Les seuils de détection sont des propositions :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bookmarkStart w:id="7024" w:name="_TocP130024"/>
      <w:r>
        <w:t>9.3 Accompagnement des équipes</w:t>
      </w:r>
      <w:bookmarkEnd w:id="7024"/>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 xml:space="preserve">Quatre séquences de formation courtes, un guide de prise en main en langage métier, un glossaire de douze termes ; mise en situation du 7 octobre : cinq critères sur cinq</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bookmarkStart w:id="7025" w:name="_TocP130025"/>
      <w:r>
        <w:t>10. Synthèse et prochaines étapes</w:t>
      </w:r>
      <w:bookmarkEnd w:id="7025"/>
    </w:p>
    <w:p>
      <w:pPr>
        <w:spacing w:before="60" w:after="160"/>
      </w:pPr>
      <w:r>
        <w:rPr>
          <w:rFonts w:ascii="Calibri" w:hAnsi="Calibri"/>
          <w:b/>
          <w:i w:val="0"/>
          <w:color w:val="333333"/>
          <w:sz w:val="20"/>
        </w:rPr>
        <w:t>En une phrase.</w:t>
      </w:r>
      <w:r>
        <w:rPr>
          <w:rFonts w:ascii="Calibri" w:hAnsi="Calibri"/>
          <w:b w:val="0"/>
          <w:i w:val="0"/>
          <w:color w:val="333333"/>
          <w:sz w:val="20"/>
        </w:rPr>
        <w:t xml:space="preserve"> Le notebook du projet 6 contrôle désormais les règles de l'ERP à chaque extraction, justifie son outillage par la mesure,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Historiser les ventes, ce qui rendra utile le changement de moteur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existe.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bookmarkStart w:id="7026" w:name="_TocP130026"/>
      <w:r>
        <w:t xml:space="preserve">Annexe A. Journal brut des essais d'IA</w:t>
      </w:r>
      <w:bookmarkEnd w:id="7026"/>
    </w:p>
    <w:p>
      <w:r>
        <w:rPr>
          <w:rFonts w:ascii="Calibri" w:hAnsi="Calibri"/>
          <w:b w:val="0"/>
          <w:i w:val="0"/>
          <w:color w:val="333333"/>
          <w:sz w:val="21"/>
        </w:rPr>
        <w:t xml:space="preserve">Cette annexe complète la section 2. Pour chaque essai, elle donne les cinq informations qui répondent à l'étape 4 de l'énoncé : l'outil, la date, la demande adressée à l'assistant, un extrait de la réponse retenue ou écartée, et ce qui a été modifié ou vérifié à la main. Le dossier journal_essais_IA, livré à côté du notebook, en donne la version longue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Trois exécutions sont conservées : 26 juin 2026 (première ébauche, fichiers 062026, Python 3.10.12), 31 juillet 2026 (première version complète, 072026) et 4 août 2026 (exécution livrée, Python 3.11.15, versions dans la dernière cellule). Trois réexécutions de contrôle ont suivi : le 25 septembre sur mon poste, le 28 septembre dans un environnement neuf de l'assistant, le 30 septembre sur mon poste dans un environnement neuf (jalon J4, section 6). Les extraits de code, les sorties chiffrées et les commentaires cités sont littéraux, copiés des notebooks conservés avec leur date d'exécution. Les échanges n'ont pas été archivés mot pour mot. Les demandes sont reconstituées à partir des résumés du notebook (cellules « Prompt (résumé) », devenues « Demande à l'assistant (résumé) » le 25 septembre) et de la section 2. Les deux essais complémentaires du 17 septembre 2026 (Local Outlier Factor, importances globales) sont entièrement littéraux : demande, code, sorties et date, dans le notebook Lippens_Charles_1_essais_complementaires_092026.ipynb, livré à côté du notebook amélioré. Le notebook amélioré garde le code exécuté et les sorties du 4 août 2026. Son texte a changé le 24 septembre (étape 5 : avis clients, lien entre stock et ventes), puis les 25 et 28 septembre, pour la clarté. Le 28 septembre, des commentaires ont été ajoutés au code, sans réexécution. Le projet a deux phases. D'abord la préparation, de juin à août 2026 : faisabilité, premiers essais, première version complète. Puis le mentorat, du 14 septembre à la soutenance de la semaine du 12 octobre : les trois versions arbitrées en séance et les essais complémentaires.</w:t>
      </w:r>
    </w:p>
    <w:p>
      <w:pPr>
        <w:spacing w:after="120"/>
      </w:pPr>
    </w:p>
    <w:p>
      <w:pPr>
        <w:pStyle w:val="Heading2"/>
      </w:pPr>
      <w:bookmarkStart w:id="7027" w:name="_TocP130027"/>
      <w:r>
        <w:t xml:space="preserve">A.1 Axe 1, qualité des données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 26 juin 2026</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26 juin, corrigé le 31 juillet 2026</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26 juin : rapport brut de 42 cas pour la marge négative ; 4 août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le 31 juillet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du 4 août,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bookmarkStart w:id="7028" w:name="_TocP130028"/>
      <w:r>
        <w:t xml:space="preserve">A.2 Axe 2, performance et reproductibilité</w:t>
      </w:r>
      <w:bookmarkEnd w:id="702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moteurs à la volumétrie réelle, 26 juin 2026</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26 juin 5,27 / 1,59 / 22,11 ms ; 31 juillet 9,65 / 4,10 / 39,07 ms ; 4 août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moteur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26 juin, rejoué le 31 juillet et le 4 août 2026</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(26 juin), 3,5 et 2,9 (31 juillet), 4,1 et 2,9 (4 août,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le 31 juillet pour ne publier qu'un ordre de grandeur ; depuis le 28 septembre, le dossier cite des facteurs datés (4 août et 25 septembre)</w:t>
            </w:r>
          </w:p>
        </w:tc>
      </w:tr>
      <w:tr>
        <w:trPr>
          <w:cantSplit/>
        </w:trPr>
        <w:tc>
          <w:tcPr>
            <w:tcW w:type="dxa" w:w="1100"/>
          </w:tcPr>
          <w:p>
            <w:pPr>
              <w:spacing w:after="0"/>
            </w:pPr>
            <w:r>
              <w:rPr>
                <w:rFonts w:ascii="Calibri" w:hAnsi="Calibri"/>
                <w:color w:val="333333"/>
                <w:sz w:val="18"/>
              </w:rPr>
              <w:t xml:space="preserve">2.3 Reproductibilité, 31 juillet et 4 août 2026</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dates, puis le 25 septembre sur mon poste (autres versions), le 28 septembre chez l'assistant et le 30 septembre sur mon poste, chaque fois dans un environnement neuf (versions du requirements.txt). Versions du 4 août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dans un environnement neuf le 28 septembre par l'assistant, puis le 30 septembre sur mon poste</w:t>
            </w:r>
          </w:p>
        </w:tc>
      </w:tr>
    </w:tbl>
    <w:p>
      <w:pPr>
        <w:spacing w:after="120"/>
      </w:pPr>
    </w:p>
    <w:p>
      <w:pPr>
        <w:pStyle w:val="Heading2"/>
      </w:pPr>
      <w:bookmarkStart w:id="7029" w:name="_TocP130029"/>
      <w:r>
        <w:t xml:space="preserve">A.3 Axe 3, détection d'anomalies</w:t>
      </w:r>
      <w:bookmarkEnd w:id="702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 26 juin 2026</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 26 juin 2026</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juin 2026 puis 17 septembre 2026</w:t>
            </w:r>
          </w:p>
        </w:tc>
        <w:tc>
          <w:tcPr>
            <w:tcW w:type="dxa" w:w="2250"/>
          </w:tcPr>
          <w:p>
            <w:pPr>
              <w:spacing w:after="0"/>
            </w:pPr>
            <w:r>
              <w:rPr>
                <w:rFonts w:ascii="Calibri" w:hAnsi="Calibri"/>
                <w:color w:val="333333"/>
                <w:sz w:val="18"/>
              </w:rPr>
              <w:t xml:space="preserve">Juin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Juin : commentaire de la version du 4 août, réécrit le 25 septembre,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juin confirmé et rendu rejouable dans le notebook complémentaire</w:t>
            </w:r>
          </w:p>
        </w:tc>
      </w:tr>
    </w:tbl>
    <w:p>
      <w:pPr>
        <w:spacing w:after="120"/>
      </w:pPr>
    </w:p>
    <w:p>
      <w:pPr>
        <w:pStyle w:val="Heading2"/>
      </w:pPr>
      <w:bookmarkStart w:id="7030" w:name="_TocP130030"/>
      <w:r>
        <w:t xml:space="preserve">A.4 Axe 4, interprétabilité et documentation</w:t>
      </w:r>
      <w:bookmarkEnd w:id="703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 26 juin 2026</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28 et 30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 26 juin 2026</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juin 2026 puis 17 septembre 2026</w:t>
            </w:r>
          </w:p>
        </w:tc>
        <w:tc>
          <w:tcPr>
            <w:tcW w:type="dxa" w:w="2250"/>
          </w:tcPr>
          <w:p>
            <w:pPr>
              <w:spacing w:after="0"/>
            </w:pPr>
            <w:r>
              <w:rPr>
                <w:rFonts w:ascii="Calibri" w:hAnsi="Calibri"/>
                <w:color w:val="333333"/>
                <w:sz w:val="18"/>
              </w:rPr>
              <w:t xml:space="preserve">Juin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juin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relus et relancés par moi le 7 octobre : mêmes chiffres</w:t>
            </w:r>
          </w:p>
        </w:tc>
      </w:tr>
    </w:tbl>
    <w:p>
      <w:pPr>
        <w:pStyle w:val="Heading2"/>
      </w:pPr>
      <w:bookmarkStart w:id="7031" w:name="_TocP130031"/>
      <w:r>
        <w:t xml:space="preserve">A.5 Besoin 2, les chiffres du réassort</w:t>
      </w:r>
      <w:bookmarkEnd w:id="7031"/>
    </w:p>
    <w:p>
      <w:r>
        <w:rPr>
          <w:rFonts w:ascii="Calibri" w:hAnsi="Calibri"/>
          <w:b w:val="0"/>
          <w:i w:val="0"/>
          <w:color w:val="333333"/>
          <w:sz w:val="21"/>
        </w:rPr>
        <w:t xml:space="preserve">L'essai C ne compare pas deux outils : il calcule ce que la synthèse du notebook cite sans cellule de calcul, et ce qui manquait pour décider du réassort. Fichier long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relus et relancés par moi le 7 octobre : mêmes chiffres</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6529</Words>
  <Characters>34484</Characters>
  <Application>Microsoft Office Word</Application>
  <DocSecurity>0</DocSecurity>
  <Lines>513</Lines>
  <Paragraphs>496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2026-10-10T10:00:00Z</dcterms:created>
  <dcterms:modified xsi:type="dcterms:W3CDTF">2026-10-10T10:00:00Z</dcterms:modified>
</cp:coreProperties>
</file>