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 2.8, mise à jour du 1er octobre 2026 (réexécution du 30 septembre, relecture des essais C et D en cours, accès aux données en octobre, adresse masquée sur la figure A3, date du dépôt, typographie) ; 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Le besoin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quatre axes qui en découlent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2. Méthodologie et système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2.1 Les sept critères d'évaluation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2.2 Sources et automatisation</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3. Cartographie des solutions, axe par axe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3.1 Axe 1, qualité des données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3.2 Axe 2, performance et reproductibilité</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3.3 Axe 3, détection d'anomalies</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3.4 Axe 4, interprétabilité et documentation assistée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3.5 La matrice des options sur les sept critères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3.6 Cas d'usage et prérequis de chaque solution</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4. Sources fiables, datées et hiérarchisées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4" w:history="1">
        <w:r>
          <w:rPr>
            <w:rFonts w:ascii="Calibri" w:hAnsi="Calibri"/>
            <w:color w:val="1F2937"/>
            <w:sz w:val="21"/>
          </w:rPr>
          <w:t xml:space="preserve">4.1 Développement durable et sobriété</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5" w:history="1">
        <w:r>
          <w:rPr>
            <w:rFonts w:ascii="Calibri" w:hAnsi="Calibri"/>
            <w:color w:val="1F2937"/>
            <w:sz w:val="21"/>
          </w:rPr>
          <w:t xml:space="preserve">4.2 Veille métier : le marché du vin et la vente en ligne</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6" w:history="1">
        <w:r>
          <w:rPr>
            <w:rFonts w:ascii="Calibri" w:hAnsi="Calibri"/>
            <w:color w:val="1F2937"/>
            <w:sz w:val="21"/>
          </w:rPr>
          <w:t xml:space="preserve">5. Sécurité, conformité et usage responsable de l'IA</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7" w:history="1">
        <w:r>
          <w:rPr>
            <w:rFonts w:ascii="Calibri" w:hAnsi="Calibri"/>
            <w:color w:val="1F2937"/>
            <w:sz w:val="21"/>
          </w:rPr>
          <w:t xml:space="preserve">6. Synthèse et amélioration continue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18" w:history="1">
        <w:r>
          <w:rPr>
            <w:rFonts w:ascii="Calibri" w:hAnsi="Calibri"/>
            <w:color w:val="1F2937"/>
            <w:sz w:val="21"/>
          </w:rPr>
          <w:t xml:space="preserve">6.1 Pistes d'amélioration continue</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19" w:history="1">
        <w:r>
          <w:rPr>
            <w:rFonts w:ascii="Calibri" w:hAnsi="Calibri"/>
            <w:color w:val="1F2937"/>
            <w:sz w:val="21"/>
          </w:rPr>
          <w:t xml:space="preserve">Annexe A. Le dispositif de veille en fonctionnement</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Le besoin de veille</w:t>
      </w:r>
      <w:bookmarkEnd w:id="7001"/>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bookmarkStart w:id="7002" w:name="_TocP130002"/>
      <w:r>
        <w:t>1.1 Les quatre axes qui en découlent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Un seul moteur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n'essaie pas un outil parce qu'il est nouveau. Je choisis, je mesure et je justifie, à partir du besoin.</w:t>
      </w:r>
    </w:p>
    <w:p>
      <w:pPr>
        <w:pStyle w:val="Heading1"/>
      </w:pPr>
      <w:bookmarkStart w:id="7003" w:name="_TocP130003"/>
      <w:r>
        <w:t>2. Méthodologie et système de veille</w:t>
      </w:r>
      <w:bookmarkEnd w:id="7003"/>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bookmarkStart w:id="7004" w:name="_TocP130004"/>
      <w:r>
        <w:t>2.1 Les sept critères d'évaluation</w:t>
      </w:r>
      <w:bookmarkEnd w:id="7004"/>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bookmarkStart w:id="7005" w:name="_TocP130005"/>
      <w:r>
        <w:t>2.2 Sources et automatisation</w:t>
      </w:r>
      <w:bookmarkEnd w:id="7005"/>
    </w:p>
    <w:p>
      <w:r>
        <w:rPr>
          <w:rFonts w:ascii="Calibri" w:hAnsi="Calibri"/>
          <w:b w:val="0"/>
          <w:i w:val="0"/>
          <w:color w:val="333333"/>
          <w:sz w:val="21"/>
        </w:rPr>
        <w:t xml:space="preserve">Quatre dispositifs collectent sans que j'aie à chercher chaque jour.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C'est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produiraient du volume et un long tri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bookmarkStart w:id="7006" w:name="_TocP130006"/>
      <w:r>
        <w:t>3. Cartographie des solutions, axe par axe</w:t>
      </w:r>
      <w:bookmarkEnd w:id="7006"/>
    </w:p>
    <w:p>
      <w:r>
        <w:rPr>
          <w:rFonts w:ascii="Calibri" w:hAnsi="Calibri"/>
          <w:b w:val="0"/>
          <w:i w:val="0"/>
          <w:color w:val="333333"/>
          <w:sz w:val="21"/>
        </w:rPr>
        <w:t xml:space="preserve">Chaque axe compare au moins deux options. Le détail des essais est dans la documentation de la démarche ; ici, la synthèse et la décision.</w:t>
      </w:r>
    </w:p>
    <w:p>
      <w:pPr>
        <w:pStyle w:val="Heading2"/>
      </w:pPr>
      <w:bookmarkStart w:id="7007" w:name="_TocP130007"/>
      <w:r>
        <w:t>3.1 Axe 1, qualité des données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paient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bookmarkStart w:id="7008" w:name="_TocP130008"/>
      <w:r>
        <w:t>3.2 Axe 2, performance et reproductibilité</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moteurs répondent en moins de 40 millisecondes : l'écart ne change rien, et DuckDB est même le plus lent, à cause de son démarrage. À deux millions de lignes, Polars et DuckDB sont 4,1 fois et 2,9 fois plus rapides que pandas le 4 août (exécution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le 26 juin, 3,5 et 2,9 le 31 juillet, 4,1 et 2,9 le 4 août (exécution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moteurs au volume réel, puis sur deux millions de lignes (exécution livrée du 4 août 2026). Figure redessinée à partir des sorties du notebook (mêmes données).</w:t>
      </w:r>
    </w:p>
    <w:p>
      <w:pPr>
        <w:pStyle w:val="Heading2"/>
      </w:pPr>
      <w:bookmarkStart w:id="7009" w:name="_TocP130009"/>
      <w:r>
        <w:t>3.3 Axe 3, détection d'anomalies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voit ce qu'il ne voit pas,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bookmarkStart w:id="7010" w:name="_TocP130010"/>
      <w:r>
        <w:t>3.4 Axe 4, interprétabilité et documentation assistée</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(pourquoi cette référence).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bookmarkStart w:id="7011" w:name="_TocP130011"/>
      <w:r>
        <w:t xml:space="preserve">3.5 La matrice des options sur les sept critères</w:t>
      </w:r>
      <w:bookmarkEnd w:id="7011"/>
    </w:p>
    <w:p>
      <w:r>
        <w:rPr>
          <w:rFonts w:ascii="Calibri" w:hAnsi="Calibri"/>
          <w:b w:val="0"/>
          <w:i w:val="0"/>
          <w:color w:val="333333"/>
          <w:sz w:val="21"/>
        </w:rPr>
        <w:t xml:space="preserve">Pour chaque axe, les options sont comparées critère par critère, avec la mesure quand elle existe (notebook amélioré, exécution du 4 août 2026,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bookmarkStart w:id="7012" w:name="_TocP130012"/>
      <w:r>
        <w:t xml:space="preserve">3.6 Cas d'usage et prérequis de chaque solution</w:t>
      </w:r>
      <w:bookmarkEnd w:id="7012"/>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ses versions figées du 4 août (requirements.txt). Sur mon poste, il redonne les mêmes chiffres métier avec d'autres versions (25 septembre) et avec celles du requirements.txt, dans un environnement neuf (30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du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du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du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du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du 22 juillet 2026</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du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du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 ChatGPT</w:t>
            </w:r>
          </w:p>
        </w:tc>
      </w:tr>
    </w:tbl>
    <w:p>
      <w:pPr>
        <w:pStyle w:val="Heading1"/>
      </w:pPr>
      <w:bookmarkStart w:id="7013" w:name="_TocP130013"/>
      <w:r>
        <w:t>4. Sources fiables, datées et hiérarchisées</w:t>
      </w:r>
      <w:bookmarkEnd w:id="7013"/>
    </w:p>
    <w:p>
      <w:r>
        <w:rPr>
          <w:rFonts w:ascii="Calibri" w:hAnsi="Calibri"/>
          <w:b w:val="0"/>
          <w:i w:val="0"/>
          <w:color w:val="333333"/>
          <w:sz w:val="21"/>
        </w:rPr>
        <w:t xml:space="preserve">Les seize sources ci-dessous sont nommées, datées et cliquables. Dix ont été consultées en mai et juin 2026,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Consultée, puis 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06/2026 ; 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06/2026 ; 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06/2026 ; 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06/2026 ; 25/09/2026, résultats du 17/08/2026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06/2026 ; 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05/2026 ; 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05/2026 ; 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18 juillet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bookmarkStart w:id="7014" w:name="_TocP130014"/>
      <w:r>
        <w:t>4.1 Développement durable et sobriété</w:t>
      </w:r>
      <w:bookmarkEnd w:id="7014"/>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Proportionner l'outillage au besoin.</w:t>
      </w:r>
      <w:r>
        <w:rPr>
          <w:rFonts w:ascii="Calibri" w:hAnsi="Calibri"/>
          <w:b w:val="0"/>
          <w:i w:val="0"/>
          <w:color w:val="333333"/>
          <w:sz w:val="21"/>
        </w:rPr>
        <w:t xml:space="preserve"> Ne pas activer un moteur multicœur pour traiter 825 lignes évite une dépendance supplémentaire, un temps d'apprentissage et une consommation sans contrepartie.</w:t>
      </w:r>
    </w:p>
    <w:p>
      <w:pPr>
        <w:pStyle w:val="ListBullet"/>
        <w:spacing w:after="40"/>
        <w:ind w:left="369"/>
      </w:pPr>
      <w:r>
        <w:rPr>
          <w:rFonts w:ascii="Calibri" w:hAnsi="Calibri"/>
          <w:b/>
          <w:i w:val="0"/>
          <w:color w:val="333333"/>
          <w:sz w:val="21"/>
        </w:rPr>
        <w:t>Privilégier les modèles légers.</w:t>
      </w:r>
      <w:r>
        <w:rPr>
          <w:rFonts w:ascii="Calibri" w:hAnsi="Calibri"/>
          <w:b w:val="0"/>
          <w:i w:val="0"/>
          <w:color w:val="333333"/>
          <w:sz w:val="21"/>
        </w:rPr>
        <w:t xml:space="preserve"> Isolation Forest et un modèle d'arbres de faible profondeur suffisent au besoin d'explication.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pPr>
        <w:pStyle w:val="Heading2"/>
      </w:pPr>
      <w:bookmarkStart w:id="7015" w:name="_TocP130015"/>
      <w:r>
        <w:t xml:space="preserve">4.2 Veille métier : le marché du vin et la vente en ligne</w:t>
      </w:r>
      <w:bookmarkEnd w:id="7015"/>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d'août 2026,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bookmarkStart w:id="7016" w:name="_TocP130016"/>
      <w:r>
        <w:t>5. Sécurité, conformité et usage responsable de l'IA</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a lu les sorties du notebook ; les fichiers, sans donnée personnelle, ont été confiés à son environnement pour des vérifications, en septembre et en octobre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de juin à août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y compris les essais C et D du 25 septembre, recalculés par l'assistant dans un script séparé : relus et relancés le 7 octobre</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puis dans un environnement neuf installé avec le requirements.txt, le 28 septembre chez l'assistant et le 30 septembre sur mon poste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bookmarkStart w:id="7017" w:name="_TocP130017"/>
      <w:r>
        <w:t>6. Synthèse et amélioration continue</w:t>
      </w:r>
      <w:bookmarkEnd w:id="7017"/>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le 4 août,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bookmarkStart w:id="7018" w:name="_TocP130018"/>
      <w:r>
        <w:t>6.1 Pistes d'amélioration continue</w:t>
      </w:r>
      <w:bookmarkEnd w:id="7018"/>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Réévaluer les moteurs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Évaluer les sources ouvertes qui enrichiraient le catalogue, en commençant par la liste des appellations publiée par l'INAO sous Licence Ouverte, rapprochée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bookmarkStart w:id="7019" w:name="_TocP130019"/>
      <w:r>
        <w:t xml:space="preserve">Annexe A. Le dispositif de veille en fonctionnement</w:t>
      </w:r>
      <w:bookmarkEnd w:id="7019"/>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reçus,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4669</Words>
  <Characters>25556</Characters>
  <Application>Microsoft Office Word</Application>
  <DocSecurity>0</DocSecurity>
  <Lines>549</Lines>
  <Paragraphs>549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2026-10-09T10:08:38Z</dcterms:created>
  <dcterms:modified xsi:type="dcterms:W3CDTF">2026-10-09T10:08:38Z</dcterms:modified>
</cp:coreProperties>
</file>