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rFonts w:ascii="Calibri" w:hAnsi="Calibri"/>
          <w:b/>
          <w:caps/>
          <w:color w:val="6B7280"/>
          <w:sz w:val="18"/>
        </w:rPr>
        <w:t>Projet 13, partie 1, document de contrôle</w:t>
      </w:r>
    </w:p>
    <w:p>
      <w:pPr>
        <w:pStyle w:val="Title"/>
        <w:spacing w:after="60"/>
      </w:pPr>
      <w:r>
        <w:t>Audit de conformité des livrables</w:t>
      </w:r>
    </w:p>
    <w:p>
      <w:pPr>
        <w:spacing w:after="360"/>
      </w:pPr>
      <w:r>
        <w:rPr>
          <w:rFonts w:ascii="Calibri" w:hAnsi="Calibri"/>
          <w:color w:val="3D5A80"/>
          <w:sz w:val="24"/>
        </w:rPr>
        <w:t>Vérification des indicateurs de qualité, des attendus et des chiffres publiés</w:t>
      </w:r>
    </w:p>
    <w:p>
      <w:pPr>
        <w:pBdr>
          <w:bottom w:val="single" w:sz="8" w:space="1" w:color="C9D3DF"/>
        </w:pBdr>
        <w:spacing w:after="280"/>
      </w:pPr>
    </w:p>
    <w:p>
      <w:pPr>
        <w:spacing w:after="60"/>
      </w:pPr>
      <w:r>
        <w:rPr>
          <w:rFonts w:ascii="Calibri" w:hAnsi="Calibri"/>
          <w:b/>
          <w:color w:val="1F2937"/>
          <w:sz w:val="20"/>
        </w:rPr>
        <w:t xml:space="preserve">Auteur : </w:t>
      </w:r>
      <w:r>
        <w:rPr>
          <w:rFonts w:ascii="Calibri" w:hAnsi="Calibri"/>
          <w:color w:val="333333"/>
          <w:sz w:val="20"/>
        </w:rPr>
        <w:t>Charles Lippens, Data Analyst</w:t>
      </w:r>
    </w:p>
    <w:p>
      <w:pPr>
        <w:spacing w:after="60"/>
      </w:pPr>
      <w:r>
        <w:rPr>
          <w:rFonts w:ascii="Calibri" w:hAnsi="Calibri"/>
          <w:b/>
          <w:color w:val="1F2937"/>
          <w:sz w:val="20"/>
        </w:rPr>
        <w:t xml:space="preserve">Objet : </w:t>
      </w:r>
      <w:r>
        <w:rPr>
          <w:rFonts w:ascii="Calibri" w:hAnsi="Calibri"/>
          <w:color w:val="333333"/>
          <w:sz w:val="20"/>
        </w:rPr>
        <w:t>Contrôler que chaque livrable répond aux attendus officiels du projet</w:t>
      </w:r>
    </w:p>
    <w:p>
      <w:pPr>
        <w:spacing w:after="60"/>
      </w:pPr>
      <w:r>
        <w:rPr>
          <w:rFonts w:ascii="Calibri" w:hAnsi="Calibri"/>
          <w:b/>
          <w:color w:val="1F2937"/>
          <w:sz w:val="20"/>
        </w:rPr>
        <w:t xml:space="preserve">Périmètre : </w:t>
      </w:r>
      <w:r>
        <w:rPr>
          <w:rFonts w:ascii="Calibri" w:hAnsi="Calibri"/>
          <w:color w:val="333333"/>
          <w:sz w:val="20"/>
        </w:rPr>
        <w:t>Notebook amélioré, documentation en sept volets, portfolio, kit de soutenance</w:t>
      </w:r>
    </w:p>
    <w:p>
      <w:pPr>
        <w:spacing w:after="60"/>
      </w:pPr>
      <w:r>
        <w:rPr>
          <w:rFonts w:ascii="Calibri" w:hAnsi="Calibri"/>
          <w:b/>
          <w:color w:val="1F2937"/>
          <w:sz w:val="20"/>
        </w:rPr>
        <w:t xml:space="preserve">Méthode : </w:t>
      </w:r>
      <w:r>
        <w:rPr>
          <w:rFonts w:ascii="Calibri" w:hAnsi="Calibri"/>
          <w:color w:val="333333"/>
          <w:sz w:val="20"/>
        </w:rPr>
        <w:t>Relecture croisée, réexécution du notebook, contrôle des chiffres publiés</w:t>
      </w:r>
    </w:p>
    <w:p>
      <w:pPr>
        <w:spacing w:after="60"/>
      </w:pPr>
      <w:r>
        <w:rPr>
          <w:rFonts w:ascii="Calibri" w:hAnsi="Calibri"/>
          <w:b/>
          <w:color w:val="1F2937"/>
          <w:sz w:val="20"/>
        </w:rPr>
        <w:t xml:space="preserve">Date de l'audit : quatre passages, jusqu'au 17 septembre 2026</w:t>
      </w:r>
      <w:r>
        <w:rPr>
          <w:rFonts w:ascii="Calibri" w:hAnsi="Calibri"/>
          <w:color w:val="333333"/>
          <w:sz w:val="20"/>
        </w:rPr>
        <w:t xml:space="preserve"/>
      </w:r>
    </w:p>
    <w:p>
      <w:pPr>
        <w:spacing w:after="60"/>
      </w:pPr>
      <w:r>
        <w:rPr>
          <w:rFonts w:ascii="Calibri" w:hAnsi="Calibri"/>
          <w:b/>
          <w:color w:val="1F2937"/>
          <w:sz w:val="20"/>
        </w:rPr>
        <w:t xml:space="preserve">Version : </w:t>
      </w:r>
      <w:r>
        <w:rPr>
          <w:rFonts w:ascii="Calibri" w:hAnsi="Calibri"/>
          <w:color w:val="333333"/>
          <w:sz w:val="20"/>
        </w:rPr>
        <w:t xml:space="preserve">1.10, le 7 octobre 2026 : essais C et D relus et relancés, dépôt strict décrit en section 4 ; 1.9, mise à jour du 1er octobre 2026 (portfolio en ligne, jalon J4 réussi le 30 septembre, dépôt de la documentation, relecture des essais C et D en cours, typographie) ; 1.8, pagination du dépôt mise à jour (82 pages), le 25 septembre 2026 au matin, puis relecture finale du même jour (livrable 3, marge, cahier des charges, sources), et mise à jour du 28 septembre 2026 (performance datée, réexécutions des 25 et 28 septembre, portfolio retenu, pagination, texte allégé) ; 1.7, pagination du dépôt mise à jour (76 pages) et réexécution d'audit distinguée des exécutions conservées, le 25 septembre 2026 ; 1.6, quatrième passage du 17 septembre 2026, au regard de la grille des attendus (section 11) et preuves actualisées, rédigé le 18 septembre ; 1.5, grille portée à seize indicateurs ; 1.4, mise à jour du 17 septembre (section 10) ; 1.3, deuxième passage, puis troisième le 3 septembre 2026, vingt-neuf écarts</w:t>
      </w:r>
    </w:p>
    <w:p>
      <w:pPr>
        <w:spacing w:before="60" w:after="160"/>
      </w:pPr>
      <w:r>
        <w:rPr>
          <w:rFonts w:ascii="Calibri" w:hAnsi="Calibri"/>
          <w:b w:val="0"/>
          <w:i w:val="0"/>
          <w:color w:val="333333"/>
          <w:sz w:val="20"/>
        </w:rPr>
        <w:t xml:space="preserve">Quatre passages, quarante écarts, tous corrigés. Le premier, sur la première ébauche, a donné onze corrections, faites dans la première version complète. Trois portaient sur des chiffres publiés : facteur d'accélération, nombre de critères, base de la concentration (écarts 1, 2 et 4). Le deuxième, avant la livraison, en a relevé huit, corrigés le jour même (section 8). Le troisième, le 3 septembre, dix, sur les portfolios (section 9). Le quatrième, le 17 septembre, onze de forme, au regard de la grille de l'énoncé (section 11).</w:t>
      </w:r>
    </w:p>
    <w:p>
      <w:pPr>
        <w:spacing w:after="40"/>
      </w:pPr>
    </w:p>
    <w:p>
      <w:r>
        <w:br w:type="page"/>
      </w:r>
    </w:p>
    <w:p>
      <w:pPr>
        <w:spacing w:after="200"/>
      </w:pPr>
      <w:r>
        <w:rPr>
          <w:rFonts w:ascii="Calibri" w:hAnsi="Calibri"/>
          <w:b/>
          <w:color w:val="6B7280"/>
          <w:sz w:val="30"/>
        </w:rPr>
        <w:t>Sommaire</w:t>
      </w:r>
    </w:p>
    <w:p>
      <w:pPr>
        <w:tabs>
          <w:tab w:val="right" w:leader="dot" w:pos="9298"/>
        </w:tabs>
        <w:spacing w:after="40"/>
        <w:ind w:left="0"/>
      </w:pPr>
      <w:r>
        <w:fldChar w:fldCharType="begin"/>
      </w:r>
      <w:r>
        <w:instrText xml:space="preserve">TOC \o "1-3" \h \z \u</w:instrText>
      </w:r>
      <w:r>
        <w:fldChar w:fldCharType="separate"/>
      </w:r>
      <w:hyperlink w:anchor="_TocP130001" w:history="1">
        <w:r>
          <w:rPr>
            <w:rFonts w:ascii="Calibri" w:hAnsi="Calibri"/>
            <w:color w:val="1F2937"/>
            <w:sz w:val="21"/>
          </w:rPr>
          <w:t xml:space="preserve">1. Objet et méthode de l'audit</w:t>
        </w:r>
        <w:r>
          <w:rPr>
            <w:rFonts w:ascii="Calibri" w:hAnsi="Calibri"/>
            <w:color w:val="1F2937"/>
            <w:sz w:val="21"/>
          </w:rPr>
          <w:tab/>
        </w:r>
        <w:r>
          <w:rPr>
            <w:rFonts w:ascii="Calibri" w:hAnsi="Calibri"/>
            <w:color w:val="1F2937"/>
            <w:sz w:val="21"/>
          </w:rPr>
          <w:t>3</w:t>
        </w:r>
      </w:hyperlink>
    </w:p>
    <w:p>
      <w:pPr>
        <w:tabs>
          <w:tab w:val="right" w:leader="dot" w:pos="9298"/>
        </w:tabs>
        <w:spacing w:after="40"/>
        <w:ind w:left="340"/>
      </w:pPr>
      <w:hyperlink w:anchor="_TocP130002" w:history="1">
        <w:r>
          <w:rPr>
            <w:rFonts w:ascii="Calibri" w:hAnsi="Calibri"/>
            <w:color w:val="1F2937"/>
            <w:sz w:val="21"/>
          </w:rPr>
          <w:t xml:space="preserve">1.1 Méthode retenue</w:t>
        </w:r>
        <w:r>
          <w:rPr>
            <w:rFonts w:ascii="Calibri" w:hAnsi="Calibri"/>
            <w:color w:val="1F2937"/>
            <w:sz w:val="21"/>
          </w:rPr>
          <w:tab/>
        </w:r>
        <w:r>
          <w:rPr>
            <w:rFonts w:ascii="Calibri" w:hAnsi="Calibri"/>
            <w:color w:val="1F2937"/>
            <w:sz w:val="21"/>
          </w:rPr>
          <w:t>3</w:t>
        </w:r>
      </w:hyperlink>
    </w:p>
    <w:p>
      <w:pPr>
        <w:tabs>
          <w:tab w:val="right" w:leader="dot" w:pos="9298"/>
        </w:tabs>
        <w:spacing w:after="40"/>
        <w:ind w:left="340"/>
      </w:pPr>
      <w:hyperlink w:anchor="_TocP130003" w:history="1">
        <w:r>
          <w:rPr>
            <w:rFonts w:ascii="Calibri" w:hAnsi="Calibri"/>
            <w:color w:val="1F2937"/>
            <w:sz w:val="21"/>
          </w:rPr>
          <w:t xml:space="preserve">1.2 Échelle de statut employée</w:t>
        </w:r>
        <w:r>
          <w:rPr>
            <w:rFonts w:ascii="Calibri" w:hAnsi="Calibri"/>
            <w:color w:val="1F2937"/>
            <w:sz w:val="21"/>
          </w:rPr>
          <w:tab/>
        </w:r>
        <w:r>
          <w:rPr>
            <w:rFonts w:ascii="Calibri" w:hAnsi="Calibri"/>
            <w:color w:val="1F2937"/>
            <w:sz w:val="21"/>
          </w:rPr>
          <w:t>3</w:t>
        </w:r>
      </w:hyperlink>
    </w:p>
    <w:p>
      <w:pPr>
        <w:tabs>
          <w:tab w:val="right" w:leader="dot" w:pos="9298"/>
        </w:tabs>
        <w:spacing w:after="40"/>
        <w:ind w:left="0"/>
      </w:pPr>
      <w:hyperlink w:anchor="_TocP130004" w:history="1">
        <w:r>
          <w:rPr>
            <w:rFonts w:ascii="Calibri" w:hAnsi="Calibri"/>
            <w:color w:val="1F2937"/>
            <w:sz w:val="21"/>
          </w:rPr>
          <w:t xml:space="preserve">2. Conformité aux livrables attendus</w:t>
        </w:r>
        <w:r>
          <w:rPr>
            <w:rFonts w:ascii="Calibri" w:hAnsi="Calibri"/>
            <w:color w:val="1F2937"/>
            <w:sz w:val="21"/>
          </w:rPr>
          <w:tab/>
        </w:r>
        <w:r>
          <w:rPr>
            <w:rFonts w:ascii="Calibri" w:hAnsi="Calibri"/>
            <w:color w:val="1F2937"/>
            <w:sz w:val="21"/>
          </w:rPr>
          <w:t>3</w:t>
        </w:r>
      </w:hyperlink>
    </w:p>
    <w:p>
      <w:pPr>
        <w:tabs>
          <w:tab w:val="right" w:leader="dot" w:pos="9298"/>
        </w:tabs>
        <w:spacing w:after="40"/>
        <w:ind w:left="0"/>
      </w:pPr>
      <w:hyperlink w:anchor="_TocP130005" w:history="1">
        <w:r>
          <w:rPr>
            <w:rFonts w:ascii="Calibri" w:hAnsi="Calibri"/>
            <w:color w:val="1F2937"/>
            <w:sz w:val="21"/>
          </w:rPr>
          <w:t xml:space="preserve">3. Grille des indicateurs de qualité, renseignée et auditée</w:t>
        </w:r>
        <w:r>
          <w:rPr>
            <w:rFonts w:ascii="Calibri" w:hAnsi="Calibri"/>
            <w:color w:val="1F2937"/>
            <w:sz w:val="21"/>
          </w:rPr>
          <w:tab/>
        </w:r>
        <w:r>
          <w:rPr>
            <w:rFonts w:ascii="Calibri" w:hAnsi="Calibri"/>
            <w:color w:val="1F2937"/>
            <w:sz w:val="21"/>
          </w:rPr>
          <w:t>4</w:t>
        </w:r>
      </w:hyperlink>
    </w:p>
    <w:p>
      <w:pPr>
        <w:tabs>
          <w:tab w:val="right" w:leader="dot" w:pos="9298"/>
        </w:tabs>
        <w:spacing w:after="40"/>
        <w:ind w:left="340"/>
      </w:pPr>
      <w:hyperlink w:anchor="_TocP130006" w:history="1">
        <w:r>
          <w:rPr>
            <w:rFonts w:ascii="Calibri" w:hAnsi="Calibri"/>
            <w:color w:val="1F2937"/>
            <w:sz w:val="21"/>
          </w:rPr>
          <w:t xml:space="preserve">3.1 Veille technologique et méthodologique</w:t>
        </w:r>
        <w:r>
          <w:rPr>
            <w:rFonts w:ascii="Calibri" w:hAnsi="Calibri"/>
            <w:color w:val="1F2937"/>
            <w:sz w:val="21"/>
          </w:rPr>
          <w:tab/>
        </w:r>
        <w:r>
          <w:rPr>
            <w:rFonts w:ascii="Calibri" w:hAnsi="Calibri"/>
            <w:color w:val="1F2937"/>
            <w:sz w:val="21"/>
          </w:rPr>
          <w:t>4</w:t>
        </w:r>
      </w:hyperlink>
    </w:p>
    <w:p>
      <w:pPr>
        <w:tabs>
          <w:tab w:val="right" w:leader="dot" w:pos="9298"/>
        </w:tabs>
        <w:spacing w:after="40"/>
        <w:ind w:left="340"/>
      </w:pPr>
      <w:hyperlink w:anchor="_TocP130007" w:history="1">
        <w:r>
          <w:rPr>
            <w:rFonts w:ascii="Calibri" w:hAnsi="Calibri"/>
            <w:color w:val="1F2937"/>
            <w:sz w:val="21"/>
          </w:rPr>
          <w:t xml:space="preserve">3.2 Identification du besoin métier</w:t>
        </w:r>
        <w:r>
          <w:rPr>
            <w:rFonts w:ascii="Calibri" w:hAnsi="Calibri"/>
            <w:color w:val="1F2937"/>
            <w:sz w:val="21"/>
          </w:rPr>
          <w:tab/>
        </w:r>
        <w:r>
          <w:rPr>
            <w:rFonts w:ascii="Calibri" w:hAnsi="Calibri"/>
            <w:color w:val="1F2937"/>
            <w:sz w:val="21"/>
          </w:rPr>
          <w:t>5</w:t>
        </w:r>
      </w:hyperlink>
    </w:p>
    <w:p>
      <w:pPr>
        <w:tabs>
          <w:tab w:val="right" w:leader="dot" w:pos="9298"/>
        </w:tabs>
        <w:spacing w:after="40"/>
        <w:ind w:left="340"/>
      </w:pPr>
      <w:hyperlink w:anchor="_TocP130008" w:history="1">
        <w:r>
          <w:rPr>
            <w:rFonts w:ascii="Calibri" w:hAnsi="Calibri"/>
            <w:color w:val="1F2937"/>
            <w:sz w:val="21"/>
          </w:rPr>
          <w:t xml:space="preserve">3.3 Formalisation du cahier des charges fonctionnel</w:t>
        </w:r>
        <w:r>
          <w:rPr>
            <w:rFonts w:ascii="Calibri" w:hAnsi="Calibri"/>
            <w:color w:val="1F2937"/>
            <w:sz w:val="21"/>
          </w:rPr>
          <w:tab/>
        </w:r>
        <w:r>
          <w:rPr>
            <w:rFonts w:ascii="Calibri" w:hAnsi="Calibri"/>
            <w:color w:val="1F2937"/>
            <w:sz w:val="21"/>
          </w:rPr>
          <w:t>5</w:t>
        </w:r>
      </w:hyperlink>
    </w:p>
    <w:p>
      <w:pPr>
        <w:tabs>
          <w:tab w:val="right" w:leader="dot" w:pos="9298"/>
        </w:tabs>
        <w:spacing w:after="40"/>
        <w:ind w:left="340"/>
      </w:pPr>
      <w:hyperlink w:anchor="_TocP130009" w:history="1">
        <w:r>
          <w:rPr>
            <w:rFonts w:ascii="Calibri" w:hAnsi="Calibri"/>
            <w:color w:val="1F2937"/>
            <w:sz w:val="21"/>
          </w:rPr>
          <w:t xml:space="preserve">3.4 Objectifs pédagogiques du projet</w:t>
        </w:r>
        <w:r>
          <w:rPr>
            <w:rFonts w:ascii="Calibri" w:hAnsi="Calibri"/>
            <w:color w:val="1F2937"/>
            <w:sz w:val="21"/>
          </w:rPr>
          <w:tab/>
        </w:r>
        <w:r>
          <w:rPr>
            <w:rFonts w:ascii="Calibri" w:hAnsi="Calibri"/>
            <w:color w:val="1F2937"/>
            <w:sz w:val="21"/>
          </w:rPr>
          <w:t>6</w:t>
        </w:r>
      </w:hyperlink>
    </w:p>
    <w:p>
      <w:pPr>
        <w:tabs>
          <w:tab w:val="right" w:leader="dot" w:pos="9298"/>
        </w:tabs>
        <w:spacing w:after="40"/>
        <w:ind w:left="0"/>
      </w:pPr>
      <w:hyperlink w:anchor="_TocP130010" w:history="1">
        <w:r>
          <w:rPr>
            <w:rFonts w:ascii="Calibri" w:hAnsi="Calibri"/>
            <w:color w:val="1F2937"/>
            <w:sz w:val="21"/>
          </w:rPr>
          <w:t xml:space="preserve">4. Contrôle des chiffres publiés</w:t>
        </w:r>
        <w:r>
          <w:rPr>
            <w:rFonts w:ascii="Calibri" w:hAnsi="Calibri"/>
            <w:color w:val="1F2937"/>
            <w:sz w:val="21"/>
          </w:rPr>
          <w:tab/>
        </w:r>
        <w:r>
          <w:rPr>
            <w:rFonts w:ascii="Calibri" w:hAnsi="Calibri"/>
            <w:color w:val="1F2937"/>
            <w:sz w:val="21"/>
          </w:rPr>
          <w:t>7</w:t>
        </w:r>
      </w:hyperlink>
    </w:p>
    <w:p>
      <w:pPr>
        <w:tabs>
          <w:tab w:val="right" w:leader="dot" w:pos="9298"/>
        </w:tabs>
        <w:spacing w:after="40"/>
        <w:ind w:left="340"/>
      </w:pPr>
      <w:hyperlink w:anchor="_TocP130011" w:history="1">
        <w:r>
          <w:rPr>
            <w:rFonts w:ascii="Calibri" w:hAnsi="Calibri"/>
            <w:color w:val="1F2937"/>
            <w:sz w:val="21"/>
          </w:rPr>
          <w:t xml:space="preserve">4.1 Résultats déterministes, confirmés à l'identique</w:t>
        </w:r>
        <w:r>
          <w:rPr>
            <w:rFonts w:ascii="Calibri" w:hAnsi="Calibri"/>
            <w:color w:val="1F2937"/>
            <w:sz w:val="21"/>
          </w:rPr>
          <w:tab/>
        </w:r>
        <w:r>
          <w:rPr>
            <w:rFonts w:ascii="Calibri" w:hAnsi="Calibri"/>
            <w:color w:val="1F2937"/>
            <w:sz w:val="21"/>
          </w:rPr>
          <w:t>7</w:t>
        </w:r>
      </w:hyperlink>
    </w:p>
    <w:p>
      <w:pPr>
        <w:tabs>
          <w:tab w:val="right" w:leader="dot" w:pos="9298"/>
        </w:tabs>
        <w:spacing w:after="40"/>
        <w:ind w:left="340"/>
      </w:pPr>
      <w:hyperlink w:anchor="_TocP130012" w:history="1">
        <w:r>
          <w:rPr>
            <w:rFonts w:ascii="Calibri" w:hAnsi="Calibri"/>
            <w:color w:val="1F2937"/>
            <w:sz w:val="21"/>
          </w:rPr>
          <w:t xml:space="preserve">4.2 Écarts relevés et corrigés</w:t>
        </w:r>
        <w:r>
          <w:rPr>
            <w:rFonts w:ascii="Calibri" w:hAnsi="Calibri"/>
            <w:color w:val="1F2937"/>
            <w:sz w:val="21"/>
          </w:rPr>
          <w:tab/>
        </w:r>
        <w:r>
          <w:rPr>
            <w:rFonts w:ascii="Calibri" w:hAnsi="Calibri"/>
            <w:color w:val="1F2937"/>
            <w:sz w:val="21"/>
          </w:rPr>
          <w:t>7</w:t>
        </w:r>
      </w:hyperlink>
    </w:p>
    <w:p>
      <w:pPr>
        <w:tabs>
          <w:tab w:val="right" w:leader="dot" w:pos="9298"/>
        </w:tabs>
        <w:spacing w:after="40"/>
        <w:ind w:left="680"/>
      </w:pPr>
      <w:hyperlink w:anchor="_TocP130013" w:history="1">
        <w:r>
          <w:rPr>
            <w:rFonts w:ascii="Calibri" w:hAnsi="Calibri"/>
            <w:color w:val="1F2937"/>
            <w:sz w:val="21"/>
          </w:rPr>
          <w:t xml:space="preserve">Écart 1 : facteur d'accélération des moteurs alternatifs</w:t>
        </w:r>
        <w:r>
          <w:rPr>
            <w:rFonts w:ascii="Calibri" w:hAnsi="Calibri"/>
            <w:color w:val="1F2937"/>
            <w:sz w:val="21"/>
          </w:rPr>
          <w:tab/>
        </w:r>
        <w:r>
          <w:rPr>
            <w:rFonts w:ascii="Calibri" w:hAnsi="Calibri"/>
            <w:color w:val="1F2937"/>
            <w:sz w:val="21"/>
          </w:rPr>
          <w:t>7</w:t>
        </w:r>
      </w:hyperlink>
    </w:p>
    <w:p>
      <w:pPr>
        <w:tabs>
          <w:tab w:val="right" w:leader="dot" w:pos="9298"/>
        </w:tabs>
        <w:spacing w:after="40"/>
        <w:ind w:left="680"/>
      </w:pPr>
      <w:hyperlink w:anchor="_TocP130014" w:history="1">
        <w:r>
          <w:rPr>
            <w:rFonts w:ascii="Calibri" w:hAnsi="Calibri"/>
            <w:color w:val="1F2937"/>
            <w:sz w:val="21"/>
          </w:rPr>
          <w:t xml:space="preserve">Écart 2 : composition de la liste des critères de comparaison</w:t>
        </w:r>
        <w:r>
          <w:rPr>
            <w:rFonts w:ascii="Calibri" w:hAnsi="Calibri"/>
            <w:color w:val="1F2937"/>
            <w:sz w:val="21"/>
          </w:rPr>
          <w:tab/>
        </w:r>
        <w:r>
          <w:rPr>
            <w:rFonts w:ascii="Calibri" w:hAnsi="Calibri"/>
            <w:color w:val="1F2937"/>
            <w:sz w:val="21"/>
          </w:rPr>
          <w:t>8</w:t>
        </w:r>
      </w:hyperlink>
    </w:p>
    <w:p>
      <w:pPr>
        <w:tabs>
          <w:tab w:val="right" w:leader="dot" w:pos="9298"/>
        </w:tabs>
        <w:spacing w:after="40"/>
        <w:ind w:left="680"/>
      </w:pPr>
      <w:hyperlink w:anchor="_TocP130015" w:history="1">
        <w:r>
          <w:rPr>
            <w:rFonts w:ascii="Calibri" w:hAnsi="Calibri"/>
            <w:color w:val="1F2937"/>
            <w:sz w:val="21"/>
          </w:rPr>
          <w:t xml:space="preserve">Écart 3 : numérotation des jalons</w:t>
        </w:r>
        <w:r>
          <w:rPr>
            <w:rFonts w:ascii="Calibri" w:hAnsi="Calibri"/>
            <w:color w:val="1F2937"/>
            <w:sz w:val="21"/>
          </w:rPr>
          <w:tab/>
        </w:r>
        <w:r>
          <w:rPr>
            <w:rFonts w:ascii="Calibri" w:hAnsi="Calibri"/>
            <w:color w:val="1F2937"/>
            <w:sz w:val="21"/>
          </w:rPr>
          <w:t>8</w:t>
        </w:r>
      </w:hyperlink>
    </w:p>
    <w:p>
      <w:pPr>
        <w:tabs>
          <w:tab w:val="right" w:leader="dot" w:pos="9298"/>
        </w:tabs>
        <w:spacing w:after="40"/>
        <w:ind w:left="680"/>
      </w:pPr>
      <w:hyperlink w:anchor="_TocP130016" w:history="1">
        <w:r>
          <w:rPr>
            <w:rFonts w:ascii="Calibri" w:hAnsi="Calibri"/>
            <w:color w:val="1F2937"/>
            <w:sz w:val="21"/>
          </w:rPr>
          <w:t xml:space="preserve">Écart 4 : base de calcul de la concentration du chiffre d'affaires</w:t>
        </w:r>
        <w:r>
          <w:rPr>
            <w:rFonts w:ascii="Calibri" w:hAnsi="Calibri"/>
            <w:color w:val="1F2937"/>
            <w:sz w:val="21"/>
          </w:rPr>
          <w:tab/>
        </w:r>
        <w:r>
          <w:rPr>
            <w:rFonts w:ascii="Calibri" w:hAnsi="Calibri"/>
            <w:color w:val="1F2937"/>
            <w:sz w:val="21"/>
          </w:rPr>
          <w:t>9</w:t>
        </w:r>
      </w:hyperlink>
    </w:p>
    <w:p>
      <w:pPr>
        <w:tabs>
          <w:tab w:val="right" w:leader="dot" w:pos="9298"/>
        </w:tabs>
        <w:spacing w:after="40"/>
        <w:ind w:left="680"/>
      </w:pPr>
      <w:hyperlink w:anchor="_TocP130017" w:history="1">
        <w:r>
          <w:rPr>
            <w:rFonts w:ascii="Calibri" w:hAnsi="Calibri"/>
            <w:color w:val="1F2937"/>
            <w:sz w:val="21"/>
          </w:rPr>
          <w:t xml:space="preserve">Écart 5 : lisibilité du rapport de contrôle qualité dans le notebook</w:t>
        </w:r>
        <w:r>
          <w:rPr>
            <w:rFonts w:ascii="Calibri" w:hAnsi="Calibri"/>
            <w:color w:val="1F2937"/>
            <w:sz w:val="21"/>
          </w:rPr>
          <w:tab/>
        </w:r>
        <w:r>
          <w:rPr>
            <w:rFonts w:ascii="Calibri" w:hAnsi="Calibri"/>
            <w:color w:val="1F2937"/>
            <w:sz w:val="21"/>
          </w:rPr>
          <w:t>9</w:t>
        </w:r>
      </w:hyperlink>
    </w:p>
    <w:p>
      <w:pPr>
        <w:tabs>
          <w:tab w:val="right" w:leader="dot" w:pos="9298"/>
        </w:tabs>
        <w:spacing w:after="40"/>
        <w:ind w:left="680"/>
      </w:pPr>
      <w:hyperlink w:anchor="_TocP130018" w:history="1">
        <w:r>
          <w:rPr>
            <w:rFonts w:ascii="Calibri" w:hAnsi="Calibri"/>
            <w:color w:val="1F2937"/>
            <w:sz w:val="21"/>
          </w:rPr>
          <w:t xml:space="preserve">Écarts 6 à 11 : corrections rédactionnelles et de complétude</w:t>
        </w:r>
        <w:r>
          <w:rPr>
            <w:rFonts w:ascii="Calibri" w:hAnsi="Calibri"/>
            <w:color w:val="1F2937"/>
            <w:sz w:val="21"/>
          </w:rPr>
          <w:tab/>
        </w:r>
        <w:r>
          <w:rPr>
            <w:rFonts w:ascii="Calibri" w:hAnsi="Calibri"/>
            <w:color w:val="1F2937"/>
            <w:sz w:val="21"/>
          </w:rPr>
          <w:t>9</w:t>
        </w:r>
      </w:hyperlink>
    </w:p>
    <w:p>
      <w:pPr>
        <w:tabs>
          <w:tab w:val="right" w:leader="dot" w:pos="9298"/>
        </w:tabs>
        <w:spacing w:after="40"/>
        <w:ind w:left="0"/>
      </w:pPr>
      <w:hyperlink w:anchor="_TocP130019" w:history="1">
        <w:r>
          <w:rPr>
            <w:rFonts w:ascii="Calibri" w:hAnsi="Calibri"/>
            <w:color w:val="1F2937"/>
            <w:sz w:val="21"/>
          </w:rPr>
          <w:t xml:space="preserve">5. Contrôle rédactionnel et accessibilité</w:t>
        </w:r>
        <w:r>
          <w:rPr>
            <w:rFonts w:ascii="Calibri" w:hAnsi="Calibri"/>
            <w:color w:val="1F2937"/>
            <w:sz w:val="21"/>
          </w:rPr>
          <w:tab/>
        </w:r>
        <w:r>
          <w:rPr>
            <w:rFonts w:ascii="Calibri" w:hAnsi="Calibri"/>
            <w:color w:val="1F2937"/>
            <w:sz w:val="21"/>
          </w:rPr>
          <w:t>9</w:t>
        </w:r>
      </w:hyperlink>
    </w:p>
    <w:p>
      <w:pPr>
        <w:tabs>
          <w:tab w:val="right" w:leader="dot" w:pos="9298"/>
        </w:tabs>
        <w:spacing w:after="40"/>
        <w:ind w:left="0"/>
      </w:pPr>
      <w:hyperlink w:anchor="_TocP130020" w:history="1">
        <w:r>
          <w:rPr>
            <w:rFonts w:ascii="Calibri" w:hAnsi="Calibri"/>
            <w:color w:val="1F2937"/>
            <w:sz w:val="21"/>
          </w:rPr>
          <w:t xml:space="preserve">6. Risques résiduels et limites de cet audit</w:t>
        </w:r>
        <w:r>
          <w:rPr>
            <w:rFonts w:ascii="Calibri" w:hAnsi="Calibri"/>
            <w:color w:val="1F2937"/>
            <w:sz w:val="21"/>
          </w:rPr>
          <w:tab/>
        </w:r>
        <w:r>
          <w:rPr>
            <w:rFonts w:ascii="Calibri" w:hAnsi="Calibri"/>
            <w:color w:val="1F2937"/>
            <w:sz w:val="21"/>
          </w:rPr>
          <w:t>10</w:t>
        </w:r>
      </w:hyperlink>
    </w:p>
    <w:p>
      <w:pPr>
        <w:tabs>
          <w:tab w:val="right" w:leader="dot" w:pos="9298"/>
        </w:tabs>
        <w:spacing w:after="40"/>
        <w:ind w:left="0"/>
      </w:pPr>
      <w:hyperlink w:anchor="_TocP130021" w:history="1">
        <w:r>
          <w:rPr>
            <w:rFonts w:ascii="Calibri" w:hAnsi="Calibri"/>
            <w:color w:val="1F2937"/>
            <w:sz w:val="21"/>
          </w:rPr>
          <w:t xml:space="preserve">7. Conclusion de l'audit</w:t>
        </w:r>
        <w:r>
          <w:rPr>
            <w:rFonts w:ascii="Calibri" w:hAnsi="Calibri"/>
            <w:color w:val="1F2937"/>
            <w:sz w:val="21"/>
          </w:rPr>
          <w:tab/>
        </w:r>
        <w:r>
          <w:rPr>
            <w:rFonts w:ascii="Calibri" w:hAnsi="Calibri"/>
            <w:color w:val="1F2937"/>
            <w:sz w:val="21"/>
          </w:rPr>
          <w:t>10</w:t>
        </w:r>
      </w:hyperlink>
    </w:p>
    <w:p>
      <w:pPr>
        <w:tabs>
          <w:tab w:val="right" w:leader="dot" w:pos="9298"/>
        </w:tabs>
        <w:spacing w:after="40"/>
        <w:ind w:left="0"/>
      </w:pPr>
      <w:hyperlink w:anchor="_TocP130022" w:history="1">
        <w:r>
          <w:rPr>
            <w:rFonts w:ascii="Calibri" w:hAnsi="Calibri"/>
            <w:color w:val="1F2937"/>
            <w:sz w:val="21"/>
          </w:rPr>
          <w:t xml:space="preserve">8. Second passage d'audit, avant la livraison</w:t>
        </w:r>
        <w:r>
          <w:rPr>
            <w:rFonts w:ascii="Calibri" w:hAnsi="Calibri"/>
            <w:color w:val="1F2937"/>
            <w:sz w:val="21"/>
          </w:rPr>
          <w:tab/>
        </w:r>
        <w:r>
          <w:rPr>
            <w:rFonts w:ascii="Calibri" w:hAnsi="Calibri"/>
            <w:color w:val="1F2937"/>
            <w:sz w:val="21"/>
          </w:rPr>
          <w:t xml:space="preserve">10</w:t>
        </w:r>
      </w:hyperlink>
    </w:p>
    <w:p>
      <w:pPr>
        <w:tabs>
          <w:tab w:val="right" w:leader="dot" w:pos="9298"/>
        </w:tabs>
        <w:spacing w:after="40"/>
        <w:ind w:left="340"/>
      </w:pPr>
      <w:hyperlink w:anchor="_TocP130023" w:history="1">
        <w:r>
          <w:rPr>
            <w:rFonts w:ascii="Calibri" w:hAnsi="Calibri"/>
            <w:color w:val="1F2937"/>
            <w:sz w:val="21"/>
          </w:rPr>
          <w:t xml:space="preserve">8.1 Ce que la troisième réexécution confirme</w:t>
        </w:r>
        <w:r>
          <w:rPr>
            <w:rFonts w:ascii="Calibri" w:hAnsi="Calibri"/>
            <w:color w:val="1F2937"/>
            <w:sz w:val="21"/>
          </w:rPr>
          <w:tab/>
        </w:r>
        <w:r>
          <w:rPr>
            <w:rFonts w:ascii="Calibri" w:hAnsi="Calibri"/>
            <w:color w:val="1F2937"/>
            <w:sz w:val="21"/>
          </w:rPr>
          <w:t>10</w:t>
        </w:r>
      </w:hyperlink>
    </w:p>
    <w:p>
      <w:pPr>
        <w:tabs>
          <w:tab w:val="right" w:leader="dot" w:pos="9298"/>
        </w:tabs>
        <w:spacing w:after="40"/>
        <w:ind w:left="340"/>
      </w:pPr>
      <w:hyperlink w:anchor="_TocP130024" w:history="1">
        <w:r>
          <w:rPr>
            <w:rFonts w:ascii="Calibri" w:hAnsi="Calibri"/>
            <w:color w:val="1F2937"/>
            <w:sz w:val="21"/>
          </w:rPr>
          <w:t xml:space="preserve">8.2 Écarts relevés et corrigés, numérotés à la suite du premier passage</w:t>
        </w:r>
        <w:r>
          <w:rPr>
            <w:rFonts w:ascii="Calibri" w:hAnsi="Calibri"/>
            <w:color w:val="1F2937"/>
            <w:sz w:val="21"/>
          </w:rPr>
          <w:tab/>
        </w:r>
        <w:r>
          <w:rPr>
            <w:rFonts w:ascii="Calibri" w:hAnsi="Calibri"/>
            <w:color w:val="1F2937"/>
            <w:sz w:val="21"/>
          </w:rPr>
          <w:t>11</w:t>
        </w:r>
      </w:hyperlink>
    </w:p>
    <w:p>
      <w:pPr>
        <w:tabs>
          <w:tab w:val="right" w:leader="dot" w:pos="9298"/>
        </w:tabs>
        <w:spacing w:after="40"/>
        <w:ind w:left="340"/>
      </w:pPr>
      <w:hyperlink w:anchor="_TocP130025" w:history="1">
        <w:r>
          <w:rPr>
            <w:rFonts w:ascii="Calibri" w:hAnsi="Calibri"/>
            <w:color w:val="1F2937"/>
            <w:sz w:val="21"/>
          </w:rPr>
          <w:t xml:space="preserve">8.3 Autres vérifications sans écart</w:t>
        </w:r>
        <w:r>
          <w:rPr>
            <w:rFonts w:ascii="Calibri" w:hAnsi="Calibri"/>
            <w:color w:val="1F2937"/>
            <w:sz w:val="21"/>
          </w:rPr>
          <w:tab/>
        </w:r>
        <w:r>
          <w:rPr>
            <w:rFonts w:ascii="Calibri" w:hAnsi="Calibri"/>
            <w:color w:val="1F2937"/>
            <w:sz w:val="21"/>
          </w:rPr>
          <w:t>12</w:t>
        </w:r>
      </w:hyperlink>
    </w:p>
    <w:p>
      <w:pPr>
        <w:tabs>
          <w:tab w:val="right" w:leader="dot" w:pos="9298"/>
        </w:tabs>
        <w:spacing w:after="40"/>
        <w:ind w:left="0"/>
      </w:pPr>
      <w:hyperlink w:anchor="_TocP130026" w:history="1">
        <w:r>
          <w:rPr>
            <w:rFonts w:ascii="Calibri" w:hAnsi="Calibri"/>
            <w:color w:val="1F2937"/>
            <w:sz w:val="21"/>
          </w:rPr>
          <w:t xml:space="preserve">9. Troisième passage, 3 septembre 2026 : les portfolios et l'état réel du parcours</w:t>
        </w:r>
        <w:r>
          <w:rPr>
            <w:rFonts w:ascii="Calibri" w:hAnsi="Calibri"/>
            <w:color w:val="1F2937"/>
            <w:sz w:val="21"/>
          </w:rPr>
          <w:tab/>
        </w:r>
        <w:r>
          <w:rPr>
            <w:rFonts w:ascii="Calibri" w:hAnsi="Calibri"/>
            <w:color w:val="1F2937"/>
            <w:sz w:val="21"/>
          </w:rPr>
          <w:t>12</w:t>
        </w:r>
      </w:hyperlink>
    </w:p>
    <w:p>
      <w:pPr>
        <w:tabs>
          <w:tab w:val="right" w:leader="dot" w:pos="9298"/>
        </w:tabs>
        <w:spacing w:after="40"/>
        <w:ind w:left="340"/>
      </w:pPr>
      <w:hyperlink w:anchor="_TocP130027" w:history="1">
        <w:r>
          <w:rPr>
            <w:rFonts w:ascii="Calibri" w:hAnsi="Calibri"/>
            <w:color w:val="1F2937"/>
            <w:sz w:val="21"/>
          </w:rPr>
          <w:t xml:space="preserve">9.1 Écarts relevés et corrigés, numérotés à la suite des précédents</w:t>
        </w:r>
        <w:r>
          <w:rPr>
            <w:rFonts w:ascii="Calibri" w:hAnsi="Calibri"/>
            <w:color w:val="1F2937"/>
            <w:sz w:val="21"/>
          </w:rPr>
          <w:tab/>
        </w:r>
        <w:r>
          <w:rPr>
            <w:rFonts w:ascii="Calibri" w:hAnsi="Calibri"/>
            <w:color w:val="1F2937"/>
            <w:sz w:val="21"/>
          </w:rPr>
          <w:t>13</w:t>
        </w:r>
      </w:hyperlink>
    </w:p>
    <w:p>
      <w:pPr>
        <w:tabs>
          <w:tab w:val="right" w:leader="dot" w:pos="9298"/>
        </w:tabs>
        <w:spacing w:after="40"/>
        <w:ind w:left="340"/>
      </w:pPr>
      <w:hyperlink w:anchor="_TocP130028" w:history="1">
        <w:r>
          <w:rPr>
            <w:rFonts w:ascii="Calibri" w:hAnsi="Calibri"/>
            <w:color w:val="1F2937"/>
            <w:sz w:val="21"/>
          </w:rPr>
          <w:t xml:space="preserve">9.2 Vérifications rejouées</w:t>
        </w:r>
        <w:r>
          <w:rPr>
            <w:rFonts w:ascii="Calibri" w:hAnsi="Calibri"/>
            <w:color w:val="1F2937"/>
            <w:sz w:val="21"/>
          </w:rPr>
          <w:tab/>
        </w:r>
        <w:r>
          <w:rPr>
            <w:rFonts w:ascii="Calibri" w:hAnsi="Calibri"/>
            <w:color w:val="1F2937"/>
            <w:sz w:val="21"/>
          </w:rPr>
          <w:t>13</w:t>
        </w:r>
      </w:hyperlink>
    </w:p>
    <w:p>
      <w:pPr>
        <w:tabs>
          <w:tab w:val="right" w:leader="dot" w:pos="9298"/>
        </w:tabs>
        <w:spacing w:after="40"/>
        <w:ind w:left="0"/>
      </w:pPr>
      <w:hyperlink w:anchor="_TocP130029" w:history="1">
        <w:r>
          <w:rPr>
            <w:rFonts w:ascii="Calibri" w:hAnsi="Calibri"/>
            <w:color w:val="1F2937"/>
            <w:sz w:val="21"/>
          </w:rPr>
          <w:t xml:space="preserve">10. Mise à jour du 17 septembre 2026, à la validation du projet 12</w:t>
        </w:r>
        <w:r>
          <w:rPr>
            <w:rFonts w:ascii="Calibri" w:hAnsi="Calibri"/>
            <w:color w:val="1F2937"/>
            <w:sz w:val="21"/>
          </w:rPr>
          <w:tab/>
        </w:r>
        <w:r>
          <w:rPr>
            <w:rFonts w:ascii="Calibri" w:hAnsi="Calibri"/>
            <w:color w:val="1F2937"/>
            <w:sz w:val="21"/>
          </w:rPr>
          <w:t>14</w:t>
        </w:r>
      </w:hyperlink>
    </w:p>
    <w:p>
      <w:pPr>
        <w:tabs>
          <w:tab w:val="right" w:leader="dot" w:pos="9298"/>
        </w:tabs>
        <w:spacing w:after="40"/>
        <w:ind w:left="0"/>
      </w:pPr>
      <w:hyperlink w:anchor="_TocP130030" w:history="1">
        <w:r>
          <w:rPr>
            <w:rFonts w:ascii="Calibri" w:hAnsi="Calibri"/>
            <w:color w:val="1F2937"/>
            <w:sz w:val="21"/>
          </w:rPr>
          <w:t xml:space="preserve">11. Quatrième passage, 17 septembre 2026 : audit des attendus de l'énoncé mis à jour</w:t>
        </w:r>
        <w:r>
          <w:rPr>
            <w:rFonts w:ascii="Calibri" w:hAnsi="Calibri"/>
            <w:color w:val="1F2937"/>
            <w:sz w:val="21"/>
          </w:rPr>
          <w:tab/>
        </w:r>
        <w:r>
          <w:rPr>
            <w:rFonts w:ascii="Calibri" w:hAnsi="Calibri"/>
            <w:color w:val="1F2937"/>
            <w:sz w:val="21"/>
          </w:rPr>
          <w:t>14</w:t>
        </w:r>
      </w:hyperlink>
      <w:r>
        <w:fldChar w:fldCharType="end"/>
      </w:r>
    </w:p>
    <w:p>
      <w:r>
        <w:br w:type="page"/>
      </w:r>
    </w:p>
    <w:p>
      <w:pPr>
        <w:pStyle w:val="Heading1"/>
      </w:pPr>
      <w:bookmarkStart w:id="7001" w:name="_TocP130001"/>
      <w:r>
        <w:t>1. Objet et méthode de l'audit</w:t>
      </w:r>
      <w:bookmarkEnd w:id="7001"/>
    </w:p>
    <w:p>
      <w:r>
        <w:rPr>
          <w:rFonts w:ascii="Calibri" w:hAnsi="Calibri"/>
          <w:b w:val="0"/>
          <w:i w:val="0"/>
          <w:color w:val="333333"/>
          <w:sz w:val="21"/>
        </w:rPr>
        <w:t xml:space="preserve">Le projet demande de produire un livrable amélioré, une documentation de la démarche et un portfolio, puis de démontrer que ces productions respectent une grille d'indicateurs de qualité publiée par OpenClassrooms. Cet audit le vérifie point par point.</w:t>
      </w:r>
    </w:p>
    <w:p>
      <w:r>
        <w:rPr>
          <w:rFonts w:ascii="Calibri" w:hAnsi="Calibri"/>
          <w:b w:val="0"/>
          <w:i w:val="0"/>
          <w:color w:val="333333"/>
          <w:sz w:val="21"/>
        </w:rPr>
        <w:t xml:space="preserve">Pourquoi ce contrôle ? J'ai écrit la documentation en même temps que le notebook, d'où un risque de désynchronisation. Les mêmes chiffres circulent d'un document à l'autre. Et un évaluateur ouvrira le notebook pour comparer.</w:t>
      </w:r>
    </w:p>
    <w:p>
      <w:pPr>
        <w:pStyle w:val="Heading2"/>
      </w:pPr>
      <w:bookmarkStart w:id="7002" w:name="_TocP130002"/>
      <w:r>
        <w:t>1.1 Méthode retenue</w:t>
      </w:r>
      <w:bookmarkEnd w:id="7002"/>
    </w:p>
    <w:p>
      <w:pPr>
        <w:pStyle w:val="ListNumber"/>
        <w:spacing w:after="40"/>
        <w:ind w:left="369"/>
      </w:pPr>
      <w:r>
        <w:rPr>
          <w:rFonts w:ascii="Calibri" w:hAnsi="Calibri"/>
          <w:b/>
          <w:i w:val="0"/>
          <w:color w:val="333333"/>
          <w:sz w:val="21"/>
        </w:rPr>
        <w:t xml:space="preserve">Relecture croisée des sept volets de la documentation et du kit de soutenance</w:t>
      </w:r>
      <w:r>
        <w:rPr>
          <w:rFonts w:ascii="Calibri" w:hAnsi="Calibri"/>
          <w:b w:val="0"/>
          <w:i w:val="0"/>
          <w:color w:val="333333"/>
          <w:sz w:val="21"/>
        </w:rPr>
        <w:t xml:space="preserve">, avec extraction automatique de tous les nombres cités et regroupement par indicateur.</w:t>
      </w:r>
    </w:p>
    <w:p>
      <w:pPr>
        <w:pStyle w:val="ListNumber"/>
        <w:spacing w:after="40"/>
        <w:ind w:left="369"/>
      </w:pPr>
      <w:r>
        <w:rPr>
          <w:rFonts w:ascii="Calibri" w:hAnsi="Calibri"/>
          <w:b/>
          <w:i w:val="0"/>
          <w:color w:val="333333"/>
          <w:sz w:val="21"/>
        </w:rPr>
        <w:t xml:space="preserve">Réexécution complète du notebook sur une machine différente de celle d'origine</w:t>
      </w:r>
      <w:r>
        <w:rPr>
          <w:rFonts w:ascii="Calibri" w:hAnsi="Calibri"/>
          <w:b w:val="0"/>
          <w:i w:val="0"/>
          <w:color w:val="333333"/>
          <w:sz w:val="21"/>
        </w:rPr>
        <w:t xml:space="preserve">, pour distinguer les résultats déterministes des résultats dépendants du matériel.</w:t>
      </w:r>
    </w:p>
    <w:p>
      <w:pPr>
        <w:pStyle w:val="ListNumber"/>
        <w:spacing w:after="40"/>
        <w:ind w:left="369"/>
      </w:pPr>
      <w:r>
        <w:rPr>
          <w:rFonts w:ascii="Calibri" w:hAnsi="Calibri"/>
          <w:b/>
          <w:i w:val="0"/>
          <w:color w:val="333333"/>
          <w:sz w:val="21"/>
        </w:rPr>
        <w:t>Confrontation de chaque affirmation chiffrée</w:t>
      </w:r>
      <w:r>
        <w:rPr>
          <w:rFonts w:ascii="Calibri" w:hAnsi="Calibri"/>
          <w:b w:val="0"/>
          <w:i w:val="0"/>
          <w:color w:val="333333"/>
          <w:sz w:val="21"/>
        </w:rPr>
        <w:t xml:space="preserve"> de la documentation à la sortie de code correspondante, cellule par cellule.</w:t>
      </w:r>
    </w:p>
    <w:p>
      <w:pPr>
        <w:pStyle w:val="ListNumber"/>
        <w:spacing w:after="40"/>
        <w:ind w:left="369"/>
      </w:pPr>
      <w:r>
        <w:rPr>
          <w:rFonts w:ascii="Calibri" w:hAnsi="Calibri"/>
          <w:b/>
          <w:i w:val="0"/>
          <w:color w:val="333333"/>
          <w:sz w:val="21"/>
        </w:rPr>
        <w:t>Vérification de la grille officielle</w:t>
      </w:r>
      <w:r>
        <w:rPr>
          <w:rFonts w:ascii="Calibri" w:hAnsi="Calibri"/>
          <w:b w:val="0"/>
          <w:i w:val="0"/>
          <w:color w:val="333333"/>
          <w:sz w:val="21"/>
        </w:rPr>
        <w:t xml:space="preserve"> des indicateurs de qualité, en exigeant pour chacun une preuve localisable par un lecteur externe, et non une simple mention.</w:t>
      </w:r>
    </w:p>
    <w:p>
      <w:pPr>
        <w:pStyle w:val="ListNumber"/>
        <w:spacing w:after="40"/>
        <w:ind w:left="369"/>
      </w:pPr>
      <w:r>
        <w:rPr>
          <w:rFonts w:ascii="Calibri" w:hAnsi="Calibri"/>
          <w:b/>
          <w:i w:val="0"/>
          <w:color w:val="333333"/>
          <w:sz w:val="21"/>
        </w:rPr>
        <w:t>Contrôle rédactionnel</w:t>
      </w:r>
      <w:r>
        <w:rPr>
          <w:rFonts w:ascii="Calibri" w:hAnsi="Calibri"/>
          <w:b w:val="0"/>
          <w:i w:val="0"/>
          <w:color w:val="333333"/>
          <w:sz w:val="21"/>
        </w:rPr>
        <w:t xml:space="preserve"> : cohérence terminologique, typographie française, lisibilité pour un public non technique.</w:t>
      </w:r>
    </w:p>
    <w:p>
      <w:pPr>
        <w:pStyle w:val="Heading2"/>
      </w:pPr>
      <w:bookmarkStart w:id="7003" w:name="_TocP130003"/>
      <w:r>
        <w:t>1.2 Échelle de statut employée</w:t>
      </w:r>
      <w:bookmarkEnd w:id="7003"/>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1928"/>
            <w:shd w:val="clear" w:color="auto" w:fill="1F2937"/>
          </w:tcPr>
          <w:p>
            <w:pPr>
              <w:spacing w:after="0"/>
            </w:pPr>
            <w:r>
              <w:rPr>
                <w:rFonts w:ascii="Calibri" w:hAnsi="Calibri"/>
                <w:b/>
                <w:color w:val="FFFFFF"/>
                <w:sz w:val="18"/>
              </w:rPr>
              <w:t>Statut</w:t>
            </w:r>
          </w:p>
        </w:tc>
        <w:tc>
          <w:tcPr>
            <w:tcW w:type="dxa" w:w="4649"/>
            <w:shd w:val="clear" w:color="auto" w:fill="1F2937"/>
          </w:tcPr>
          <w:p>
            <w:pPr>
              <w:spacing w:after="0"/>
            </w:pPr>
            <w:r>
              <w:rPr>
                <w:rFonts w:ascii="Calibri" w:hAnsi="Calibri"/>
                <w:b/>
                <w:color w:val="FFFFFF"/>
                <w:sz w:val="18"/>
              </w:rPr>
              <w:t>Signification</w:t>
            </w:r>
          </w:p>
        </w:tc>
        <w:tc>
          <w:tcPr>
            <w:tcW w:type="dxa" w:w="2721"/>
            <w:shd w:val="clear" w:color="auto" w:fill="1F2937"/>
          </w:tcPr>
          <w:p>
            <w:pPr>
              <w:spacing w:after="0"/>
            </w:pPr>
            <w:r>
              <w:rPr>
                <w:rFonts w:ascii="Calibri" w:hAnsi="Calibri"/>
                <w:b/>
                <w:color w:val="FFFFFF"/>
                <w:sz w:val="18"/>
              </w:rPr>
              <w:t>Suite donnée</w:t>
            </w:r>
          </w:p>
        </w:tc>
      </w:tr>
      <w:tr>
        <w:trPr>
          <w:cantSplit/>
        </w:trPr>
        <w:tc>
          <w:tcPr>
            <w:tcW w:type="dxa" w:w="1928"/>
          </w:tcPr>
          <w:p>
            <w:pPr>
              <w:spacing w:after="0" w:line="252" w:lineRule="auto"/>
            </w:pPr>
            <w:r>
              <w:rPr>
                <w:rFonts w:ascii="Calibri" w:hAnsi="Calibri"/>
                <w:b w:val="0"/>
                <w:i w:val="0"/>
                <w:color w:val="333333"/>
                <w:sz w:val="18"/>
              </w:rPr>
              <w:t>Conforme</w:t>
            </w:r>
          </w:p>
        </w:tc>
        <w:tc>
          <w:tcPr>
            <w:tcW w:type="dxa" w:w="4649"/>
          </w:tcPr>
          <w:p>
            <w:pPr>
              <w:spacing w:after="0" w:line="252" w:lineRule="auto"/>
            </w:pPr>
            <w:r>
              <w:rPr>
                <w:rFonts w:ascii="Calibri" w:hAnsi="Calibri"/>
                <w:b w:val="0"/>
                <w:i w:val="0"/>
                <w:color w:val="333333"/>
                <w:sz w:val="18"/>
              </w:rPr>
              <w:t>La preuve existe, elle est localisable et exacte</w:t>
            </w:r>
          </w:p>
        </w:tc>
        <w:tc>
          <w:tcPr>
            <w:tcW w:type="dxa" w:w="2721"/>
          </w:tcPr>
          <w:p>
            <w:pPr>
              <w:spacing w:after="0" w:line="252" w:lineRule="auto"/>
            </w:pPr>
            <w:r>
              <w:rPr>
                <w:rFonts w:ascii="Calibri" w:hAnsi="Calibri"/>
                <w:b w:val="0"/>
                <w:i w:val="0"/>
                <w:color w:val="333333"/>
                <w:sz w:val="18"/>
              </w:rPr>
              <w:t>Aucune action</w:t>
            </w:r>
          </w:p>
        </w:tc>
      </w:tr>
      <w:tr>
        <w:trPr>
          <w:cantSplit/>
        </w:trPr>
        <w:tc>
          <w:tcPr>
            <w:tcW w:type="dxa" w:w="1928"/>
            <w:shd w:val="clear" w:color="auto" w:fill="F1F5F9"/>
          </w:tcPr>
          <w:p>
            <w:pPr>
              <w:spacing w:after="0" w:line="252" w:lineRule="auto"/>
            </w:pPr>
            <w:r>
              <w:rPr>
                <w:rFonts w:ascii="Calibri" w:hAnsi="Calibri"/>
                <w:b w:val="0"/>
                <w:i w:val="0"/>
                <w:color w:val="333333"/>
                <w:sz w:val="18"/>
              </w:rPr>
              <w:t>Conforme avec réserve</w:t>
            </w:r>
          </w:p>
        </w:tc>
        <w:tc>
          <w:tcPr>
            <w:tcW w:type="dxa" w:w="4649"/>
            <w:shd w:val="clear" w:color="auto" w:fill="F1F5F9"/>
          </w:tcPr>
          <w:p>
            <w:pPr>
              <w:spacing w:after="0" w:line="252" w:lineRule="auto"/>
            </w:pPr>
            <w:r>
              <w:rPr>
                <w:rFonts w:ascii="Calibri" w:hAnsi="Calibri"/>
                <w:b w:val="0"/>
                <w:i w:val="0"/>
                <w:color w:val="333333"/>
                <w:sz w:val="18"/>
              </w:rPr>
              <w:t>La preuve existe mais son énoncé manque de précision</w:t>
            </w:r>
          </w:p>
        </w:tc>
        <w:tc>
          <w:tcPr>
            <w:tcW w:type="dxa" w:w="2721"/>
            <w:shd w:val="clear" w:color="auto" w:fill="F1F5F9"/>
          </w:tcPr>
          <w:p>
            <w:pPr>
              <w:spacing w:after="0" w:line="252" w:lineRule="auto"/>
            </w:pPr>
            <w:r>
              <w:rPr>
                <w:rFonts w:ascii="Calibri" w:hAnsi="Calibri"/>
                <w:b w:val="0"/>
                <w:i w:val="0"/>
                <w:color w:val="333333"/>
                <w:sz w:val="18"/>
              </w:rPr>
              <w:t>Reformulation</w:t>
            </w:r>
          </w:p>
        </w:tc>
      </w:tr>
      <w:tr>
        <w:trPr>
          <w:cantSplit/>
        </w:trPr>
        <w:tc>
          <w:tcPr>
            <w:tcW w:type="dxa" w:w="1928"/>
          </w:tcPr>
          <w:p>
            <w:pPr>
              <w:spacing w:after="0" w:line="252" w:lineRule="auto"/>
            </w:pPr>
            <w:r>
              <w:rPr>
                <w:rFonts w:ascii="Calibri" w:hAnsi="Calibri"/>
                <w:b w:val="0"/>
                <w:i w:val="0"/>
                <w:color w:val="333333"/>
                <w:sz w:val="18"/>
              </w:rPr>
              <w:t>Écart</w:t>
            </w:r>
          </w:p>
        </w:tc>
        <w:tc>
          <w:tcPr>
            <w:tcW w:type="dxa" w:w="4649"/>
          </w:tcPr>
          <w:p>
            <w:pPr>
              <w:spacing w:after="0" w:line="252" w:lineRule="auto"/>
            </w:pPr>
            <w:r>
              <w:rPr>
                <w:rFonts w:ascii="Calibri" w:hAnsi="Calibri"/>
                <w:b w:val="0"/>
                <w:i w:val="0"/>
                <w:color w:val="333333"/>
                <w:sz w:val="18"/>
              </w:rPr>
              <w:t>La preuve est absente, fausse ou contredite par le code</w:t>
            </w:r>
          </w:p>
        </w:tc>
        <w:tc>
          <w:tcPr>
            <w:tcW w:type="dxa" w:w="2721"/>
          </w:tcPr>
          <w:p>
            <w:pPr>
              <w:spacing w:after="0" w:line="252" w:lineRule="auto"/>
            </w:pPr>
            <w:r>
              <w:rPr>
                <w:rFonts w:ascii="Calibri" w:hAnsi="Calibri"/>
                <w:b w:val="0"/>
                <w:i w:val="0"/>
                <w:color w:val="333333"/>
                <w:sz w:val="18"/>
              </w:rPr>
              <w:t>Correction obligatoire</w:t>
            </w:r>
          </w:p>
        </w:tc>
      </w:tr>
    </w:tbl>
    <w:p>
      <w:pPr>
        <w:spacing w:after="40"/>
      </w:pPr>
    </w:p>
    <w:p>
      <w:pPr>
        <w:pStyle w:val="Heading1"/>
      </w:pPr>
      <w:bookmarkStart w:id="7004" w:name="_TocP130004"/>
      <w:r>
        <w:t>2. Conformité aux livrables attendus</w:t>
      </w:r>
      <w:bookmarkEnd w:id="7004"/>
    </w:p>
    <w:p>
      <w:r>
        <w:rPr>
          <w:rFonts w:ascii="Calibri" w:hAnsi="Calibri"/>
          <w:b w:val="0"/>
          <w:i w:val="0"/>
          <w:color w:val="333333"/>
          <w:sz w:val="21"/>
        </w:rPr>
        <w:t xml:space="preserve">Le projet attend trois livrables numérotés. Le tableau ci-dessous met chacun de ces livrables en regard du fichier réellement produit et vérifie la convention de nommage imposée : Nom_Prenom, numéro du livrable, nom du livrable, mois et année de démarrage.</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3175"/>
            <w:shd w:val="clear" w:color="auto" w:fill="1F2937"/>
          </w:tcPr>
          <w:p>
            <w:pPr>
              <w:spacing w:after="0"/>
            </w:pPr>
            <w:r>
              <w:rPr>
                <w:rFonts w:ascii="Calibri" w:hAnsi="Calibri"/>
                <w:b/>
                <w:color w:val="FFFFFF"/>
                <w:sz w:val="18"/>
              </w:rPr>
              <w:t>Livrable attendu</w:t>
            </w:r>
          </w:p>
        </w:tc>
        <w:tc>
          <w:tcPr>
            <w:tcW w:type="dxa" w:w="4195"/>
            <w:shd w:val="clear" w:color="auto" w:fill="1F2937"/>
          </w:tcPr>
          <w:p>
            <w:pPr>
              <w:spacing w:after="0"/>
            </w:pPr>
            <w:r>
              <w:rPr>
                <w:rFonts w:ascii="Calibri" w:hAnsi="Calibri"/>
                <w:b/>
                <w:color w:val="FFFFFF"/>
                <w:sz w:val="18"/>
              </w:rPr>
              <w:t>Fichier fourni</w:t>
            </w:r>
          </w:p>
        </w:tc>
        <w:tc>
          <w:tcPr>
            <w:tcW w:type="dxa" w:w="1928"/>
            <w:shd w:val="clear" w:color="auto" w:fill="1F2937"/>
          </w:tcPr>
          <w:p>
            <w:pPr>
              <w:spacing w:after="0"/>
            </w:pPr>
            <w:r>
              <w:rPr>
                <w:rFonts w:ascii="Calibri" w:hAnsi="Calibri"/>
                <w:b/>
                <w:color w:val="FFFFFF"/>
                <w:sz w:val="18"/>
              </w:rPr>
              <w:t>Statut</w:t>
            </w:r>
          </w:p>
        </w:tc>
      </w:tr>
      <w:tr>
        <w:trPr>
          <w:cantSplit/>
        </w:trPr>
        <w:tc>
          <w:tcPr>
            <w:tcW w:type="dxa" w:w="3175"/>
          </w:tcPr>
          <w:p>
            <w:pPr>
              <w:spacing w:after="0" w:line="252" w:lineRule="auto"/>
            </w:pPr>
            <w:r>
              <w:rPr>
                <w:rFonts w:ascii="Calibri" w:hAnsi="Calibri"/>
                <w:b w:val="0"/>
                <w:i w:val="0"/>
                <w:color w:val="333333"/>
                <w:sz w:val="18"/>
              </w:rPr>
              <w:t>1. Livrable du P6 amélioré (notebook Python ou R), intégrant les améliorations réalisées grâce à l'IA</w:t>
            </w:r>
          </w:p>
        </w:tc>
        <w:tc>
          <w:tcPr>
            <w:tcW w:type="dxa" w:w="4195"/>
          </w:tcPr>
          <w:p>
            <w:pPr>
              <w:spacing w:after="0" w:line="252" w:lineRule="auto"/>
            </w:pPr>
            <w:r>
              <w:rPr>
                <w:rFonts w:ascii="Calibri" w:hAnsi="Calibri"/>
                <w:b w:val="0"/>
                <w:i w:val="0"/>
                <w:color w:val="333333"/>
                <w:sz w:val="18"/>
              </w:rPr>
              <w:t xml:space="preserve">Lippens_Charles_1_projet_ameliore_092026 : notebook exécuté, données sources, figures, essais complémentaires, journal, README, requirements.txt</w:t>
            </w:r>
          </w:p>
        </w:tc>
        <w:tc>
          <w:tcPr>
            <w:tcW w:type="dxa" w:w="1928"/>
          </w:tcPr>
          <w:p>
            <w:pPr>
              <w:spacing w:after="0" w:line="252" w:lineRule="auto"/>
            </w:pPr>
            <w:r>
              <w:rPr>
                <w:rFonts w:ascii="Calibri" w:hAnsi="Calibri"/>
                <w:b w:val="0"/>
                <w:i w:val="0"/>
                <w:color w:val="333333"/>
                <w:sz w:val="18"/>
              </w:rPr>
              <w:t>Conforme</w:t>
            </w:r>
          </w:p>
        </w:tc>
      </w:tr>
      <w:tr>
        <w:trPr>
          <w:cantSplit/>
        </w:trPr>
        <w:tc>
          <w:tcPr>
            <w:tcW w:type="dxa" w:w="3175"/>
            <w:shd w:val="clear" w:color="auto" w:fill="F1F5F9"/>
          </w:tcPr>
          <w:p>
            <w:pPr>
              <w:spacing w:after="0" w:line="252" w:lineRule="auto"/>
            </w:pPr>
            <w:r>
              <w:rPr>
                <w:rFonts w:ascii="Calibri" w:hAnsi="Calibri"/>
                <w:b w:val="0"/>
                <w:i w:val="0"/>
                <w:color w:val="333333"/>
                <w:sz w:val="18"/>
              </w:rPr>
              <w:t xml:space="preserve">2. Documentation de la démarche : veille métier et technologique, cahier des charges fonctionnel, mini formation pour les métiers, hypothèses, tests, résultats, limites, décisions</w:t>
            </w:r>
          </w:p>
        </w:tc>
        <w:tc>
          <w:tcPr>
            <w:tcW w:type="dxa" w:w="4195"/>
            <w:shd w:val="clear" w:color="auto" w:fill="F1F5F9"/>
          </w:tcPr>
          <w:p>
            <w:pPr>
              <w:spacing w:after="0" w:line="252" w:lineRule="auto"/>
            </w:pPr>
            <w:r>
              <w:rPr>
                <w:rFonts w:ascii="Calibri" w:hAnsi="Calibri"/>
                <w:b w:val="0"/>
                <w:i w:val="0"/>
                <w:color w:val="333333"/>
                <w:sz w:val="18"/>
              </w:rPr>
              <w:t xml:space="preserve">Sept documents préfixés Lippens_Charles_2_ (veille, cahier des charges, gestion de projet, démarche et POC, guide de prise en main, synthèse globale, audit de conformité), réunis dans un dossier complet de 83 pages, disponible sur demande, à côté de la documentation de 19 pages déposée comme élément 2</w:t>
            </w:r>
          </w:p>
        </w:tc>
        <w:tc>
          <w:tcPr>
            <w:tcW w:type="dxa" w:w="1928"/>
            <w:shd w:val="clear" w:color="auto" w:fill="F1F5F9"/>
          </w:tcPr>
          <w:p>
            <w:pPr>
              <w:spacing w:after="0" w:line="252" w:lineRule="auto"/>
            </w:pPr>
            <w:r>
              <w:rPr>
                <w:rFonts w:ascii="Calibri" w:hAnsi="Calibri"/>
                <w:b w:val="0"/>
                <w:i w:val="0"/>
                <w:color w:val="333333"/>
                <w:sz w:val="18"/>
              </w:rPr>
              <w:t>Conforme</w:t>
            </w:r>
          </w:p>
        </w:tc>
      </w:tr>
      <w:tr>
        <w:trPr>
          <w:cantSplit/>
        </w:trPr>
        <w:tc>
          <w:tcPr>
            <w:tcW w:type="dxa" w:w="3175"/>
          </w:tcPr>
          <w:p>
            <w:pPr>
              <w:spacing w:after="0" w:line="252" w:lineRule="auto"/>
            </w:pPr>
            <w:r>
              <w:rPr>
                <w:rFonts w:ascii="Calibri" w:hAnsi="Calibri"/>
                <w:b w:val="0"/>
                <w:i w:val="0"/>
                <w:color w:val="333333"/>
                <w:sz w:val="18"/>
              </w:rPr>
              <w:t>3. Portfolio professionnel présentant une sélection hiérarchisée de preuves de compétences, intégrant le résultat de la veille</w:t>
            </w:r>
          </w:p>
        </w:tc>
        <w:tc>
          <w:tcPr>
            <w:tcW w:type="dxa" w:w="4195"/>
          </w:tcPr>
          <w:p>
            <w:pPr>
              <w:spacing w:after="0" w:line="252" w:lineRule="auto"/>
            </w:pPr>
            <w:r>
              <w:rPr>
                <w:rFonts w:ascii="Calibri" w:hAnsi="Calibri"/>
                <w:b w:val="0"/>
                <w:i w:val="0"/>
                <w:color w:val="333333"/>
                <w:sz w:val="18"/>
              </w:rPr>
              <w:t>Quatre versions complètes du site, chacune avec une page ou une section dédiée à la veille et les quatorze projets du parcours hiérarchisés</w:t>
            </w:r>
          </w:p>
        </w:tc>
        <w:tc>
          <w:tcPr>
            <w:tcW w:type="dxa" w:w="1928"/>
          </w:tcPr>
          <w:p>
            <w:pPr>
              <w:spacing w:after="0" w:line="252" w:lineRule="auto"/>
            </w:pPr>
            <w:r>
              <w:rPr>
                <w:rFonts w:ascii="Calibri" w:hAnsi="Calibri"/>
                <w:b w:val="0"/>
                <w:i w:val="0"/>
                <w:color w:val="333333"/>
                <w:sz w:val="18"/>
              </w:rPr>
              <w:t xml:space="preserve">Conforme : version 4 en ligne depuis le 30 septembre 2026 à https://charleslippensdata.github.io/ ; élément 3 du dépôt préparé le 29 septembre (une page avec l'adresse du site)</w:t>
            </w:r>
          </w:p>
        </w:tc>
      </w:tr>
    </w:tbl>
    <w:p>
      <w:pPr>
        <w:spacing w:after="40"/>
      </w:pPr>
    </w:p>
    <w:p>
      <w:pPr>
        <w:spacing w:before="60" w:after="160"/>
      </w:pPr>
      <w:r>
        <w:rPr>
          <w:rFonts w:ascii="Calibri" w:hAnsi="Calibri"/>
          <w:b/>
          <w:i w:val="0"/>
          <w:color w:val="1F2937"/>
          <w:sz w:val="20"/>
        </w:rPr>
        <w:t xml:space="preserve">Point de vigilance sur le dépôt.</w:t>
      </w:r>
      <w:r>
        <w:rPr>
          <w:rFonts w:ascii="Calibri" w:hAnsi="Calibri"/>
          <w:b w:val="0"/>
          <w:i w:val="0"/>
          <w:color w:val="333333"/>
          <w:sz w:val="20"/>
        </w:rPr>
        <w:t xml:space="preserve"> Le dossier compressé doit être nommé Titre_du_projet_nom_prenom et les trois livrables suivre la forme Nom_Prenom_numéro_nom du livrable_mois et année de démarrage : projet ameliore, documentation, portfolio. Je dépose la documentation de 19 pages sous le nom de l'élément 2, Lippens_Charles_2_documentation_092026. Le dossier complet de 83 pages, Lippens_Charles_2_documentation_dossier_complet_092026, n'est pas déposé : il reste disponible sur demande (dépôt strict, décidé en séance 3 le 2 octobre). Les sommaires sont actualisés avant l'export. La mini formation destinée aux métiers est un attendu du livrable 2. Elle occupe la section 7 du cahier des charges et fait l'objet d'un guide de prise en main distinct.</w:t>
      </w:r>
    </w:p>
    <w:p>
      <w:pPr>
        <w:spacing w:after="40"/>
      </w:pPr>
    </w:p>
    <w:p>
      <w:pPr>
        <w:pStyle w:val="Heading1"/>
      </w:pPr>
      <w:bookmarkStart w:id="7005" w:name="_TocP130005"/>
      <w:r>
        <w:t>3. Grille des indicateurs de qualité, renseignée et auditée</w:t>
      </w:r>
      <w:bookmarkEnd w:id="7005"/>
    </w:p>
    <w:p>
      <w:r>
        <w:rPr>
          <w:rFonts w:ascii="Calibri" w:hAnsi="Calibri"/>
          <w:b w:val="0"/>
          <w:i w:val="0"/>
          <w:color w:val="333333"/>
          <w:sz w:val="21"/>
        </w:rPr>
        <w:t xml:space="preserve">La grille officielle comporte trois blocs : la veille technologique et méthodologique (huit indicateurs), l'identification du besoin métier (quatre) et le cahier des charges fonctionnel (quatre, section 3.3). Chaque ligne reprend l'intitulé exact de l'énoncé.</w:t>
      </w:r>
    </w:p>
    <w:p>
      <w:pPr>
        <w:pStyle w:val="Heading2"/>
      </w:pPr>
      <w:bookmarkStart w:id="7006" w:name="_TocP130006"/>
      <w:r>
        <w:t>3.1 Veille technologique et méthodologique</w:t>
      </w:r>
      <w:bookmarkEnd w:id="7006"/>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2835"/>
            <w:shd w:val="clear" w:color="auto" w:fill="1F2937"/>
          </w:tcPr>
          <w:p>
            <w:pPr>
              <w:spacing w:after="0"/>
            </w:pPr>
            <w:r>
              <w:rPr>
                <w:rFonts w:ascii="Calibri" w:hAnsi="Calibri"/>
                <w:b/>
                <w:color w:val="FFFFFF"/>
                <w:sz w:val="17"/>
              </w:rPr>
              <w:t>Indicateur officiel</w:t>
            </w:r>
          </w:p>
        </w:tc>
        <w:tc>
          <w:tcPr>
            <w:tcW w:type="dxa" w:w="4535"/>
            <w:shd w:val="clear" w:color="auto" w:fill="1F2937"/>
          </w:tcPr>
          <w:p>
            <w:pPr>
              <w:spacing w:after="0"/>
            </w:pPr>
            <w:r>
              <w:rPr>
                <w:rFonts w:ascii="Calibri" w:hAnsi="Calibri"/>
                <w:b/>
                <w:color w:val="FFFFFF"/>
                <w:sz w:val="17"/>
              </w:rPr>
              <w:t>Preuve, avec sa localisation</w:t>
            </w:r>
          </w:p>
        </w:tc>
        <w:tc>
          <w:tcPr>
            <w:tcW w:type="dxa" w:w="1928"/>
            <w:shd w:val="clear" w:color="auto" w:fill="1F2937"/>
          </w:tcPr>
          <w:p>
            <w:pPr>
              <w:spacing w:after="0"/>
            </w:pPr>
            <w:r>
              <w:rPr>
                <w:rFonts w:ascii="Calibri" w:hAnsi="Calibri"/>
                <w:b/>
                <w:color w:val="FFFFFF"/>
                <w:sz w:val="17"/>
              </w:rPr>
              <w:t>Statut d'audit</w:t>
            </w:r>
          </w:p>
        </w:tc>
      </w:tr>
      <w:tr>
        <w:trPr>
          <w:cantSplit/>
        </w:trPr>
        <w:tc>
          <w:tcPr>
            <w:tcW w:type="dxa" w:w="2835"/>
          </w:tcPr>
          <w:p>
            <w:pPr>
              <w:spacing w:after="0" w:line="252" w:lineRule="auto"/>
            </w:pPr>
            <w:r>
              <w:rPr>
                <w:rFonts w:ascii="Calibri" w:hAnsi="Calibri"/>
                <w:b w:val="0"/>
                <w:i w:val="0"/>
                <w:color w:val="333333"/>
                <w:sz w:val="17"/>
              </w:rPr>
              <w:t>Ma veille sélectionne, évalue et justifie les choix des solutions techniques.</w:t>
            </w:r>
          </w:p>
        </w:tc>
        <w:tc>
          <w:tcPr>
            <w:tcW w:type="dxa" w:w="4535"/>
          </w:tcPr>
          <w:p>
            <w:pPr>
              <w:spacing w:after="0" w:line="252" w:lineRule="auto"/>
            </w:pPr>
            <w:r>
              <w:rPr>
                <w:rFonts w:ascii="Calibri" w:hAnsi="Calibri"/>
                <w:b w:val="0"/>
                <w:i w:val="0"/>
                <w:color w:val="333333"/>
                <w:sz w:val="17"/>
              </w:rPr>
              <w:t>Document de veille, section 3 : quatre tableaux comparatifs, un par axe, chacun opposant au moins deux options sur sept critères communs, avec la décision et son motif.</w:t>
            </w:r>
          </w:p>
        </w:tc>
        <w:tc>
          <w:tcPr>
            <w:tcW w:type="dxa" w:w="1928"/>
          </w:tcPr>
          <w:p>
            <w:pPr>
              <w:spacing w:after="0" w:line="252" w:lineRule="auto"/>
            </w:pPr>
            <w:r>
              <w:rPr>
                <w:rFonts w:ascii="Calibri" w:hAnsi="Calibri"/>
                <w:b w:val="0"/>
                <w:i w:val="0"/>
                <w:color w:val="333333"/>
                <w:sz w:val="17"/>
              </w:rPr>
              <w:t>Conforme</w:t>
            </w:r>
          </w:p>
        </w:tc>
      </w:tr>
      <w:tr>
        <w:trPr>
          <w:cantSplit/>
        </w:trPr>
        <w:tc>
          <w:tcPr>
            <w:tcW w:type="dxa" w:w="2835"/>
            <w:shd w:val="clear" w:color="auto" w:fill="F1F5F9"/>
          </w:tcPr>
          <w:p>
            <w:pPr>
              <w:spacing w:after="0" w:line="252" w:lineRule="auto"/>
            </w:pPr>
            <w:r>
              <w:rPr>
                <w:rFonts w:ascii="Calibri" w:hAnsi="Calibri"/>
                <w:b w:val="0"/>
                <w:i w:val="0"/>
                <w:color w:val="333333"/>
                <w:sz w:val="17"/>
              </w:rPr>
              <w:t>Ma veille soutient une démarche d'optimisation et d'amélioration continue.</w:t>
            </w:r>
          </w:p>
        </w:tc>
        <w:tc>
          <w:tcPr>
            <w:tcW w:type="dxa" w:w="4535"/>
            <w:shd w:val="clear" w:color="auto" w:fill="F1F5F9"/>
          </w:tcPr>
          <w:p>
            <w:pPr>
              <w:spacing w:after="0" w:line="252" w:lineRule="auto"/>
            </w:pPr>
            <w:r>
              <w:rPr>
                <w:rFonts w:ascii="Calibri" w:hAnsi="Calibri"/>
                <w:b w:val="0"/>
                <w:i w:val="0"/>
                <w:color w:val="333333"/>
                <w:sz w:val="17"/>
              </w:rPr>
              <w:t>Document de veille, section 6 : feuille de route, pistes d'évolution et boucle de réévaluation alimentée par les flux automatisés.</w:t>
            </w:r>
          </w:p>
        </w:tc>
        <w:tc>
          <w:tcPr>
            <w:tcW w:type="dxa" w:w="1928"/>
            <w:shd w:val="clear" w:color="auto" w:fill="F1F5F9"/>
          </w:tcPr>
          <w:p>
            <w:pPr>
              <w:spacing w:after="0" w:line="252" w:lineRule="auto"/>
            </w:pPr>
            <w:r>
              <w:rPr>
                <w:rFonts w:ascii="Calibri" w:hAnsi="Calibri"/>
                <w:b w:val="0"/>
                <w:i w:val="0"/>
                <w:color w:val="333333"/>
                <w:sz w:val="17"/>
              </w:rPr>
              <w:t>Conforme</w:t>
            </w:r>
          </w:p>
        </w:tc>
      </w:tr>
      <w:tr>
        <w:trPr>
          <w:cantSplit/>
        </w:trPr>
        <w:tc>
          <w:tcPr>
            <w:tcW w:type="dxa" w:w="2835"/>
          </w:tcPr>
          <w:p>
            <w:pPr>
              <w:spacing w:after="0" w:line="252" w:lineRule="auto"/>
            </w:pPr>
            <w:r>
              <w:rPr>
                <w:rFonts w:ascii="Calibri" w:hAnsi="Calibri"/>
                <w:b w:val="0"/>
                <w:i w:val="0"/>
                <w:color w:val="333333"/>
                <w:sz w:val="17"/>
              </w:rPr>
              <w:t>Les informations sont fiables et sourcées.</w:t>
            </w:r>
          </w:p>
        </w:tc>
        <w:tc>
          <w:tcPr>
            <w:tcW w:type="dxa" w:w="4535"/>
          </w:tcPr>
          <w:p>
            <w:pPr>
              <w:spacing w:after="0" w:line="252" w:lineRule="auto"/>
            </w:pPr>
            <w:r>
              <w:rPr>
                <w:rFonts w:ascii="Calibri" w:hAnsi="Calibri"/>
                <w:b w:val="0"/>
                <w:i w:val="0"/>
                <w:color w:val="333333"/>
                <w:sz w:val="17"/>
              </w:rPr>
              <w:t xml:space="preserve">Document de veille, section 4 : seize sources nommées et datées, vérifiées le 25 septembre 2026, classées par niveau de fiabilité, avec l'apport retenu pour chacune ; section 4.2 : six sources métier ; sources cliquables dans le document et dans le portfolio.</w:t>
            </w:r>
          </w:p>
        </w:tc>
        <w:tc>
          <w:tcPr>
            <w:tcW w:type="dxa" w:w="1928"/>
          </w:tcPr>
          <w:p>
            <w:pPr>
              <w:spacing w:after="0" w:line="252" w:lineRule="auto"/>
            </w:pPr>
            <w:r>
              <w:rPr>
                <w:rFonts w:ascii="Calibri" w:hAnsi="Calibri"/>
                <w:b w:val="0"/>
                <w:i w:val="0"/>
                <w:color w:val="333333"/>
                <w:sz w:val="17"/>
              </w:rPr>
              <w:t>Conforme</w:t>
            </w:r>
          </w:p>
        </w:tc>
      </w:tr>
      <w:tr>
        <w:trPr>
          <w:cantSplit/>
        </w:trPr>
        <w:tc>
          <w:tcPr>
            <w:tcW w:type="dxa" w:w="2835"/>
            <w:shd w:val="clear" w:color="auto" w:fill="F1F5F9"/>
          </w:tcPr>
          <w:p>
            <w:pPr>
              <w:spacing w:after="0" w:line="252" w:lineRule="auto"/>
            </w:pPr>
            <w:r>
              <w:rPr>
                <w:rFonts w:ascii="Calibri" w:hAnsi="Calibri"/>
                <w:b w:val="0"/>
                <w:i w:val="0"/>
                <w:color w:val="333333"/>
                <w:sz w:val="17"/>
              </w:rPr>
              <w:t>Les informations sont cohérentes avec les principes de développement durable.</w:t>
            </w:r>
          </w:p>
        </w:tc>
        <w:tc>
          <w:tcPr>
            <w:tcW w:type="dxa" w:w="4535"/>
            <w:shd w:val="clear" w:color="auto" w:fill="F1F5F9"/>
          </w:tcPr>
          <w:p>
            <w:pPr>
              <w:spacing w:after="0" w:line="252" w:lineRule="auto"/>
            </w:pPr>
            <w:r>
              <w:rPr>
                <w:rFonts w:ascii="Calibri" w:hAnsi="Calibri"/>
                <w:b w:val="0"/>
                <w:i w:val="0"/>
                <w:color w:val="333333"/>
                <w:sz w:val="17"/>
              </w:rPr>
              <w:t>Critère de sobriété présent dans chacune des quatre grilles de comparaison, et décision de ne pas suréquiper le projet à sa volumétrie actuelle.</w:t>
            </w:r>
          </w:p>
        </w:tc>
        <w:tc>
          <w:tcPr>
            <w:tcW w:type="dxa" w:w="1928"/>
            <w:shd w:val="clear" w:color="auto" w:fill="F1F5F9"/>
          </w:tcPr>
          <w:p>
            <w:pPr>
              <w:spacing w:after="0" w:line="252" w:lineRule="auto"/>
            </w:pPr>
            <w:r>
              <w:rPr>
                <w:rFonts w:ascii="Calibri" w:hAnsi="Calibri"/>
                <w:b w:val="0"/>
                <w:i w:val="0"/>
                <w:color w:val="333333"/>
                <w:sz w:val="17"/>
              </w:rPr>
              <w:t>Conforme</w:t>
            </w:r>
          </w:p>
        </w:tc>
      </w:tr>
      <w:tr>
        <w:trPr>
          <w:cantSplit/>
        </w:trPr>
        <w:tc>
          <w:tcPr>
            <w:tcW w:type="dxa" w:w="2835"/>
          </w:tcPr>
          <w:p>
            <w:pPr>
              <w:spacing w:after="0" w:line="252" w:lineRule="auto"/>
            </w:pPr>
            <w:r>
              <w:rPr>
                <w:rFonts w:ascii="Calibri" w:hAnsi="Calibri"/>
                <w:b w:val="0"/>
                <w:i w:val="0"/>
                <w:color w:val="333333"/>
                <w:sz w:val="17"/>
              </w:rPr>
              <w:t>Le système de veille contient au moins un élément d'automatisation.</w:t>
            </w:r>
          </w:p>
        </w:tc>
        <w:tc>
          <w:tcPr>
            <w:tcW w:type="dxa" w:w="4535"/>
          </w:tcPr>
          <w:p>
            <w:pPr>
              <w:spacing w:after="0" w:line="252" w:lineRule="auto"/>
            </w:pPr>
            <w:r>
              <w:rPr>
                <w:rFonts w:ascii="Calibri" w:hAnsi="Calibri"/>
                <w:b w:val="0"/>
                <w:i w:val="0"/>
                <w:color w:val="333333"/>
                <w:sz w:val="17"/>
              </w:rPr>
              <w:t xml:space="preserve">Document de veille, section 2.2 et annexe A : flux RSS agrégés dans Feedly, trois lettres d'information, abonnement aux publications de versions sur GitHub, alertes Google Scholar ; captures d'écran du dispositif en fonctionnement (17 septembre 2026).</w:t>
            </w:r>
          </w:p>
        </w:tc>
        <w:tc>
          <w:tcPr>
            <w:tcW w:type="dxa" w:w="1928"/>
          </w:tcPr>
          <w:p>
            <w:pPr>
              <w:spacing w:after="0" w:line="252" w:lineRule="auto"/>
            </w:pPr>
            <w:r>
              <w:rPr>
                <w:rFonts w:ascii="Calibri" w:hAnsi="Calibri"/>
                <w:b w:val="0"/>
                <w:i w:val="0"/>
                <w:color w:val="333333"/>
                <w:sz w:val="17"/>
              </w:rPr>
              <w:t>Conforme</w:t>
            </w:r>
          </w:p>
        </w:tc>
      </w:tr>
      <w:tr>
        <w:trPr>
          <w:cantSplit/>
        </w:trPr>
        <w:tc>
          <w:tcPr>
            <w:tcW w:type="dxa" w:w="2835"/>
            <w:shd w:val="clear" w:color="auto" w:fill="F1F5F9"/>
          </w:tcPr>
          <w:p>
            <w:pPr>
              <w:spacing w:after="0" w:line="252" w:lineRule="auto"/>
            </w:pPr>
            <w:r>
              <w:rPr>
                <w:rFonts w:ascii="Calibri" w:hAnsi="Calibri"/>
                <w:b w:val="0"/>
                <w:i w:val="0"/>
                <w:color w:val="333333"/>
                <w:sz w:val="17"/>
              </w:rPr>
              <w:t>Au moins un outil ou une méthode sélectionné est pertinent et adapté aux besoins des utilisateurs.</w:t>
            </w:r>
          </w:p>
        </w:tc>
        <w:tc>
          <w:tcPr>
            <w:tcW w:type="dxa" w:w="4535"/>
            <w:shd w:val="clear" w:color="auto" w:fill="F1F5F9"/>
          </w:tcPr>
          <w:p>
            <w:pPr>
              <w:spacing w:after="0" w:line="252" w:lineRule="auto"/>
            </w:pPr>
            <w:r>
              <w:rPr>
                <w:rFonts w:ascii="Calibri" w:hAnsi="Calibri"/>
                <w:b w:val="0"/>
                <w:i w:val="0"/>
                <w:color w:val="333333"/>
                <w:sz w:val="17"/>
              </w:rPr>
              <w:t xml:space="preserve">Pandera répond au besoin de fiabilité exprimé par la direction, Isolation Forest à celui de détection avant restitution : chaque choix part d'un besoin.</w:t>
            </w:r>
          </w:p>
        </w:tc>
        <w:tc>
          <w:tcPr>
            <w:tcW w:type="dxa" w:w="1928"/>
            <w:shd w:val="clear" w:color="auto" w:fill="F1F5F9"/>
          </w:tcPr>
          <w:p>
            <w:pPr>
              <w:spacing w:after="0" w:line="252" w:lineRule="auto"/>
            </w:pPr>
            <w:r>
              <w:rPr>
                <w:rFonts w:ascii="Calibri" w:hAnsi="Calibri"/>
                <w:b w:val="0"/>
                <w:i w:val="0"/>
                <w:color w:val="333333"/>
                <w:sz w:val="17"/>
              </w:rPr>
              <w:t>Conforme</w:t>
            </w:r>
          </w:p>
        </w:tc>
      </w:tr>
      <w:tr>
        <w:trPr>
          <w:cantSplit/>
        </w:trPr>
        <w:tc>
          <w:tcPr>
            <w:tcW w:type="dxa" w:w="2835"/>
          </w:tcPr>
          <w:p>
            <w:pPr>
              <w:spacing w:after="0" w:line="252" w:lineRule="auto"/>
            </w:pPr>
            <w:r>
              <w:rPr>
                <w:rFonts w:ascii="Calibri" w:hAnsi="Calibri"/>
                <w:b w:val="0"/>
                <w:i w:val="0"/>
                <w:color w:val="333333"/>
                <w:sz w:val="17"/>
              </w:rPr>
              <w:t>Les besoins en formation des publics non techniques sont identifiés, y compris les collaborateurs en situation de handicap.</w:t>
            </w:r>
          </w:p>
        </w:tc>
        <w:tc>
          <w:tcPr>
            <w:tcW w:type="dxa" w:w="4535"/>
          </w:tcPr>
          <w:p>
            <w:pPr>
              <w:spacing w:after="0" w:line="252" w:lineRule="auto"/>
            </w:pPr>
            <w:r>
              <w:rPr>
                <w:rFonts w:ascii="Calibri" w:hAnsi="Calibri"/>
                <w:b w:val="0"/>
                <w:i w:val="0"/>
                <w:color w:val="333333"/>
                <w:sz w:val="17"/>
              </w:rPr>
              <w:t>Cahier des charges, section 7 : quatre séquences de formation, avec public, format, durée et dispositions d'accessibilité. Guide de prise en main associé.</w:t>
            </w:r>
          </w:p>
        </w:tc>
        <w:tc>
          <w:tcPr>
            <w:tcW w:type="dxa" w:w="1928"/>
          </w:tcPr>
          <w:p>
            <w:pPr>
              <w:spacing w:after="0" w:line="252" w:lineRule="auto"/>
            </w:pPr>
            <w:r>
              <w:rPr>
                <w:rFonts w:ascii="Calibri" w:hAnsi="Calibri"/>
                <w:b w:val="0"/>
                <w:i w:val="0"/>
                <w:color w:val="333333"/>
                <w:sz w:val="17"/>
              </w:rPr>
              <w:t>Conforme</w:t>
            </w:r>
          </w:p>
        </w:tc>
      </w:tr>
      <w:tr>
        <w:trPr>
          <w:cantSplit/>
        </w:trPr>
        <w:tc>
          <w:tcPr>
            <w:tcW w:type="dxa" w:w="2835"/>
            <w:shd w:val="clear" w:color="auto" w:fill="F1F5F9"/>
          </w:tcPr>
          <w:p>
            <w:pPr>
              <w:spacing w:after="0" w:line="252" w:lineRule="auto"/>
            </w:pPr>
            <w:r>
              <w:rPr>
                <w:rFonts w:ascii="Calibri" w:hAnsi="Calibri"/>
                <w:b w:val="0"/>
                <w:i w:val="0"/>
                <w:color w:val="333333"/>
                <w:sz w:val="17"/>
              </w:rPr>
              <w:t>Les impacts des nouveaux outils et méthodes issus de la veille sont identifiés, évalués, expérimentés et documentés.</w:t>
            </w:r>
          </w:p>
        </w:tc>
        <w:tc>
          <w:tcPr>
            <w:tcW w:type="dxa" w:w="4535"/>
            <w:shd w:val="clear" w:color="auto" w:fill="F1F5F9"/>
          </w:tcPr>
          <w:p>
            <w:pPr>
              <w:spacing w:after="0" w:line="252" w:lineRule="auto"/>
            </w:pPr>
            <w:r>
              <w:rPr>
                <w:rFonts w:ascii="Calibri" w:hAnsi="Calibri"/>
                <w:b w:val="0"/>
                <w:i w:val="0"/>
                <w:color w:val="333333"/>
                <w:sz w:val="17"/>
              </w:rPr>
              <w:t>Le notebook constitue le POC : chaque axe y est expérimenté, mesuré et tranché. La documentation de la démarche journalise les essais.</w:t>
            </w:r>
          </w:p>
        </w:tc>
        <w:tc>
          <w:tcPr>
            <w:tcW w:type="dxa" w:w="1928"/>
            <w:shd w:val="clear" w:color="auto" w:fill="F1F5F9"/>
          </w:tcPr>
          <w:p>
            <w:pPr>
              <w:spacing w:after="0" w:line="252" w:lineRule="auto"/>
            </w:pPr>
            <w:r>
              <w:rPr>
                <w:rFonts w:ascii="Calibri" w:hAnsi="Calibri"/>
                <w:b w:val="0"/>
                <w:i w:val="0"/>
                <w:color w:val="333333"/>
                <w:sz w:val="17"/>
              </w:rPr>
              <w:t>Conforme</w:t>
            </w:r>
          </w:p>
        </w:tc>
      </w:tr>
    </w:tbl>
    <w:p>
      <w:pPr>
        <w:spacing w:after="40"/>
      </w:pPr>
    </w:p>
    <w:p>
      <w:pPr>
        <w:pStyle w:val="Heading2"/>
      </w:pPr>
      <w:bookmarkStart w:id="7007" w:name="_TocP130007"/>
      <w:r>
        <w:t>3.2 Identification du besoin métier</w:t>
      </w:r>
      <w:bookmarkEnd w:id="7007"/>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2835"/>
            <w:shd w:val="clear" w:color="auto" w:fill="1F2937"/>
          </w:tcPr>
          <w:p>
            <w:pPr>
              <w:spacing w:after="0"/>
            </w:pPr>
            <w:r>
              <w:rPr>
                <w:rFonts w:ascii="Calibri" w:hAnsi="Calibri"/>
                <w:b/>
                <w:color w:val="FFFFFF"/>
                <w:sz w:val="17"/>
              </w:rPr>
              <w:t>Indicateur officiel</w:t>
            </w:r>
          </w:p>
        </w:tc>
        <w:tc>
          <w:tcPr>
            <w:tcW w:type="dxa" w:w="4535"/>
            <w:shd w:val="clear" w:color="auto" w:fill="1F2937"/>
          </w:tcPr>
          <w:p>
            <w:pPr>
              <w:spacing w:after="0"/>
            </w:pPr>
            <w:r>
              <w:rPr>
                <w:rFonts w:ascii="Calibri" w:hAnsi="Calibri"/>
                <w:b/>
                <w:color w:val="FFFFFF"/>
                <w:sz w:val="17"/>
              </w:rPr>
              <w:t>Preuve, avec sa localisation</w:t>
            </w:r>
          </w:p>
        </w:tc>
        <w:tc>
          <w:tcPr>
            <w:tcW w:type="dxa" w:w="1928"/>
            <w:shd w:val="clear" w:color="auto" w:fill="1F2937"/>
          </w:tcPr>
          <w:p>
            <w:pPr>
              <w:spacing w:after="0"/>
            </w:pPr>
            <w:r>
              <w:rPr>
                <w:rFonts w:ascii="Calibri" w:hAnsi="Calibri"/>
                <w:b/>
                <w:color w:val="FFFFFF"/>
                <w:sz w:val="17"/>
              </w:rPr>
              <w:t>Statut d'audit</w:t>
            </w:r>
          </w:p>
        </w:tc>
      </w:tr>
      <w:tr>
        <w:trPr>
          <w:cantSplit/>
        </w:trPr>
        <w:tc>
          <w:tcPr>
            <w:tcW w:type="dxa" w:w="2835"/>
          </w:tcPr>
          <w:p>
            <w:pPr>
              <w:spacing w:after="0" w:line="252" w:lineRule="auto"/>
            </w:pPr>
            <w:r>
              <w:rPr>
                <w:rFonts w:ascii="Calibri" w:hAnsi="Calibri"/>
                <w:b w:val="0"/>
                <w:i w:val="0"/>
                <w:color w:val="333333"/>
                <w:sz w:val="17"/>
              </w:rPr>
              <w:t>La prise en compte d'un environnement complexe et changeant est démontrée.</w:t>
            </w:r>
          </w:p>
        </w:tc>
        <w:tc>
          <w:tcPr>
            <w:tcW w:type="dxa" w:w="4535"/>
          </w:tcPr>
          <w:p>
            <w:pPr>
              <w:spacing w:after="0" w:line="252" w:lineRule="auto"/>
            </w:pPr>
            <w:r>
              <w:rPr>
                <w:rFonts w:ascii="Calibri" w:hAnsi="Calibri"/>
                <w:b w:val="0"/>
                <w:i w:val="0"/>
                <w:color w:val="333333"/>
                <w:sz w:val="17"/>
              </w:rPr>
              <w:t>Cahier des charges, section 1 : deux systèmes hétérogènes, deux identifiants distincts, qualité inégale, croissance attendue du référentiel et projet d'unification de l'ERP.</w:t>
            </w:r>
          </w:p>
        </w:tc>
        <w:tc>
          <w:tcPr>
            <w:tcW w:type="dxa" w:w="1928"/>
          </w:tcPr>
          <w:p>
            <w:pPr>
              <w:spacing w:after="0" w:line="252" w:lineRule="auto"/>
            </w:pPr>
            <w:r>
              <w:rPr>
                <w:rFonts w:ascii="Calibri" w:hAnsi="Calibri"/>
                <w:b w:val="0"/>
                <w:i w:val="0"/>
                <w:color w:val="333333"/>
                <w:sz w:val="17"/>
              </w:rPr>
              <w:t>Conforme</w:t>
            </w:r>
          </w:p>
        </w:tc>
      </w:tr>
      <w:tr>
        <w:trPr>
          <w:cantSplit/>
        </w:trPr>
        <w:tc>
          <w:tcPr>
            <w:tcW w:type="dxa" w:w="2835"/>
            <w:shd w:val="clear" w:color="auto" w:fill="F1F5F9"/>
          </w:tcPr>
          <w:p>
            <w:pPr>
              <w:spacing w:after="0" w:line="252" w:lineRule="auto"/>
            </w:pPr>
            <w:r>
              <w:rPr>
                <w:rFonts w:ascii="Calibri" w:hAnsi="Calibri"/>
                <w:b w:val="0"/>
                <w:i w:val="0"/>
                <w:color w:val="333333"/>
                <w:sz w:val="17"/>
              </w:rPr>
              <w:t>Le besoin métier est reformulé en tenant compte des contraintes internes et externes et des spécificités fonctionnelles.</w:t>
            </w:r>
          </w:p>
        </w:tc>
        <w:tc>
          <w:tcPr>
            <w:tcW w:type="dxa" w:w="4535"/>
            <w:shd w:val="clear" w:color="auto" w:fill="F1F5F9"/>
          </w:tcPr>
          <w:p>
            <w:pPr>
              <w:spacing w:after="0" w:line="252" w:lineRule="auto"/>
            </w:pPr>
            <w:r>
              <w:rPr>
                <w:rFonts w:ascii="Calibri" w:hAnsi="Calibri"/>
                <w:b w:val="0"/>
                <w:i w:val="0"/>
                <w:color w:val="333333"/>
                <w:sz w:val="17"/>
              </w:rPr>
              <w:t>Cahier des charges, sections 2 et 4 : problématique en une question et besoin reformulé en une phrase, puis tableau des neuf contraintes et de la réponse apportée à chacune.</w:t>
            </w:r>
          </w:p>
        </w:tc>
        <w:tc>
          <w:tcPr>
            <w:tcW w:type="dxa" w:w="1928"/>
            <w:shd w:val="clear" w:color="auto" w:fill="F1F5F9"/>
          </w:tcPr>
          <w:p>
            <w:pPr>
              <w:spacing w:after="0" w:line="252" w:lineRule="auto"/>
            </w:pPr>
            <w:r>
              <w:rPr>
                <w:rFonts w:ascii="Calibri" w:hAnsi="Calibri"/>
                <w:b w:val="0"/>
                <w:i w:val="0"/>
                <w:color w:val="333333"/>
                <w:sz w:val="17"/>
              </w:rPr>
              <w:t>Conforme</w:t>
            </w:r>
          </w:p>
        </w:tc>
      </w:tr>
      <w:tr>
        <w:trPr>
          <w:cantSplit/>
        </w:trPr>
        <w:tc>
          <w:tcPr>
            <w:tcW w:type="dxa" w:w="2835"/>
          </w:tcPr>
          <w:p>
            <w:pPr>
              <w:spacing w:after="0" w:line="252" w:lineRule="auto"/>
            </w:pPr>
            <w:r>
              <w:rPr>
                <w:rFonts w:ascii="Calibri" w:hAnsi="Calibri"/>
                <w:b w:val="0"/>
                <w:i w:val="0"/>
                <w:color w:val="333333"/>
                <w:sz w:val="17"/>
              </w:rPr>
              <w:t>Les éléments prioritaires du projet sont identifiés.</w:t>
            </w:r>
          </w:p>
        </w:tc>
        <w:tc>
          <w:tcPr>
            <w:tcW w:type="dxa" w:w="4535"/>
          </w:tcPr>
          <w:p>
            <w:pPr>
              <w:spacing w:after="0" w:line="252" w:lineRule="auto"/>
            </w:pPr>
            <w:r>
              <w:rPr>
                <w:rFonts w:ascii="Calibri" w:hAnsi="Calibri"/>
                <w:b w:val="0"/>
                <w:i w:val="0"/>
                <w:color w:val="333333"/>
                <w:sz w:val="17"/>
              </w:rPr>
              <w:t>Cahier des charges, section 2.2 : cinq priorités numérotées de P1 à P5, ordonnées et motivées.</w:t>
            </w:r>
          </w:p>
        </w:tc>
        <w:tc>
          <w:tcPr>
            <w:tcW w:type="dxa" w:w="1928"/>
          </w:tcPr>
          <w:p>
            <w:pPr>
              <w:spacing w:after="0" w:line="252" w:lineRule="auto"/>
            </w:pPr>
            <w:r>
              <w:rPr>
                <w:rFonts w:ascii="Calibri" w:hAnsi="Calibri"/>
                <w:b w:val="0"/>
                <w:i w:val="0"/>
                <w:color w:val="333333"/>
                <w:sz w:val="17"/>
              </w:rPr>
              <w:t>Conforme</w:t>
            </w:r>
          </w:p>
        </w:tc>
      </w:tr>
      <w:tr>
        <w:trPr>
          <w:cantSplit/>
        </w:trPr>
        <w:tc>
          <w:tcPr>
            <w:tcW w:type="dxa" w:w="2835"/>
            <w:shd w:val="clear" w:color="auto" w:fill="F1F5F9"/>
          </w:tcPr>
          <w:p>
            <w:pPr>
              <w:spacing w:after="0" w:line="252" w:lineRule="auto"/>
            </w:pPr>
            <w:r>
              <w:rPr>
                <w:rFonts w:ascii="Calibri" w:hAnsi="Calibri"/>
                <w:b w:val="0"/>
                <w:i w:val="0"/>
                <w:color w:val="333333"/>
                <w:sz w:val="17"/>
              </w:rPr>
              <w:t>L'analyse du besoin clarifie les objectifs et les enjeux et permet de cadrer le projet.</w:t>
            </w:r>
          </w:p>
        </w:tc>
        <w:tc>
          <w:tcPr>
            <w:tcW w:type="dxa" w:w="4535"/>
            <w:shd w:val="clear" w:color="auto" w:fill="F1F5F9"/>
          </w:tcPr>
          <w:p>
            <w:pPr>
              <w:spacing w:after="0" w:line="252" w:lineRule="auto"/>
            </w:pPr>
            <w:r>
              <w:rPr>
                <w:rFonts w:ascii="Calibri" w:hAnsi="Calibri"/>
                <w:b w:val="0"/>
                <w:i w:val="0"/>
                <w:color w:val="333333"/>
                <w:sz w:val="17"/>
              </w:rPr>
              <w:t xml:space="preserve">Cahier des charges, section 2.1 : cinq objectifs, chacun rattaché à un enjeu métier et à la conséquence d'un échec ; les indicateurs sont en section 5.</w:t>
            </w:r>
          </w:p>
        </w:tc>
        <w:tc>
          <w:tcPr>
            <w:tcW w:type="dxa" w:w="1928"/>
            <w:shd w:val="clear" w:color="auto" w:fill="F1F5F9"/>
          </w:tcPr>
          <w:p>
            <w:pPr>
              <w:spacing w:after="0" w:line="252" w:lineRule="auto"/>
            </w:pPr>
            <w:r>
              <w:rPr>
                <w:rFonts w:ascii="Calibri" w:hAnsi="Calibri"/>
                <w:b w:val="0"/>
                <w:i w:val="0"/>
                <w:color w:val="333333"/>
                <w:sz w:val="17"/>
              </w:rPr>
              <w:t>Conforme</w:t>
            </w:r>
          </w:p>
        </w:tc>
      </w:tr>
    </w:tbl>
    <w:p>
      <w:pPr>
        <w:spacing w:after="40"/>
      </w:pPr>
    </w:p>
    <w:p>
      <w:pPr>
        <w:pStyle w:val="Heading2"/>
      </w:pPr>
      <w:bookmarkStart w:id="7008" w:name="_TocP130008"/>
      <w:r>
        <w:t xml:space="preserve">3.3 Formalisation du cahier des charges fonctionnel</w:t>
      </w:r>
      <w:bookmarkEnd w:id="7008"/>
    </w:p>
    <w:p>
      <w:r>
        <w:rPr>
          <w:rFonts w:ascii="Calibri" w:hAnsi="Calibri"/>
          <w:b w:val="0"/>
          <w:i w:val="0"/>
          <w:color w:val="333333"/>
          <w:sz w:val="21"/>
        </w:rPr>
        <w:t xml:space="preserve">Bloc ajouté le 17 septembre 2026. La grille officielle du projet, dans sa version en vigueur, comporte quatre indicateurs propres au cahier des charges fonctionnel, en plus des huit de veille et des quatre d'identification du besoin.</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2600"/>
        <w:gridCol w:w="4200"/>
        <w:gridCol w:w="2498"/>
      </w:tblGrid>
      <w:tr>
        <w:trPr>
          <w:cantSplit/>
          <w:tblHeader w:val="true"/>
        </w:trPr>
        <w:tc>
          <w:tcPr>
            <w:tcW w:type="dxa" w:w="2600"/>
            <w:shd w:val="clear" w:color="auto" w:fill="1F2937"/>
          </w:tcPr>
          <w:p>
            <w:pPr>
              <w:spacing w:after="0"/>
            </w:pPr>
            <w:r>
              <w:rPr>
                <w:rFonts w:ascii="Calibri" w:hAnsi="Calibri"/>
                <w:b/>
                <w:color w:val="FFFFFF"/>
                <w:sz w:val="18"/>
              </w:rPr>
              <w:t xml:space="preserve">Indicateur officiel</w:t>
            </w:r>
          </w:p>
        </w:tc>
        <w:tc>
          <w:tcPr>
            <w:tcW w:type="dxa" w:w="4200"/>
            <w:shd w:val="clear" w:color="auto" w:fill="1F2937"/>
          </w:tcPr>
          <w:p>
            <w:pPr>
              <w:spacing w:after="0"/>
            </w:pPr>
            <w:r>
              <w:rPr>
                <w:rFonts w:ascii="Calibri" w:hAnsi="Calibri"/>
                <w:b/>
                <w:color w:val="FFFFFF"/>
                <w:sz w:val="18"/>
              </w:rPr>
              <w:t xml:space="preserve">Preuve, avec sa localisation</w:t>
            </w:r>
          </w:p>
        </w:tc>
        <w:tc>
          <w:tcPr>
            <w:tcW w:type="dxa" w:w="2498"/>
            <w:shd w:val="clear" w:color="auto" w:fill="1F2937"/>
          </w:tcPr>
          <w:p>
            <w:pPr>
              <w:spacing w:after="0"/>
            </w:pPr>
            <w:r>
              <w:rPr>
                <w:rFonts w:ascii="Calibri" w:hAnsi="Calibri"/>
                <w:b/>
                <w:color w:val="FFFFFF"/>
                <w:sz w:val="18"/>
              </w:rPr>
              <w:t xml:space="preserve">Statut d'audit</w:t>
            </w:r>
          </w:p>
        </w:tc>
      </w:tr>
      <w:tr>
        <w:trPr>
          <w:cantSplit/>
        </w:trPr>
        <w:tc>
          <w:tcPr>
            <w:tcW w:type="dxa" w:w="2600"/>
          </w:tcPr>
          <w:p>
            <w:pPr>
              <w:spacing w:after="0"/>
            </w:pPr>
            <w:r>
              <w:rPr>
                <w:rFonts w:ascii="Calibri" w:hAnsi="Calibri"/>
                <w:color w:val="333333"/>
                <w:sz w:val="18"/>
              </w:rPr>
              <w:t xml:space="preserve">Le cahier des charges décrit l'état actuel, les spécificités fonctionnelles, les ressources et le budget</w:t>
            </w:r>
          </w:p>
        </w:tc>
        <w:tc>
          <w:tcPr>
            <w:tcW w:type="dxa" w:w="4200"/>
          </w:tcPr>
          <w:p>
            <w:pPr>
              <w:spacing w:after="0"/>
            </w:pPr>
            <w:r>
              <w:rPr>
                <w:rFonts w:ascii="Calibri" w:hAnsi="Calibri"/>
                <w:color w:val="333333"/>
                <w:sz w:val="18"/>
              </w:rPr>
              <w:t xml:space="preserve">Section 1 : les deux systèmes existants et le notebook du projet 6 ; section 1.1 : six dimensions de l'environnement ; sections 2.1, 2.2 et 3 : objectifs, priorités P1 à P5, périmètre traité et hors périmètre ; section 8 : cinq postes de ressources et budget, conditions de réception</w:t>
            </w:r>
          </w:p>
        </w:tc>
        <w:tc>
          <w:tcPr>
            <w:tcW w:type="dxa" w:w="2498"/>
          </w:tcPr>
          <w:p>
            <w:pPr>
              <w:spacing w:after="0"/>
            </w:pPr>
            <w:r>
              <w:rPr>
                <w:rFonts w:ascii="Calibri" w:hAnsi="Calibri"/>
                <w:color w:val="333333"/>
                <w:sz w:val="18"/>
              </w:rPr>
              <w:t xml:space="preserve">Conforme ; les spécificités fonctionnelles sont listées en section 3.1 : huit fonctionnalités, F1 à F8, chacune avec son critère d'acceptation</w:t>
            </w:r>
          </w:p>
        </w:tc>
      </w:tr>
      <w:tr>
        <w:trPr>
          <w:cantSplit/>
        </w:trPr>
        <w:tc>
          <w:tcPr>
            <w:tcW w:type="dxa" w:w="2600"/>
          </w:tcPr>
          <w:p>
            <w:pPr>
              <w:spacing w:after="0"/>
            </w:pPr>
            <w:r>
              <w:rPr>
                <w:rFonts w:ascii="Calibri" w:hAnsi="Calibri"/>
                <w:color w:val="333333"/>
                <w:sz w:val="18"/>
              </w:rPr>
              <w:t xml:space="preserve">Le cahier des charges décrit le périmètre (jalons, livrables, planning)</w:t>
            </w:r>
          </w:p>
        </w:tc>
        <w:tc>
          <w:tcPr>
            <w:tcW w:type="dxa" w:w="4200"/>
          </w:tcPr>
          <w:p>
            <w:pPr>
              <w:spacing w:after="0"/>
            </w:pPr>
            <w:r>
              <w:rPr>
                <w:rFonts w:ascii="Calibri" w:hAnsi="Calibri"/>
                <w:color w:val="333333"/>
                <w:sz w:val="18"/>
              </w:rPr>
              <w:t xml:space="preserve">Section 3 : périmètre en deux colonnes ; section 6 : cinq jalons J1 à J5 avec contenu validé, livrable de sortie et semaine ; gestion de projet, section 4 : itérations et conditions de franchissement</w:t>
            </w:r>
          </w:p>
        </w:tc>
        <w:tc>
          <w:tcPr>
            <w:tcW w:type="dxa" w:w="2498"/>
          </w:tcPr>
          <w:p>
            <w:pPr>
              <w:spacing w:after="0"/>
            </w:pPr>
            <w:r>
              <w:rPr>
                <w:rFonts w:ascii="Calibri" w:hAnsi="Calibri"/>
                <w:color w:val="333333"/>
                <w:sz w:val="18"/>
              </w:rPr>
              <w:t xml:space="preserve">Conforme ; les dates réelles des trois séances et de la soutenance figurent dans le cadrage et en section 6</w:t>
            </w:r>
          </w:p>
        </w:tc>
      </w:tr>
      <w:tr>
        <w:trPr>
          <w:cantSplit/>
        </w:trPr>
        <w:tc>
          <w:tcPr>
            <w:tcW w:type="dxa" w:w="2600"/>
          </w:tcPr>
          <w:p>
            <w:pPr>
              <w:spacing w:after="0"/>
            </w:pPr>
            <w:r>
              <w:rPr>
                <w:rFonts w:ascii="Calibri" w:hAnsi="Calibri"/>
                <w:color w:val="333333"/>
                <w:sz w:val="18"/>
              </w:rPr>
              <w:t xml:space="preserve">Le document est clair et synthétique</w:t>
            </w:r>
          </w:p>
        </w:tc>
        <w:tc>
          <w:tcPr>
            <w:tcW w:type="dxa" w:w="4200"/>
          </w:tcPr>
          <w:p>
            <w:pPr>
              <w:spacing w:after="0"/>
            </w:pPr>
            <w:r>
              <w:rPr>
                <w:rFonts w:ascii="Calibri" w:hAnsi="Calibri"/>
                <w:color w:val="333333"/>
                <w:sz w:val="18"/>
              </w:rPr>
              <w:t xml:space="preserve">Sommaire, cadrage en une page, huit sections numérotées, problématique en une question, tableaux comparatifs</w:t>
            </w:r>
          </w:p>
        </w:tc>
        <w:tc>
          <w:tcPr>
            <w:tcW w:type="dxa" w:w="2498"/>
          </w:tcPr>
          <w:p>
            <w:pPr>
              <w:spacing w:after="0"/>
            </w:pPr>
            <w:r>
              <w:rPr>
                <w:rFonts w:ascii="Calibri" w:hAnsi="Calibri"/>
                <w:color w:val="333333"/>
                <w:sz w:val="18"/>
              </w:rPr>
              <w:t xml:space="preserve">Conforme</w:t>
            </w:r>
          </w:p>
        </w:tc>
      </w:tr>
      <w:tr>
        <w:trPr>
          <w:cantSplit/>
        </w:trPr>
        <w:tc>
          <w:tcPr>
            <w:tcW w:type="dxa" w:w="2600"/>
          </w:tcPr>
          <w:p>
            <w:pPr>
              <w:spacing w:after="0"/>
            </w:pPr>
            <w:r>
              <w:rPr>
                <w:rFonts w:ascii="Calibri" w:hAnsi="Calibri"/>
                <w:color w:val="333333"/>
                <w:sz w:val="18"/>
              </w:rPr>
              <w:t xml:space="preserve">Le document respecte les bonnes pratiques bureautiques</w:t>
            </w:r>
          </w:p>
        </w:tc>
        <w:tc>
          <w:tcPr>
            <w:tcW w:type="dxa" w:w="4200"/>
          </w:tcPr>
          <w:p>
            <w:pPr>
              <w:spacing w:after="0"/>
            </w:pPr>
            <w:r>
              <w:rPr>
                <w:rFonts w:ascii="Calibri" w:hAnsi="Calibri"/>
                <w:color w:val="333333"/>
                <w:sz w:val="18"/>
              </w:rPr>
              <w:t xml:space="preserve">Page d'identification (auteur, commanditaire, objet, date, version), sommaire actualisable, pagination en pied de page, tableaux et encadrés uniformes, annexe A des documents de référence, figures numérotées dans les autres documents</w:t>
            </w:r>
          </w:p>
        </w:tc>
        <w:tc>
          <w:tcPr>
            <w:tcW w:type="dxa" w:w="2498"/>
          </w:tcPr>
          <w:p>
            <w:pPr>
              <w:spacing w:after="0"/>
            </w:pPr>
            <w:r>
              <w:rPr>
                <w:rFonts w:ascii="Calibri" w:hAnsi="Calibri"/>
                <w:color w:val="333333"/>
                <w:sz w:val="18"/>
              </w:rPr>
              <w:t xml:space="preserve">Conforme, sous réserve d'actualiser le sommaire avant l'export PDF du dépôt</w:t>
            </w:r>
          </w:p>
        </w:tc>
      </w:tr>
    </w:tbl>
    <w:p>
      <w:pPr>
        <w:spacing w:after="120"/>
      </w:pPr>
    </w:p>
    <w:p>
      <w:pPr>
        <w:pStyle w:val="Heading2"/>
      </w:pPr>
      <w:bookmarkStart w:id="7009" w:name="_TocP130009"/>
      <w:r>
        <w:t xml:space="preserve">3.4 Objectifs pédagogiques du projet</w:t>
      </w:r>
      <w:bookmarkEnd w:id="7009"/>
    </w:p>
    <w:p>
      <w:r>
        <w:rPr>
          <w:rFonts w:ascii="Calibri" w:hAnsi="Calibri"/>
          <w:b w:val="0"/>
          <w:i w:val="0"/>
          <w:color w:val="333333"/>
          <w:sz w:val="21"/>
        </w:rPr>
        <w:t xml:space="preserve">Au-delà de la grille, l'énoncé liste huit objectifs pédagogiques. Ils ne sont pas assortis d'indicateurs mais l'évaluateur s'en sert pour construire ses questions. Le tableau ci-dessous indique où chacun est démontré.</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3175"/>
            <w:shd w:val="clear" w:color="auto" w:fill="1F2937"/>
          </w:tcPr>
          <w:p>
            <w:pPr>
              <w:spacing w:after="0"/>
            </w:pPr>
            <w:r>
              <w:rPr>
                <w:rFonts w:ascii="Calibri" w:hAnsi="Calibri"/>
                <w:b/>
                <w:color w:val="FFFFFF"/>
                <w:sz w:val="17"/>
              </w:rPr>
              <w:t>Objectif pédagogique</w:t>
            </w:r>
          </w:p>
        </w:tc>
        <w:tc>
          <w:tcPr>
            <w:tcW w:type="dxa" w:w="4195"/>
            <w:shd w:val="clear" w:color="auto" w:fill="1F2937"/>
          </w:tcPr>
          <w:p>
            <w:pPr>
              <w:spacing w:after="0"/>
            </w:pPr>
            <w:r>
              <w:rPr>
                <w:rFonts w:ascii="Calibri" w:hAnsi="Calibri"/>
                <w:b/>
                <w:color w:val="FFFFFF"/>
                <w:sz w:val="17"/>
              </w:rPr>
              <w:t>Où il est démontré</w:t>
            </w:r>
          </w:p>
        </w:tc>
        <w:tc>
          <w:tcPr>
            <w:tcW w:type="dxa" w:w="1928"/>
            <w:shd w:val="clear" w:color="auto" w:fill="1F2937"/>
          </w:tcPr>
          <w:p>
            <w:pPr>
              <w:spacing w:after="0"/>
            </w:pPr>
            <w:r>
              <w:rPr>
                <w:rFonts w:ascii="Calibri" w:hAnsi="Calibri"/>
                <w:b/>
                <w:color w:val="FFFFFF"/>
                <w:sz w:val="17"/>
              </w:rPr>
              <w:t>Statut</w:t>
            </w:r>
          </w:p>
        </w:tc>
      </w:tr>
      <w:tr>
        <w:trPr>
          <w:cantSplit/>
        </w:trPr>
        <w:tc>
          <w:tcPr>
            <w:tcW w:type="dxa" w:w="3175"/>
          </w:tcPr>
          <w:p>
            <w:pPr>
              <w:spacing w:after="0" w:line="252" w:lineRule="auto"/>
            </w:pPr>
            <w:r>
              <w:rPr>
                <w:rFonts w:ascii="Calibri" w:hAnsi="Calibri"/>
                <w:b w:val="0"/>
                <w:i w:val="0"/>
                <w:color w:val="333333"/>
                <w:sz w:val="17"/>
              </w:rPr>
              <w:t>Effectuer une veille métier et technologique</w:t>
            </w:r>
          </w:p>
        </w:tc>
        <w:tc>
          <w:tcPr>
            <w:tcW w:type="dxa" w:w="4195"/>
          </w:tcPr>
          <w:p>
            <w:pPr>
              <w:spacing w:after="0" w:line="252" w:lineRule="auto"/>
            </w:pPr>
            <w:r>
              <w:rPr>
                <w:rFonts w:ascii="Calibri" w:hAnsi="Calibri"/>
                <w:b w:val="0"/>
                <w:i w:val="0"/>
                <w:color w:val="333333"/>
                <w:sz w:val="17"/>
              </w:rPr>
              <w:t xml:space="preserve">Document de veille, quatre axes, seize sources et six sources métier</w:t>
            </w:r>
          </w:p>
        </w:tc>
        <w:tc>
          <w:tcPr>
            <w:tcW w:type="dxa" w:w="1928"/>
          </w:tcPr>
          <w:p>
            <w:pPr>
              <w:spacing w:after="0" w:line="252" w:lineRule="auto"/>
            </w:pPr>
            <w:r>
              <w:rPr>
                <w:rFonts w:ascii="Calibri" w:hAnsi="Calibri"/>
                <w:b w:val="0"/>
                <w:i w:val="0"/>
                <w:color w:val="333333"/>
                <w:sz w:val="17"/>
              </w:rPr>
              <w:t>Conforme</w:t>
            </w:r>
          </w:p>
        </w:tc>
      </w:tr>
      <w:tr>
        <w:trPr>
          <w:cantSplit/>
        </w:trPr>
        <w:tc>
          <w:tcPr>
            <w:tcW w:type="dxa" w:w="3175"/>
            <w:shd w:val="clear" w:color="auto" w:fill="F1F5F9"/>
          </w:tcPr>
          <w:p>
            <w:pPr>
              <w:spacing w:after="0" w:line="252" w:lineRule="auto"/>
            </w:pPr>
            <w:r>
              <w:rPr>
                <w:rFonts w:ascii="Calibri" w:hAnsi="Calibri"/>
                <w:b w:val="0"/>
                <w:i w:val="0"/>
                <w:color w:val="333333"/>
                <w:sz w:val="17"/>
              </w:rPr>
              <w:t>Expérimenter de nouvelles méthodes d'analyse de données à travers des recherches</w:t>
            </w:r>
          </w:p>
        </w:tc>
        <w:tc>
          <w:tcPr>
            <w:tcW w:type="dxa" w:w="4195"/>
            <w:shd w:val="clear" w:color="auto" w:fill="F1F5F9"/>
          </w:tcPr>
          <w:p>
            <w:pPr>
              <w:spacing w:after="0" w:line="252" w:lineRule="auto"/>
            </w:pPr>
            <w:r>
              <w:rPr>
                <w:rFonts w:ascii="Calibri" w:hAnsi="Calibri"/>
                <w:b w:val="0"/>
                <w:i w:val="0"/>
                <w:color w:val="333333"/>
                <w:sz w:val="17"/>
              </w:rPr>
              <w:t>Notebook, étapes 3 à 5 : Isolation Forest, SHAP, moteurs alternatifs</w:t>
            </w:r>
          </w:p>
        </w:tc>
        <w:tc>
          <w:tcPr>
            <w:tcW w:type="dxa" w:w="1928"/>
            <w:shd w:val="clear" w:color="auto" w:fill="F1F5F9"/>
          </w:tcPr>
          <w:p>
            <w:pPr>
              <w:spacing w:after="0" w:line="252" w:lineRule="auto"/>
            </w:pPr>
            <w:r>
              <w:rPr>
                <w:rFonts w:ascii="Calibri" w:hAnsi="Calibri"/>
                <w:b w:val="0"/>
                <w:i w:val="0"/>
                <w:color w:val="333333"/>
                <w:sz w:val="17"/>
              </w:rPr>
              <w:t>Conforme</w:t>
            </w:r>
          </w:p>
        </w:tc>
      </w:tr>
      <w:tr>
        <w:trPr>
          <w:cantSplit/>
        </w:trPr>
        <w:tc>
          <w:tcPr>
            <w:tcW w:type="dxa" w:w="3175"/>
          </w:tcPr>
          <w:p>
            <w:pPr>
              <w:spacing w:after="0" w:line="252" w:lineRule="auto"/>
            </w:pPr>
            <w:r>
              <w:rPr>
                <w:rFonts w:ascii="Calibri" w:hAnsi="Calibri"/>
                <w:b w:val="0"/>
                <w:i w:val="0"/>
                <w:color w:val="333333"/>
                <w:sz w:val="17"/>
              </w:rPr>
              <w:t>Identifier les besoins métier en intégrant les différentes contraintes</w:t>
            </w:r>
          </w:p>
        </w:tc>
        <w:tc>
          <w:tcPr>
            <w:tcW w:type="dxa" w:w="4195"/>
          </w:tcPr>
          <w:p>
            <w:pPr>
              <w:spacing w:after="0" w:line="252" w:lineRule="auto"/>
            </w:pPr>
            <w:r>
              <w:rPr>
                <w:rFonts w:ascii="Calibri" w:hAnsi="Calibri"/>
                <w:b w:val="0"/>
                <w:i w:val="0"/>
                <w:color w:val="333333"/>
                <w:sz w:val="17"/>
              </w:rPr>
              <w:t>Cahier des charges, sections 1 à 4</w:t>
            </w:r>
          </w:p>
        </w:tc>
        <w:tc>
          <w:tcPr>
            <w:tcW w:type="dxa" w:w="1928"/>
          </w:tcPr>
          <w:p>
            <w:pPr>
              <w:spacing w:after="0" w:line="252" w:lineRule="auto"/>
            </w:pPr>
            <w:r>
              <w:rPr>
                <w:rFonts w:ascii="Calibri" w:hAnsi="Calibri"/>
                <w:b w:val="0"/>
                <w:i w:val="0"/>
                <w:color w:val="333333"/>
                <w:sz w:val="17"/>
              </w:rPr>
              <w:t>Conforme</w:t>
            </w:r>
          </w:p>
        </w:tc>
      </w:tr>
      <w:tr>
        <w:trPr>
          <w:cantSplit/>
        </w:trPr>
        <w:tc>
          <w:tcPr>
            <w:tcW w:type="dxa" w:w="3175"/>
            <w:shd w:val="clear" w:color="auto" w:fill="F1F5F9"/>
          </w:tcPr>
          <w:p>
            <w:pPr>
              <w:spacing w:after="0" w:line="252" w:lineRule="auto"/>
            </w:pPr>
            <w:r>
              <w:rPr>
                <w:rFonts w:ascii="Calibri" w:hAnsi="Calibri"/>
                <w:b w:val="0"/>
                <w:i w:val="0"/>
                <w:color w:val="333333"/>
                <w:sz w:val="17"/>
              </w:rPr>
              <w:t>Formaliser un cahier des charges fonctionnel pour cadrer les besoins et les solutions</w:t>
            </w:r>
          </w:p>
        </w:tc>
        <w:tc>
          <w:tcPr>
            <w:tcW w:type="dxa" w:w="4195"/>
            <w:shd w:val="clear" w:color="auto" w:fill="F1F5F9"/>
          </w:tcPr>
          <w:p>
            <w:pPr>
              <w:spacing w:after="0" w:line="252" w:lineRule="auto"/>
            </w:pPr>
            <w:r>
              <w:rPr>
                <w:rFonts w:ascii="Calibri" w:hAnsi="Calibri"/>
                <w:b w:val="0"/>
                <w:i w:val="0"/>
                <w:color w:val="333333"/>
                <w:sz w:val="17"/>
              </w:rPr>
              <w:t>Cahier des charges, document complet, huit sections</w:t>
            </w:r>
          </w:p>
        </w:tc>
        <w:tc>
          <w:tcPr>
            <w:tcW w:type="dxa" w:w="1928"/>
            <w:shd w:val="clear" w:color="auto" w:fill="F1F5F9"/>
          </w:tcPr>
          <w:p>
            <w:pPr>
              <w:spacing w:after="0" w:line="252" w:lineRule="auto"/>
            </w:pPr>
            <w:r>
              <w:rPr>
                <w:rFonts w:ascii="Calibri" w:hAnsi="Calibri"/>
                <w:b w:val="0"/>
                <w:i w:val="0"/>
                <w:color w:val="333333"/>
                <w:sz w:val="17"/>
              </w:rPr>
              <w:t>Conforme</w:t>
            </w:r>
          </w:p>
        </w:tc>
      </w:tr>
      <w:tr>
        <w:trPr>
          <w:cantSplit/>
        </w:trPr>
        <w:tc>
          <w:tcPr>
            <w:tcW w:type="dxa" w:w="3175"/>
          </w:tcPr>
          <w:p>
            <w:pPr>
              <w:spacing w:after="0" w:line="252" w:lineRule="auto"/>
            </w:pPr>
            <w:r>
              <w:rPr>
                <w:rFonts w:ascii="Calibri" w:hAnsi="Calibri"/>
                <w:b w:val="0"/>
                <w:i w:val="0"/>
                <w:color w:val="333333"/>
                <w:sz w:val="17"/>
              </w:rPr>
              <w:t>Organiser un projet d'analyse data grâce à des outils de gestion de projet</w:t>
            </w:r>
          </w:p>
        </w:tc>
        <w:tc>
          <w:tcPr>
            <w:tcW w:type="dxa" w:w="4195"/>
          </w:tcPr>
          <w:p>
            <w:pPr>
              <w:spacing w:after="0" w:line="252" w:lineRule="auto"/>
            </w:pPr>
            <w:r>
              <w:rPr>
                <w:rFonts w:ascii="Calibri" w:hAnsi="Calibri"/>
                <w:b w:val="0"/>
                <w:i w:val="0"/>
                <w:color w:val="333333"/>
                <w:sz w:val="17"/>
              </w:rPr>
              <w:t>Document de gestion de projet : lots, backlog, Kanban tenu dans Notion et GitHub Projects (captures en section 3), frise datée des jalons, registre des risques</w:t>
            </w:r>
          </w:p>
        </w:tc>
        <w:tc>
          <w:tcPr>
            <w:tcW w:type="dxa" w:w="1928"/>
          </w:tcPr>
          <w:p>
            <w:pPr>
              <w:spacing w:after="0" w:line="252" w:lineRule="auto"/>
            </w:pPr>
            <w:r>
              <w:rPr>
                <w:rFonts w:ascii="Calibri" w:hAnsi="Calibri"/>
                <w:b w:val="0"/>
                <w:i w:val="0"/>
                <w:color w:val="333333"/>
                <w:sz w:val="17"/>
              </w:rPr>
              <w:t>Conforme</w:t>
            </w:r>
          </w:p>
        </w:tc>
      </w:tr>
      <w:tr>
        <w:trPr>
          <w:cantSplit/>
        </w:trPr>
        <w:tc>
          <w:tcPr>
            <w:tcW w:type="dxa" w:w="3175"/>
            <w:shd w:val="clear" w:color="auto" w:fill="F1F5F9"/>
          </w:tcPr>
          <w:p>
            <w:pPr>
              <w:spacing w:after="0" w:line="252" w:lineRule="auto"/>
            </w:pPr>
            <w:r>
              <w:rPr>
                <w:rFonts w:ascii="Calibri" w:hAnsi="Calibri"/>
                <w:b w:val="0"/>
                <w:i w:val="0"/>
                <w:color w:val="333333"/>
                <w:sz w:val="17"/>
              </w:rPr>
              <w:t>Formaliser les procédures de documentation pour assurer une gestion fiable</w:t>
            </w:r>
          </w:p>
        </w:tc>
        <w:tc>
          <w:tcPr>
            <w:tcW w:type="dxa" w:w="4195"/>
            <w:shd w:val="clear" w:color="auto" w:fill="F1F5F9"/>
          </w:tcPr>
          <w:p>
            <w:pPr>
              <w:spacing w:after="0" w:line="252" w:lineRule="auto"/>
            </w:pPr>
            <w:r>
              <w:rPr>
                <w:rFonts w:ascii="Calibri" w:hAnsi="Calibri"/>
                <w:b w:val="0"/>
                <w:i w:val="0"/>
                <w:color w:val="333333"/>
                <w:sz w:val="17"/>
              </w:rPr>
              <w:t xml:space="preserve">Documentation de la démarche, section 8 : procédure de documentation écrite, avec règles de nommage, de versionnage et de journalisation des essais</w:t>
            </w:r>
          </w:p>
        </w:tc>
        <w:tc>
          <w:tcPr>
            <w:tcW w:type="dxa" w:w="1928"/>
            <w:shd w:val="clear" w:color="auto" w:fill="F1F5F9"/>
          </w:tcPr>
          <w:p>
            <w:pPr>
              <w:spacing w:after="0" w:line="252" w:lineRule="auto"/>
            </w:pPr>
            <w:r>
              <w:rPr>
                <w:rFonts w:ascii="Calibri" w:hAnsi="Calibri"/>
                <w:b w:val="0"/>
                <w:i w:val="0"/>
                <w:color w:val="333333"/>
                <w:sz w:val="17"/>
              </w:rPr>
              <w:t xml:space="preserve">Corrigé au premier passage</w:t>
            </w:r>
          </w:p>
        </w:tc>
      </w:tr>
      <w:tr>
        <w:trPr>
          <w:cantSplit/>
        </w:trPr>
        <w:tc>
          <w:tcPr>
            <w:tcW w:type="dxa" w:w="3175"/>
          </w:tcPr>
          <w:p>
            <w:pPr>
              <w:spacing w:after="0" w:line="252" w:lineRule="auto"/>
            </w:pPr>
            <w:r>
              <w:rPr>
                <w:rFonts w:ascii="Calibri" w:hAnsi="Calibri"/>
                <w:b w:val="0"/>
                <w:i w:val="0"/>
                <w:color w:val="333333"/>
                <w:sz w:val="17"/>
              </w:rPr>
              <w:t>Accompagner les équipes sur la prise en main des outils</w:t>
            </w:r>
          </w:p>
        </w:tc>
        <w:tc>
          <w:tcPr>
            <w:tcW w:type="dxa" w:w="4195"/>
          </w:tcPr>
          <w:p>
            <w:pPr>
              <w:spacing w:after="0" w:line="252" w:lineRule="auto"/>
            </w:pPr>
            <w:r>
              <w:rPr>
                <w:rFonts w:ascii="Calibri" w:hAnsi="Calibri"/>
                <w:b w:val="0"/>
                <w:i w:val="0"/>
                <w:color w:val="333333"/>
                <w:sz w:val="17"/>
              </w:rPr>
              <w:t>Cahier des charges, section 7, complétée par un guide de prise en main en langage métier</w:t>
            </w:r>
          </w:p>
        </w:tc>
        <w:tc>
          <w:tcPr>
            <w:tcW w:type="dxa" w:w="1928"/>
          </w:tcPr>
          <w:p>
            <w:pPr>
              <w:spacing w:after="0" w:line="252" w:lineRule="auto"/>
            </w:pPr>
            <w:r>
              <w:rPr>
                <w:rFonts w:ascii="Calibri" w:hAnsi="Calibri"/>
                <w:b w:val="0"/>
                <w:i w:val="0"/>
                <w:color w:val="333333"/>
                <w:sz w:val="17"/>
              </w:rPr>
              <w:t xml:space="preserve">Corrigé au premier passage</w:t>
            </w:r>
          </w:p>
        </w:tc>
      </w:tr>
      <w:tr>
        <w:trPr>
          <w:cantSplit/>
        </w:trPr>
        <w:tc>
          <w:tcPr>
            <w:tcW w:type="dxa" w:w="3175"/>
            <w:shd w:val="clear" w:color="auto" w:fill="F1F5F9"/>
          </w:tcPr>
          <w:p>
            <w:pPr>
              <w:spacing w:after="0" w:line="252" w:lineRule="auto"/>
            </w:pPr>
            <w:r>
              <w:rPr>
                <w:rFonts w:ascii="Calibri" w:hAnsi="Calibri"/>
                <w:b w:val="0"/>
                <w:i w:val="0"/>
                <w:color w:val="333333"/>
                <w:sz w:val="17"/>
              </w:rPr>
              <w:t>Adapter sa posture de professionnel en se positionnant comme consultant</w:t>
            </w:r>
          </w:p>
        </w:tc>
        <w:tc>
          <w:tcPr>
            <w:tcW w:type="dxa" w:w="4195"/>
            <w:shd w:val="clear" w:color="auto" w:fill="F1F5F9"/>
          </w:tcPr>
          <w:p>
            <w:pPr>
              <w:spacing w:after="0" w:line="252" w:lineRule="auto"/>
            </w:pPr>
            <w:r>
              <w:rPr>
                <w:rFonts w:ascii="Calibri" w:hAnsi="Calibri"/>
                <w:b w:val="0"/>
                <w:i w:val="0"/>
                <w:color w:val="333333"/>
                <w:sz w:val="17"/>
              </w:rPr>
              <w:t xml:space="preserve">Documentation de la démarche, section 9 : posture de conseil, et script oral de soutenance</w:t>
            </w:r>
          </w:p>
        </w:tc>
        <w:tc>
          <w:tcPr>
            <w:tcW w:type="dxa" w:w="1928"/>
            <w:shd w:val="clear" w:color="auto" w:fill="F1F5F9"/>
          </w:tcPr>
          <w:p>
            <w:pPr>
              <w:spacing w:after="0" w:line="252" w:lineRule="auto"/>
            </w:pPr>
            <w:r>
              <w:rPr>
                <w:rFonts w:ascii="Calibri" w:hAnsi="Calibri"/>
                <w:b w:val="0"/>
                <w:i w:val="0"/>
                <w:color w:val="333333"/>
                <w:sz w:val="17"/>
              </w:rPr>
              <w:t xml:space="preserve">Corrigé au premier passage</w:t>
            </w:r>
          </w:p>
        </w:tc>
      </w:tr>
    </w:tbl>
    <w:p>
      <w:pPr>
        <w:spacing w:after="40"/>
      </w:pPr>
    </w:p>
    <w:p>
      <w:pPr>
        <w:pStyle w:val="Heading1"/>
      </w:pPr>
      <w:bookmarkStart w:id="7010" w:name="_TocP130010"/>
      <w:r>
        <w:t>4. Contrôle des chiffres publiés</w:t>
      </w:r>
      <w:bookmarkEnd w:id="7010"/>
    </w:p>
    <w:p>
      <w:r>
        <w:rPr>
          <w:rFonts w:ascii="Calibri" w:hAnsi="Calibri"/>
          <w:b w:val="0"/>
          <w:i w:val="0"/>
          <w:color w:val="333333"/>
          <w:sz w:val="21"/>
        </w:rPr>
        <w:t xml:space="preserve">Le notebook a été réexécuté intégralement pour l'audit, sur une machine différente de celle de la première ébauche, avec les mêmes fichiers sources et la même graine aléatoire. Cette double exécution sépare nettement ce qui est reproductible de ce qui dépend du matériel.</w:t>
      </w:r>
    </w:p>
    <w:p>
      <w:pPr>
        <w:pStyle w:val="Heading2"/>
      </w:pPr>
      <w:bookmarkStart w:id="7011" w:name="_TocP130011"/>
      <w:r>
        <w:t>4.1 Résultats déterministes, confirmés à l'identique</w:t>
      </w:r>
      <w:bookmarkEnd w:id="7011"/>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2324"/>
        <w:gridCol w:w="2324"/>
        <w:gridCol w:w="2324"/>
        <w:gridCol w:w="2324"/>
      </w:tblGrid>
      <w:tr>
        <w:trPr>
          <w:cantSplit/>
          <w:tblHeader w:val="true"/>
        </w:trPr>
        <w:tc>
          <w:tcPr>
            <w:tcW w:type="dxa" w:w="3628"/>
            <w:shd w:val="clear" w:color="auto" w:fill="1F2937"/>
          </w:tcPr>
          <w:p>
            <w:pPr>
              <w:spacing w:after="0"/>
            </w:pPr>
            <w:r>
              <w:rPr>
                <w:rFonts w:ascii="Calibri" w:hAnsi="Calibri"/>
                <w:b/>
                <w:color w:val="FFFFFF"/>
                <w:sz w:val="17"/>
              </w:rPr>
              <w:t>Indicateur</w:t>
            </w:r>
          </w:p>
        </w:tc>
        <w:tc>
          <w:tcPr>
            <w:tcW w:type="dxa" w:w="1928"/>
            <w:shd w:val="clear" w:color="auto" w:fill="1F2937"/>
          </w:tcPr>
          <w:p>
            <w:pPr>
              <w:spacing w:after="0"/>
            </w:pPr>
            <w:r>
              <w:rPr>
                <w:rFonts w:ascii="Calibri" w:hAnsi="Calibri"/>
                <w:b/>
                <w:color w:val="FFFFFF"/>
                <w:sz w:val="17"/>
              </w:rPr>
              <w:t>Valeur publiée</w:t>
            </w:r>
          </w:p>
        </w:tc>
        <w:tc>
          <w:tcPr>
            <w:tcW w:type="dxa" w:w="1928"/>
            <w:shd w:val="clear" w:color="auto" w:fill="1F2937"/>
          </w:tcPr>
          <w:p>
            <w:pPr>
              <w:spacing w:after="0"/>
            </w:pPr>
            <w:r>
              <w:rPr>
                <w:rFonts w:ascii="Calibri" w:hAnsi="Calibri"/>
                <w:b/>
                <w:color w:val="FFFFFF"/>
                <w:sz w:val="17"/>
              </w:rPr>
              <w:t>Valeur réexécutée</w:t>
            </w:r>
          </w:p>
        </w:tc>
        <w:tc>
          <w:tcPr>
            <w:tcW w:type="dxa" w:w="1814"/>
            <w:shd w:val="clear" w:color="auto" w:fill="1F2937"/>
          </w:tcPr>
          <w:p>
            <w:pPr>
              <w:spacing w:after="0"/>
            </w:pPr>
            <w:r>
              <w:rPr>
                <w:rFonts w:ascii="Calibri" w:hAnsi="Calibri"/>
                <w:b/>
                <w:color w:val="FFFFFF"/>
                <w:sz w:val="17"/>
              </w:rPr>
              <w:t>Verdict</w:t>
            </w:r>
          </w:p>
        </w:tc>
      </w:tr>
      <w:tr>
        <w:trPr>
          <w:cantSplit/>
        </w:trPr>
        <w:tc>
          <w:tcPr>
            <w:tcW w:type="dxa" w:w="3628"/>
          </w:tcPr>
          <w:p>
            <w:pPr>
              <w:spacing w:after="0" w:line="252" w:lineRule="auto"/>
            </w:pPr>
            <w:r>
              <w:rPr>
                <w:rFonts w:ascii="Calibri" w:hAnsi="Calibri"/>
                <w:b w:val="0"/>
                <w:i w:val="0"/>
                <w:color w:val="333333"/>
                <w:sz w:val="17"/>
              </w:rPr>
              <w:t>Lignes du fichier ERP</w:t>
            </w:r>
          </w:p>
        </w:tc>
        <w:tc>
          <w:tcPr>
            <w:tcW w:type="dxa" w:w="1928"/>
          </w:tcPr>
          <w:p>
            <w:pPr>
              <w:spacing w:after="0" w:line="252" w:lineRule="auto"/>
            </w:pPr>
            <w:r>
              <w:rPr>
                <w:rFonts w:ascii="Calibri" w:hAnsi="Calibri"/>
                <w:b w:val="0"/>
                <w:i w:val="0"/>
                <w:color w:val="333333"/>
                <w:sz w:val="17"/>
              </w:rPr>
              <w:t>825</w:t>
            </w:r>
          </w:p>
        </w:tc>
        <w:tc>
          <w:tcPr>
            <w:tcW w:type="dxa" w:w="1928"/>
          </w:tcPr>
          <w:p>
            <w:pPr>
              <w:spacing w:after="0" w:line="252" w:lineRule="auto"/>
            </w:pPr>
            <w:r>
              <w:rPr>
                <w:rFonts w:ascii="Calibri" w:hAnsi="Calibri"/>
                <w:b w:val="0"/>
                <w:i w:val="0"/>
                <w:color w:val="333333"/>
                <w:sz w:val="17"/>
              </w:rPr>
              <w:t>825</w:t>
            </w:r>
          </w:p>
        </w:tc>
        <w:tc>
          <w:tcPr>
            <w:tcW w:type="dxa" w:w="1814"/>
          </w:tcPr>
          <w:p>
            <w:pPr>
              <w:spacing w:after="0" w:line="252" w:lineRule="auto"/>
            </w:pPr>
            <w:r>
              <w:rPr>
                <w:rFonts w:ascii="Calibri" w:hAnsi="Calibri"/>
                <w:b w:val="0"/>
                <w:i w:val="0"/>
                <w:color w:val="333333"/>
                <w:sz w:val="17"/>
              </w:rPr>
              <w:t>Confirmé</w:t>
            </w:r>
          </w:p>
        </w:tc>
      </w:tr>
      <w:tr>
        <w:trPr>
          <w:cantSplit/>
        </w:trPr>
        <w:tc>
          <w:tcPr>
            <w:tcW w:type="dxa" w:w="3628"/>
            <w:shd w:val="clear" w:color="auto" w:fill="F1F5F9"/>
          </w:tcPr>
          <w:p>
            <w:pPr>
              <w:spacing w:after="0" w:line="252" w:lineRule="auto"/>
            </w:pPr>
            <w:r>
              <w:rPr>
                <w:rFonts w:ascii="Calibri" w:hAnsi="Calibri"/>
                <w:b w:val="0"/>
                <w:i w:val="0"/>
                <w:color w:val="333333"/>
                <w:sz w:val="17"/>
              </w:rPr>
              <w:t>Lignes du fichier web</w:t>
            </w:r>
          </w:p>
        </w:tc>
        <w:tc>
          <w:tcPr>
            <w:tcW w:type="dxa" w:w="1928"/>
            <w:shd w:val="clear" w:color="auto" w:fill="F1F5F9"/>
          </w:tcPr>
          <w:p>
            <w:pPr>
              <w:spacing w:after="0" w:line="252" w:lineRule="auto"/>
            </w:pPr>
            <w:r>
              <w:rPr>
                <w:rFonts w:ascii="Calibri" w:hAnsi="Calibri"/>
                <w:b w:val="0"/>
                <w:i w:val="0"/>
                <w:color w:val="333333"/>
                <w:sz w:val="17"/>
              </w:rPr>
              <w:t>1 513</w:t>
            </w:r>
          </w:p>
        </w:tc>
        <w:tc>
          <w:tcPr>
            <w:tcW w:type="dxa" w:w="1928"/>
            <w:shd w:val="clear" w:color="auto" w:fill="F1F5F9"/>
          </w:tcPr>
          <w:p>
            <w:pPr>
              <w:spacing w:after="0" w:line="252" w:lineRule="auto"/>
            </w:pPr>
            <w:r>
              <w:rPr>
                <w:rFonts w:ascii="Calibri" w:hAnsi="Calibri"/>
                <w:b w:val="0"/>
                <w:i w:val="0"/>
                <w:color w:val="333333"/>
                <w:sz w:val="17"/>
              </w:rPr>
              <w:t>1 513</w:t>
            </w:r>
          </w:p>
        </w:tc>
        <w:tc>
          <w:tcPr>
            <w:tcW w:type="dxa" w:w="1814"/>
            <w:shd w:val="clear" w:color="auto" w:fill="F1F5F9"/>
          </w:tcPr>
          <w:p>
            <w:pPr>
              <w:spacing w:after="0" w:line="252" w:lineRule="auto"/>
            </w:pPr>
            <w:r>
              <w:rPr>
                <w:rFonts w:ascii="Calibri" w:hAnsi="Calibri"/>
                <w:b w:val="0"/>
                <w:i w:val="0"/>
                <w:color w:val="333333"/>
                <w:sz w:val="17"/>
              </w:rPr>
              <w:t>Confirmé</w:t>
            </w:r>
          </w:p>
        </w:tc>
      </w:tr>
      <w:tr>
        <w:trPr>
          <w:cantSplit/>
        </w:trPr>
        <w:tc>
          <w:tcPr>
            <w:tcW w:type="dxa" w:w="3628"/>
          </w:tcPr>
          <w:p>
            <w:pPr>
              <w:spacing w:after="0" w:line="252" w:lineRule="auto"/>
            </w:pPr>
            <w:r>
              <w:rPr>
                <w:rFonts w:ascii="Calibri" w:hAnsi="Calibri"/>
                <w:b w:val="0"/>
                <w:i w:val="0"/>
                <w:color w:val="333333"/>
                <w:sz w:val="17"/>
              </w:rPr>
              <w:t>Types d'anomalies relevés à l'audit initial</w:t>
            </w:r>
          </w:p>
        </w:tc>
        <w:tc>
          <w:tcPr>
            <w:tcW w:type="dxa" w:w="1928"/>
          </w:tcPr>
          <w:p>
            <w:pPr>
              <w:spacing w:after="0" w:line="252" w:lineRule="auto"/>
            </w:pPr>
            <w:r>
              <w:rPr>
                <w:rFonts w:ascii="Calibri" w:hAnsi="Calibri"/>
                <w:b w:val="0"/>
                <w:i w:val="0"/>
                <w:color w:val="333333"/>
                <w:sz w:val="17"/>
              </w:rPr>
              <w:t>9</w:t>
            </w:r>
          </w:p>
        </w:tc>
        <w:tc>
          <w:tcPr>
            <w:tcW w:type="dxa" w:w="1928"/>
          </w:tcPr>
          <w:p>
            <w:pPr>
              <w:spacing w:after="0" w:line="252" w:lineRule="auto"/>
            </w:pPr>
            <w:r>
              <w:rPr>
                <w:rFonts w:ascii="Calibri" w:hAnsi="Calibri"/>
                <w:b w:val="0"/>
                <w:i w:val="0"/>
                <w:color w:val="333333"/>
                <w:sz w:val="17"/>
              </w:rPr>
              <w:t>9</w:t>
            </w:r>
          </w:p>
        </w:tc>
        <w:tc>
          <w:tcPr>
            <w:tcW w:type="dxa" w:w="1814"/>
          </w:tcPr>
          <w:p>
            <w:pPr>
              <w:spacing w:after="0" w:line="252" w:lineRule="auto"/>
            </w:pPr>
            <w:r>
              <w:rPr>
                <w:rFonts w:ascii="Calibri" w:hAnsi="Calibri"/>
                <w:b w:val="0"/>
                <w:i w:val="0"/>
                <w:color w:val="333333"/>
                <w:sz w:val="17"/>
              </w:rPr>
              <w:t>Confirmé</w:t>
            </w:r>
          </w:p>
        </w:tc>
      </w:tr>
      <w:tr>
        <w:trPr>
          <w:cantSplit/>
        </w:trPr>
        <w:tc>
          <w:tcPr>
            <w:tcW w:type="dxa" w:w="3628"/>
            <w:shd w:val="clear" w:color="auto" w:fill="F1F5F9"/>
          </w:tcPr>
          <w:p>
            <w:pPr>
              <w:spacing w:after="0" w:line="252" w:lineRule="auto"/>
            </w:pPr>
            <w:r>
              <w:rPr>
                <w:rFonts w:ascii="Calibri" w:hAnsi="Calibri"/>
                <w:b w:val="0"/>
                <w:i w:val="0"/>
                <w:color w:val="333333"/>
                <w:sz w:val="17"/>
              </w:rPr>
              <w:t xml:space="preserve">Lignes ERP en infraction au contrat de qualité</w:t>
            </w:r>
          </w:p>
        </w:tc>
        <w:tc>
          <w:tcPr>
            <w:tcW w:type="dxa" w:w="1928"/>
            <w:shd w:val="clear" w:color="auto" w:fill="F1F5F9"/>
          </w:tcPr>
          <w:p>
            <w:pPr>
              <w:spacing w:after="0" w:line="252" w:lineRule="auto"/>
            </w:pPr>
            <w:r>
              <w:rPr>
                <w:rFonts w:ascii="Calibri" w:hAnsi="Calibri"/>
                <w:b w:val="0"/>
                <w:i w:val="0"/>
                <w:color w:val="333333"/>
                <w:sz w:val="17"/>
              </w:rPr>
              <w:t>9 sur 825</w:t>
            </w:r>
          </w:p>
        </w:tc>
        <w:tc>
          <w:tcPr>
            <w:tcW w:type="dxa" w:w="1928"/>
            <w:shd w:val="clear" w:color="auto" w:fill="F1F5F9"/>
          </w:tcPr>
          <w:p>
            <w:pPr>
              <w:spacing w:after="0" w:line="252" w:lineRule="auto"/>
            </w:pPr>
            <w:r>
              <w:rPr>
                <w:rFonts w:ascii="Calibri" w:hAnsi="Calibri"/>
                <w:b w:val="0"/>
                <w:i w:val="0"/>
                <w:color w:val="333333"/>
                <w:sz w:val="17"/>
              </w:rPr>
              <w:t>9 sur 825</w:t>
            </w:r>
          </w:p>
        </w:tc>
        <w:tc>
          <w:tcPr>
            <w:tcW w:type="dxa" w:w="1814"/>
            <w:shd w:val="clear" w:color="auto" w:fill="F1F5F9"/>
          </w:tcPr>
          <w:p>
            <w:pPr>
              <w:spacing w:after="0" w:line="252" w:lineRule="auto"/>
            </w:pPr>
            <w:r>
              <w:rPr>
                <w:rFonts w:ascii="Calibri" w:hAnsi="Calibri"/>
                <w:b w:val="0"/>
                <w:i w:val="0"/>
                <w:color w:val="333333"/>
                <w:sz w:val="17"/>
              </w:rPr>
              <w:t>Confirmé</w:t>
            </w:r>
          </w:p>
        </w:tc>
      </w:tr>
      <w:tr>
        <w:trPr>
          <w:cantSplit/>
        </w:trPr>
        <w:tc>
          <w:tcPr>
            <w:tcW w:type="dxa" w:w="3628"/>
          </w:tcPr>
          <w:p>
            <w:pPr>
              <w:spacing w:after="0" w:line="252" w:lineRule="auto"/>
            </w:pPr>
            <w:r>
              <w:rPr>
                <w:rFonts w:ascii="Calibri" w:hAnsi="Calibri"/>
                <w:b w:val="0"/>
                <w:i w:val="0"/>
                <w:color w:val="333333"/>
                <w:sz w:val="17"/>
              </w:rPr>
              <w:t>Produits analysables après jointure</w:t>
            </w:r>
          </w:p>
        </w:tc>
        <w:tc>
          <w:tcPr>
            <w:tcW w:type="dxa" w:w="1928"/>
          </w:tcPr>
          <w:p>
            <w:pPr>
              <w:spacing w:after="0" w:line="252" w:lineRule="auto"/>
            </w:pPr>
            <w:r>
              <w:rPr>
                <w:rFonts w:ascii="Calibri" w:hAnsi="Calibri"/>
                <w:b w:val="0"/>
                <w:i w:val="0"/>
                <w:color w:val="333333"/>
                <w:sz w:val="17"/>
              </w:rPr>
              <w:t>714</w:t>
            </w:r>
          </w:p>
        </w:tc>
        <w:tc>
          <w:tcPr>
            <w:tcW w:type="dxa" w:w="1928"/>
          </w:tcPr>
          <w:p>
            <w:pPr>
              <w:spacing w:after="0" w:line="252" w:lineRule="auto"/>
            </w:pPr>
            <w:r>
              <w:rPr>
                <w:rFonts w:ascii="Calibri" w:hAnsi="Calibri"/>
                <w:b w:val="0"/>
                <w:i w:val="0"/>
                <w:color w:val="333333"/>
                <w:sz w:val="17"/>
              </w:rPr>
              <w:t>714</w:t>
            </w:r>
          </w:p>
        </w:tc>
        <w:tc>
          <w:tcPr>
            <w:tcW w:type="dxa" w:w="1814"/>
          </w:tcPr>
          <w:p>
            <w:pPr>
              <w:spacing w:after="0" w:line="252" w:lineRule="auto"/>
            </w:pPr>
            <w:r>
              <w:rPr>
                <w:rFonts w:ascii="Calibri" w:hAnsi="Calibri"/>
                <w:b w:val="0"/>
                <w:i w:val="0"/>
                <w:color w:val="333333"/>
                <w:sz w:val="17"/>
              </w:rPr>
              <w:t>Confirmé</w:t>
            </w:r>
          </w:p>
        </w:tc>
      </w:tr>
      <w:tr>
        <w:trPr>
          <w:cantSplit/>
        </w:trPr>
        <w:tc>
          <w:tcPr>
            <w:tcW w:type="dxa" w:w="3628"/>
            <w:shd w:val="clear" w:color="auto" w:fill="F1F5F9"/>
          </w:tcPr>
          <w:p>
            <w:pPr>
              <w:spacing w:after="0" w:line="252" w:lineRule="auto"/>
            </w:pPr>
            <w:r>
              <w:rPr>
                <w:rFonts w:ascii="Calibri" w:hAnsi="Calibri"/>
                <w:b w:val="0"/>
                <w:i w:val="0"/>
                <w:color w:val="333333"/>
                <w:sz w:val="17"/>
              </w:rPr>
              <w:t>Chiffre d'affaires reconstitué</w:t>
            </w:r>
          </w:p>
        </w:tc>
        <w:tc>
          <w:tcPr>
            <w:tcW w:type="dxa" w:w="1928"/>
            <w:shd w:val="clear" w:color="auto" w:fill="F1F5F9"/>
          </w:tcPr>
          <w:p>
            <w:pPr>
              <w:spacing w:after="0" w:line="252" w:lineRule="auto"/>
            </w:pPr>
            <w:r>
              <w:rPr>
                <w:rFonts w:ascii="Calibri" w:hAnsi="Calibri"/>
                <w:b w:val="0"/>
                <w:i w:val="0"/>
                <w:color w:val="333333"/>
                <w:sz w:val="17"/>
              </w:rPr>
              <w:t xml:space="preserve">143 680 euros</w:t>
            </w:r>
          </w:p>
        </w:tc>
        <w:tc>
          <w:tcPr>
            <w:tcW w:type="dxa" w:w="1928"/>
            <w:shd w:val="clear" w:color="auto" w:fill="F1F5F9"/>
          </w:tcPr>
          <w:p>
            <w:pPr>
              <w:spacing w:after="0" w:line="252" w:lineRule="auto"/>
            </w:pPr>
            <w:r>
              <w:rPr>
                <w:rFonts w:ascii="Calibri" w:hAnsi="Calibri"/>
                <w:b w:val="0"/>
                <w:i w:val="0"/>
                <w:color w:val="333333"/>
                <w:sz w:val="17"/>
              </w:rPr>
              <w:t xml:space="preserve">143 680 euros</w:t>
            </w:r>
          </w:p>
        </w:tc>
        <w:tc>
          <w:tcPr>
            <w:tcW w:type="dxa" w:w="1814"/>
            <w:shd w:val="clear" w:color="auto" w:fill="F1F5F9"/>
          </w:tcPr>
          <w:p>
            <w:pPr>
              <w:spacing w:after="0" w:line="252" w:lineRule="auto"/>
            </w:pPr>
            <w:r>
              <w:rPr>
                <w:rFonts w:ascii="Calibri" w:hAnsi="Calibri"/>
                <w:b w:val="0"/>
                <w:i w:val="0"/>
                <w:color w:val="333333"/>
                <w:sz w:val="17"/>
              </w:rPr>
              <w:t>Confirmé</w:t>
            </w:r>
          </w:p>
        </w:tc>
      </w:tr>
      <w:tr>
        <w:trPr>
          <w:cantSplit/>
        </w:trPr>
        <w:tc>
          <w:tcPr>
            <w:tcW w:type="dxa" w:w="3628"/>
          </w:tcPr>
          <w:p>
            <w:pPr>
              <w:spacing w:after="0" w:line="252" w:lineRule="auto"/>
            </w:pPr>
            <w:r>
              <w:rPr>
                <w:rFonts w:ascii="Calibri" w:hAnsi="Calibri"/>
                <w:b w:val="0"/>
                <w:i w:val="0"/>
                <w:color w:val="333333"/>
                <w:sz w:val="17"/>
              </w:rPr>
              <w:t>Unités vendues</w:t>
            </w:r>
          </w:p>
        </w:tc>
        <w:tc>
          <w:tcPr>
            <w:tcW w:type="dxa" w:w="1928"/>
          </w:tcPr>
          <w:p>
            <w:pPr>
              <w:spacing w:after="0" w:line="252" w:lineRule="auto"/>
            </w:pPr>
            <w:r>
              <w:rPr>
                <w:rFonts w:ascii="Calibri" w:hAnsi="Calibri"/>
                <w:b w:val="0"/>
                <w:i w:val="0"/>
                <w:color w:val="333333"/>
                <w:sz w:val="17"/>
              </w:rPr>
              <w:t>5 751</w:t>
            </w:r>
          </w:p>
        </w:tc>
        <w:tc>
          <w:tcPr>
            <w:tcW w:type="dxa" w:w="1928"/>
          </w:tcPr>
          <w:p>
            <w:pPr>
              <w:spacing w:after="0" w:line="252" w:lineRule="auto"/>
            </w:pPr>
            <w:r>
              <w:rPr>
                <w:rFonts w:ascii="Calibri" w:hAnsi="Calibri"/>
                <w:b w:val="0"/>
                <w:i w:val="0"/>
                <w:color w:val="333333"/>
                <w:sz w:val="17"/>
              </w:rPr>
              <w:t>5 751</w:t>
            </w:r>
          </w:p>
        </w:tc>
        <w:tc>
          <w:tcPr>
            <w:tcW w:type="dxa" w:w="1814"/>
          </w:tcPr>
          <w:p>
            <w:pPr>
              <w:spacing w:after="0" w:line="252" w:lineRule="auto"/>
            </w:pPr>
            <w:r>
              <w:rPr>
                <w:rFonts w:ascii="Calibri" w:hAnsi="Calibri"/>
                <w:b w:val="0"/>
                <w:i w:val="0"/>
                <w:color w:val="333333"/>
                <w:sz w:val="17"/>
              </w:rPr>
              <w:t>Confirmé</w:t>
            </w:r>
          </w:p>
        </w:tc>
      </w:tr>
      <w:tr>
        <w:trPr>
          <w:cantSplit/>
        </w:trPr>
        <w:tc>
          <w:tcPr>
            <w:tcW w:type="dxa" w:w="3628"/>
            <w:shd w:val="clear" w:color="auto" w:fill="F1F5F9"/>
          </w:tcPr>
          <w:p>
            <w:pPr>
              <w:spacing w:after="0" w:line="252" w:lineRule="auto"/>
            </w:pPr>
            <w:r>
              <w:rPr>
                <w:rFonts w:ascii="Calibri" w:hAnsi="Calibri"/>
                <w:b w:val="0"/>
                <w:i w:val="0"/>
                <w:color w:val="333333"/>
                <w:sz w:val="17"/>
              </w:rPr>
              <w:t>Marge moyenne</w:t>
            </w:r>
          </w:p>
        </w:tc>
        <w:tc>
          <w:tcPr>
            <w:tcW w:type="dxa" w:w="1928"/>
            <w:shd w:val="clear" w:color="auto" w:fill="F1F5F9"/>
          </w:tcPr>
          <w:p>
            <w:pPr>
              <w:spacing w:after="0" w:line="252" w:lineRule="auto"/>
            </w:pPr>
            <w:r>
              <w:rPr>
                <w:rFonts w:ascii="Calibri" w:hAnsi="Calibri"/>
                <w:b w:val="0"/>
                <w:i w:val="0"/>
                <w:color w:val="333333"/>
                <w:sz w:val="17"/>
              </w:rPr>
              <w:t>47,4 %</w:t>
            </w:r>
          </w:p>
        </w:tc>
        <w:tc>
          <w:tcPr>
            <w:tcW w:type="dxa" w:w="1928"/>
            <w:shd w:val="clear" w:color="auto" w:fill="F1F5F9"/>
          </w:tcPr>
          <w:p>
            <w:pPr>
              <w:spacing w:after="0" w:line="252" w:lineRule="auto"/>
            </w:pPr>
            <w:r>
              <w:rPr>
                <w:rFonts w:ascii="Calibri" w:hAnsi="Calibri"/>
                <w:b w:val="0"/>
                <w:i w:val="0"/>
                <w:color w:val="333333"/>
                <w:sz w:val="17"/>
              </w:rPr>
              <w:t xml:space="preserve">Non calculée par le notebook livré ; recalculée le 25 septembre dans le notebook complémentaire (essai C) : 47,4 %</w:t>
            </w:r>
          </w:p>
        </w:tc>
        <w:tc>
          <w:tcPr>
            <w:tcW w:type="dxa" w:w="1814"/>
            <w:shd w:val="clear" w:color="auto" w:fill="F1F5F9"/>
          </w:tcPr>
          <w:p>
            <w:pPr>
              <w:spacing w:after="0" w:line="252" w:lineRule="auto"/>
            </w:pPr>
            <w:r>
              <w:rPr>
                <w:rFonts w:ascii="Calibri" w:hAnsi="Calibri"/>
                <w:b w:val="0"/>
                <w:i w:val="0"/>
                <w:color w:val="333333"/>
                <w:sz w:val="17"/>
              </w:rPr>
              <w:t xml:space="preserve">Recalculée le 25 septembre par l'assistant dans un script séparé ; relue et relancée par moi le 7 octobre</w:t>
            </w:r>
          </w:p>
        </w:tc>
      </w:tr>
      <w:tr>
        <w:trPr>
          <w:cantSplit/>
        </w:trPr>
        <w:tc>
          <w:tcPr>
            <w:tcW w:type="dxa" w:w="3628"/>
          </w:tcPr>
          <w:p>
            <w:pPr>
              <w:spacing w:after="0" w:line="252" w:lineRule="auto"/>
            </w:pPr>
            <w:r>
              <w:rPr>
                <w:rFonts w:ascii="Calibri" w:hAnsi="Calibri"/>
                <w:b w:val="0"/>
                <w:i w:val="0"/>
                <w:color w:val="333333"/>
                <w:sz w:val="17"/>
              </w:rPr>
              <w:t xml:space="preserve">Anomalies détectées par le score z</w:t>
            </w:r>
          </w:p>
        </w:tc>
        <w:tc>
          <w:tcPr>
            <w:tcW w:type="dxa" w:w="1928"/>
          </w:tcPr>
          <w:p>
            <w:pPr>
              <w:spacing w:after="0" w:line="252" w:lineRule="auto"/>
            </w:pPr>
            <w:r>
              <w:rPr>
                <w:rFonts w:ascii="Calibri" w:hAnsi="Calibri"/>
                <w:b w:val="0"/>
                <w:i w:val="0"/>
                <w:color w:val="333333"/>
                <w:sz w:val="17"/>
              </w:rPr>
              <w:t>13</w:t>
            </w:r>
          </w:p>
        </w:tc>
        <w:tc>
          <w:tcPr>
            <w:tcW w:type="dxa" w:w="1928"/>
          </w:tcPr>
          <w:p>
            <w:pPr>
              <w:spacing w:after="0" w:line="252" w:lineRule="auto"/>
            </w:pPr>
            <w:r>
              <w:rPr>
                <w:rFonts w:ascii="Calibri" w:hAnsi="Calibri"/>
                <w:b w:val="0"/>
                <w:i w:val="0"/>
                <w:color w:val="333333"/>
                <w:sz w:val="17"/>
              </w:rPr>
              <w:t>13</w:t>
            </w:r>
          </w:p>
        </w:tc>
        <w:tc>
          <w:tcPr>
            <w:tcW w:type="dxa" w:w="1814"/>
          </w:tcPr>
          <w:p>
            <w:pPr>
              <w:spacing w:after="0" w:line="252" w:lineRule="auto"/>
            </w:pPr>
            <w:r>
              <w:rPr>
                <w:rFonts w:ascii="Calibri" w:hAnsi="Calibri"/>
                <w:b w:val="0"/>
                <w:i w:val="0"/>
                <w:color w:val="333333"/>
                <w:sz w:val="17"/>
              </w:rPr>
              <w:t>Confirmé</w:t>
            </w:r>
          </w:p>
        </w:tc>
      </w:tr>
      <w:tr>
        <w:trPr>
          <w:cantSplit/>
        </w:trPr>
        <w:tc>
          <w:tcPr>
            <w:tcW w:type="dxa" w:w="3628"/>
            <w:shd w:val="clear" w:color="auto" w:fill="F1F5F9"/>
          </w:tcPr>
          <w:p>
            <w:pPr>
              <w:spacing w:after="0" w:line="252" w:lineRule="auto"/>
            </w:pPr>
            <w:r>
              <w:rPr>
                <w:rFonts w:ascii="Calibri" w:hAnsi="Calibri"/>
                <w:b w:val="0"/>
                <w:i w:val="0"/>
                <w:color w:val="333333"/>
                <w:sz w:val="17"/>
              </w:rPr>
              <w:t>Anomalies détectées par Isolation Forest</w:t>
            </w:r>
          </w:p>
        </w:tc>
        <w:tc>
          <w:tcPr>
            <w:tcW w:type="dxa" w:w="1928"/>
            <w:shd w:val="clear" w:color="auto" w:fill="F1F5F9"/>
          </w:tcPr>
          <w:p>
            <w:pPr>
              <w:spacing w:after="0" w:line="252" w:lineRule="auto"/>
            </w:pPr>
            <w:r>
              <w:rPr>
                <w:rFonts w:ascii="Calibri" w:hAnsi="Calibri"/>
                <w:b w:val="0"/>
                <w:i w:val="0"/>
                <w:color w:val="333333"/>
                <w:sz w:val="17"/>
              </w:rPr>
              <w:t>36</w:t>
            </w:r>
          </w:p>
        </w:tc>
        <w:tc>
          <w:tcPr>
            <w:tcW w:type="dxa" w:w="1928"/>
            <w:shd w:val="clear" w:color="auto" w:fill="F1F5F9"/>
          </w:tcPr>
          <w:p>
            <w:pPr>
              <w:spacing w:after="0" w:line="252" w:lineRule="auto"/>
            </w:pPr>
            <w:r>
              <w:rPr>
                <w:rFonts w:ascii="Calibri" w:hAnsi="Calibri"/>
                <w:b w:val="0"/>
                <w:i w:val="0"/>
                <w:color w:val="333333"/>
                <w:sz w:val="17"/>
              </w:rPr>
              <w:t>36</w:t>
            </w:r>
          </w:p>
        </w:tc>
        <w:tc>
          <w:tcPr>
            <w:tcW w:type="dxa" w:w="1814"/>
            <w:shd w:val="clear" w:color="auto" w:fill="F1F5F9"/>
          </w:tcPr>
          <w:p>
            <w:pPr>
              <w:spacing w:after="0" w:line="252" w:lineRule="auto"/>
            </w:pPr>
            <w:r>
              <w:rPr>
                <w:rFonts w:ascii="Calibri" w:hAnsi="Calibri"/>
                <w:b w:val="0"/>
                <w:i w:val="0"/>
                <w:color w:val="333333"/>
                <w:sz w:val="17"/>
              </w:rPr>
              <w:t>Confirmé</w:t>
            </w:r>
          </w:p>
        </w:tc>
      </w:tr>
      <w:tr>
        <w:trPr>
          <w:cantSplit/>
        </w:trPr>
        <w:tc>
          <w:tcPr>
            <w:tcW w:type="dxa" w:w="3628"/>
          </w:tcPr>
          <w:p>
            <w:pPr>
              <w:spacing w:after="0" w:line="252" w:lineRule="auto"/>
            </w:pPr>
            <w:r>
              <w:rPr>
                <w:rFonts w:ascii="Calibri" w:hAnsi="Calibri"/>
                <w:b w:val="0"/>
                <w:i w:val="0"/>
                <w:color w:val="333333"/>
                <w:sz w:val="17"/>
              </w:rPr>
              <w:t>Anomalies multivariées vues par Isolation Forest seul</w:t>
            </w:r>
          </w:p>
        </w:tc>
        <w:tc>
          <w:tcPr>
            <w:tcW w:type="dxa" w:w="1928"/>
          </w:tcPr>
          <w:p>
            <w:pPr>
              <w:spacing w:after="0" w:line="252" w:lineRule="auto"/>
            </w:pPr>
            <w:r>
              <w:rPr>
                <w:rFonts w:ascii="Calibri" w:hAnsi="Calibri"/>
                <w:b w:val="0"/>
                <w:i w:val="0"/>
                <w:color w:val="333333"/>
                <w:sz w:val="17"/>
              </w:rPr>
              <w:t>26</w:t>
            </w:r>
          </w:p>
        </w:tc>
        <w:tc>
          <w:tcPr>
            <w:tcW w:type="dxa" w:w="1928"/>
          </w:tcPr>
          <w:p>
            <w:pPr>
              <w:spacing w:after="0" w:line="252" w:lineRule="auto"/>
            </w:pPr>
            <w:r>
              <w:rPr>
                <w:rFonts w:ascii="Calibri" w:hAnsi="Calibri"/>
                <w:b w:val="0"/>
                <w:i w:val="0"/>
                <w:color w:val="333333"/>
                <w:sz w:val="17"/>
              </w:rPr>
              <w:t>26</w:t>
            </w:r>
          </w:p>
        </w:tc>
        <w:tc>
          <w:tcPr>
            <w:tcW w:type="dxa" w:w="1814"/>
          </w:tcPr>
          <w:p>
            <w:pPr>
              <w:spacing w:after="0" w:line="252" w:lineRule="auto"/>
            </w:pPr>
            <w:r>
              <w:rPr>
                <w:rFonts w:ascii="Calibri" w:hAnsi="Calibri"/>
                <w:b w:val="0"/>
                <w:i w:val="0"/>
                <w:color w:val="333333"/>
                <w:sz w:val="17"/>
              </w:rPr>
              <w:t>Confirmé</w:t>
            </w:r>
          </w:p>
        </w:tc>
      </w:tr>
      <w:tr>
        <w:trPr>
          <w:cantSplit/>
        </w:trPr>
        <w:tc>
          <w:tcPr>
            <w:tcW w:type="dxa" w:w="3628"/>
            <w:shd w:val="clear" w:color="auto" w:fill="F1F5F9"/>
          </w:tcPr>
          <w:p>
            <w:pPr>
              <w:spacing w:after="0" w:line="252" w:lineRule="auto"/>
            </w:pPr>
            <w:r>
              <w:rPr>
                <w:rFonts w:ascii="Calibri" w:hAnsi="Calibri"/>
                <w:b w:val="0"/>
                <w:i w:val="0"/>
                <w:color w:val="333333"/>
                <w:sz w:val="17"/>
              </w:rPr>
              <w:t>Coefficient de détermination du modèle de ventes</w:t>
            </w:r>
          </w:p>
        </w:tc>
        <w:tc>
          <w:tcPr>
            <w:tcW w:type="dxa" w:w="1928"/>
            <w:shd w:val="clear" w:color="auto" w:fill="F1F5F9"/>
          </w:tcPr>
          <w:p>
            <w:pPr>
              <w:spacing w:after="0" w:line="252" w:lineRule="auto"/>
            </w:pPr>
            <w:r>
              <w:rPr>
                <w:rFonts w:ascii="Calibri" w:hAnsi="Calibri"/>
                <w:b w:val="0"/>
                <w:i w:val="0"/>
                <w:color w:val="333333"/>
                <w:sz w:val="17"/>
              </w:rPr>
              <w:t>0,72</w:t>
            </w:r>
          </w:p>
        </w:tc>
        <w:tc>
          <w:tcPr>
            <w:tcW w:type="dxa" w:w="1928"/>
            <w:shd w:val="clear" w:color="auto" w:fill="F1F5F9"/>
          </w:tcPr>
          <w:p>
            <w:pPr>
              <w:spacing w:after="0" w:line="252" w:lineRule="auto"/>
            </w:pPr>
            <w:r>
              <w:rPr>
                <w:rFonts w:ascii="Calibri" w:hAnsi="Calibri"/>
                <w:b w:val="0"/>
                <w:i w:val="0"/>
                <w:color w:val="333333"/>
                <w:sz w:val="17"/>
              </w:rPr>
              <w:t>0,724</w:t>
            </w:r>
          </w:p>
        </w:tc>
        <w:tc>
          <w:tcPr>
            <w:tcW w:type="dxa" w:w="1814"/>
            <w:shd w:val="clear" w:color="auto" w:fill="F1F5F9"/>
          </w:tcPr>
          <w:p>
            <w:pPr>
              <w:spacing w:after="0" w:line="252" w:lineRule="auto"/>
            </w:pPr>
            <w:r>
              <w:rPr>
                <w:rFonts w:ascii="Calibri" w:hAnsi="Calibri"/>
                <w:b w:val="0"/>
                <w:i w:val="0"/>
                <w:color w:val="333333"/>
                <w:sz w:val="17"/>
              </w:rPr>
              <w:t>Confirmé</w:t>
            </w:r>
          </w:p>
        </w:tc>
      </w:tr>
      <w:tr>
        <w:trPr>
          <w:cantSplit/>
        </w:trPr>
        <w:tc>
          <w:tcPr>
            <w:tcW w:type="dxa" w:w="3628"/>
          </w:tcPr>
          <w:p>
            <w:pPr>
              <w:spacing w:after="0" w:line="252" w:lineRule="auto"/>
            </w:pPr>
            <w:r>
              <w:rPr>
                <w:rFonts w:ascii="Calibri" w:hAnsi="Calibri"/>
                <w:b w:val="0"/>
                <w:i w:val="0"/>
                <w:color w:val="333333"/>
                <w:sz w:val="17"/>
              </w:rPr>
              <w:t>Erreur absolue moyenne du modèle</w:t>
            </w:r>
          </w:p>
        </w:tc>
        <w:tc>
          <w:tcPr>
            <w:tcW w:type="dxa" w:w="1928"/>
          </w:tcPr>
          <w:p>
            <w:pPr>
              <w:spacing w:after="0" w:line="252" w:lineRule="auto"/>
            </w:pPr>
            <w:r>
              <w:rPr>
                <w:rFonts w:ascii="Calibri" w:hAnsi="Calibri"/>
                <w:b w:val="0"/>
                <w:i w:val="0"/>
                <w:color w:val="333333"/>
                <w:sz w:val="17"/>
              </w:rPr>
              <w:t>1,54 unité</w:t>
            </w:r>
          </w:p>
        </w:tc>
        <w:tc>
          <w:tcPr>
            <w:tcW w:type="dxa" w:w="1928"/>
          </w:tcPr>
          <w:p>
            <w:pPr>
              <w:spacing w:after="0" w:line="252" w:lineRule="auto"/>
            </w:pPr>
            <w:r>
              <w:rPr>
                <w:rFonts w:ascii="Calibri" w:hAnsi="Calibri"/>
                <w:b w:val="0"/>
                <w:i w:val="0"/>
                <w:color w:val="333333"/>
                <w:sz w:val="17"/>
              </w:rPr>
              <w:t>1,54 unité</w:t>
            </w:r>
          </w:p>
        </w:tc>
        <w:tc>
          <w:tcPr>
            <w:tcW w:type="dxa" w:w="1814"/>
          </w:tcPr>
          <w:p>
            <w:pPr>
              <w:spacing w:after="0" w:line="252" w:lineRule="auto"/>
            </w:pPr>
            <w:r>
              <w:rPr>
                <w:rFonts w:ascii="Calibri" w:hAnsi="Calibri"/>
                <w:b w:val="0"/>
                <w:i w:val="0"/>
                <w:color w:val="333333"/>
                <w:sz w:val="17"/>
              </w:rPr>
              <w:t>Confirmé</w:t>
            </w:r>
          </w:p>
        </w:tc>
      </w:tr>
      <w:tr>
        <w:trPr>
          <w:cantSplit/>
        </w:trPr>
        <w:tc>
          <w:tcPr>
            <w:tcW w:type="dxa" w:w="3628"/>
            <w:shd w:val="clear" w:color="auto" w:fill="F1F5F9"/>
          </w:tcPr>
          <w:p>
            <w:pPr>
              <w:spacing w:after="0" w:line="252" w:lineRule="auto"/>
            </w:pPr>
            <w:r>
              <w:rPr>
                <w:rFonts w:ascii="Calibri" w:hAnsi="Calibri"/>
                <w:b w:val="0"/>
                <w:i w:val="0"/>
                <w:color w:val="333333"/>
                <w:sz w:val="17"/>
              </w:rPr>
              <w:t>Références représentant 80 % du chiffre d'affaires</w:t>
            </w:r>
          </w:p>
        </w:tc>
        <w:tc>
          <w:tcPr>
            <w:tcW w:type="dxa" w:w="1928"/>
            <w:shd w:val="clear" w:color="auto" w:fill="F1F5F9"/>
          </w:tcPr>
          <w:p>
            <w:pPr>
              <w:spacing w:after="0" w:line="252" w:lineRule="auto"/>
            </w:pPr>
            <w:r>
              <w:rPr>
                <w:rFonts w:ascii="Calibri" w:hAnsi="Calibri"/>
                <w:b w:val="0"/>
                <w:i w:val="0"/>
                <w:color w:val="333333"/>
                <w:sz w:val="17"/>
              </w:rPr>
              <w:t>435</w:t>
            </w:r>
          </w:p>
        </w:tc>
        <w:tc>
          <w:tcPr>
            <w:tcW w:type="dxa" w:w="1928"/>
            <w:shd w:val="clear" w:color="auto" w:fill="F1F5F9"/>
          </w:tcPr>
          <w:p>
            <w:pPr>
              <w:spacing w:after="0" w:line="252" w:lineRule="auto"/>
            </w:pPr>
            <w:r>
              <w:rPr>
                <w:rFonts w:ascii="Calibri" w:hAnsi="Calibri"/>
                <w:b w:val="0"/>
                <w:i w:val="0"/>
                <w:color w:val="333333"/>
                <w:sz w:val="17"/>
              </w:rPr>
              <w:t>435</w:t>
            </w:r>
          </w:p>
        </w:tc>
        <w:tc>
          <w:tcPr>
            <w:tcW w:type="dxa" w:w="1814"/>
            <w:shd w:val="clear" w:color="auto" w:fill="F1F5F9"/>
          </w:tcPr>
          <w:p>
            <w:pPr>
              <w:spacing w:after="0" w:line="252" w:lineRule="auto"/>
            </w:pPr>
            <w:r>
              <w:rPr>
                <w:rFonts w:ascii="Calibri" w:hAnsi="Calibri"/>
                <w:b w:val="0"/>
                <w:i w:val="0"/>
                <w:color w:val="333333"/>
                <w:sz w:val="17"/>
              </w:rPr>
              <w:t>Confirmé</w:t>
            </w:r>
          </w:p>
        </w:tc>
      </w:tr>
    </w:tbl>
    <w:p>
      <w:pPr>
        <w:spacing w:after="40"/>
      </w:pPr>
    </w:p>
    <w:p>
      <w:pPr>
        <w:pStyle w:val="Heading2"/>
      </w:pPr>
      <w:bookmarkStart w:id="7012" w:name="_TocP130012"/>
      <w:r>
        <w:t>4.2 Écarts relevés et corrigés</w:t>
      </w:r>
      <w:bookmarkEnd w:id="7012"/>
    </w:p>
    <w:p>
      <w:pPr>
        <w:pStyle w:val="Heading3"/>
      </w:pPr>
      <w:bookmarkStart w:id="7013" w:name="_TocP130013"/>
      <w:r>
        <w:t>Écart 1 : facteur d'accélération des moteurs alternatifs</w:t>
      </w:r>
      <w:bookmarkEnd w:id="7013"/>
    </w:p>
    <w:p>
      <w:r>
        <w:rPr>
          <w:rFonts w:ascii="Calibri" w:hAnsi="Calibri"/>
          <w:b w:val="0"/>
          <w:i w:val="0"/>
          <w:color w:val="333333"/>
          <w:sz w:val="21"/>
        </w:rPr>
        <w:t xml:space="preserve">La première ébauche de la documentation annonçait un facteur d'environ 4 pour Polars et d'environ 3 pour DuckDB sur un test à deux millions de lignes. Ces valeurs provenaient des benchmarks publiés par les éditeurs, reprises pendant la phase de veille, alors que le notebook mesurait un facteur 5,9 pour Polars et 3,7 pour DuckDB. La réexécution faite pour l'audit, sur une machine disposant de moins de cœurs, donne 3,8 pour Polars et 3,6 pour DuckDB ; sa sortie n'a pas été conservée. L'exécution conservée de la première version complète donnait 3,5 et 2,9, l'exécution livrée 4,1 et 2,9.</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2324"/>
        <w:gridCol w:w="2324"/>
        <w:gridCol w:w="2324"/>
        <w:gridCol w:w="2324"/>
      </w:tblGrid>
      <w:tr>
        <w:trPr>
          <w:cantSplit/>
          <w:tblHeader w:val="true"/>
        </w:trPr>
        <w:tc>
          <w:tcPr>
            <w:tcW w:type="dxa" w:w="3515"/>
            <w:shd w:val="clear" w:color="auto" w:fill="1F2937"/>
          </w:tcPr>
          <w:p>
            <w:pPr>
              <w:spacing w:after="0"/>
            </w:pPr>
            <w:r>
              <w:rPr>
                <w:rFonts w:ascii="Calibri" w:hAnsi="Calibri"/>
                <w:b/>
                <w:color w:val="FFFFFF"/>
                <w:sz w:val="17"/>
              </w:rPr>
              <w:t>Mesure</w:t>
            </w:r>
          </w:p>
        </w:tc>
        <w:tc>
          <w:tcPr>
            <w:tcW w:type="dxa" w:w="1928"/>
            <w:shd w:val="clear" w:color="auto" w:fill="1F2937"/>
          </w:tcPr>
          <w:p>
            <w:pPr>
              <w:spacing w:after="0"/>
            </w:pPr>
            <w:r>
              <w:rPr>
                <w:rFonts w:ascii="Calibri" w:hAnsi="Calibri"/>
                <w:b/>
                <w:color w:val="FFFFFF"/>
                <w:sz w:val="17"/>
              </w:rPr>
              <w:t>pandas</w:t>
            </w:r>
          </w:p>
        </w:tc>
        <w:tc>
          <w:tcPr>
            <w:tcW w:type="dxa" w:w="1928"/>
            <w:shd w:val="clear" w:color="auto" w:fill="1F2937"/>
          </w:tcPr>
          <w:p>
            <w:pPr>
              <w:spacing w:after="0"/>
            </w:pPr>
            <w:r>
              <w:rPr>
                <w:rFonts w:ascii="Calibri" w:hAnsi="Calibri"/>
                <w:b/>
                <w:color w:val="FFFFFF"/>
                <w:sz w:val="17"/>
              </w:rPr>
              <w:t>Polars</w:t>
            </w:r>
          </w:p>
        </w:tc>
        <w:tc>
          <w:tcPr>
            <w:tcW w:type="dxa" w:w="1928"/>
            <w:shd w:val="clear" w:color="auto" w:fill="1F2937"/>
          </w:tcPr>
          <w:p>
            <w:pPr>
              <w:spacing w:after="0"/>
            </w:pPr>
            <w:r>
              <w:rPr>
                <w:rFonts w:ascii="Calibri" w:hAnsi="Calibri"/>
                <w:b/>
                <w:color w:val="FFFFFF"/>
                <w:sz w:val="17"/>
              </w:rPr>
              <w:t>DuckDB</w:t>
            </w:r>
          </w:p>
        </w:tc>
      </w:tr>
      <w:tr>
        <w:trPr>
          <w:cantSplit/>
        </w:trPr>
        <w:tc>
          <w:tcPr>
            <w:tcW w:type="dxa" w:w="3515"/>
          </w:tcPr>
          <w:p>
            <w:pPr>
              <w:spacing w:after="0" w:line="252" w:lineRule="auto"/>
            </w:pPr>
            <w:r>
              <w:rPr>
                <w:rFonts w:ascii="Calibri" w:hAnsi="Calibri"/>
                <w:b w:val="0"/>
                <w:i w:val="0"/>
                <w:color w:val="333333"/>
                <w:sz w:val="17"/>
              </w:rPr>
              <w:t xml:space="preserve">Volumétrie réelle, 825 lignes, premier poste</w:t>
            </w:r>
          </w:p>
        </w:tc>
        <w:tc>
          <w:tcPr>
            <w:tcW w:type="dxa" w:w="1928"/>
          </w:tcPr>
          <w:p>
            <w:pPr>
              <w:spacing w:after="0" w:line="252" w:lineRule="auto"/>
            </w:pPr>
            <w:r>
              <w:rPr>
                <w:rFonts w:ascii="Calibri" w:hAnsi="Calibri"/>
                <w:b w:val="0"/>
                <w:i w:val="0"/>
                <w:color w:val="333333"/>
                <w:sz w:val="17"/>
              </w:rPr>
              <w:t>5,3 ms</w:t>
            </w:r>
          </w:p>
        </w:tc>
        <w:tc>
          <w:tcPr>
            <w:tcW w:type="dxa" w:w="1928"/>
          </w:tcPr>
          <w:p>
            <w:pPr>
              <w:spacing w:after="0" w:line="252" w:lineRule="auto"/>
            </w:pPr>
            <w:r>
              <w:rPr>
                <w:rFonts w:ascii="Calibri" w:hAnsi="Calibri"/>
                <w:b w:val="0"/>
                <w:i w:val="0"/>
                <w:color w:val="333333"/>
                <w:sz w:val="17"/>
              </w:rPr>
              <w:t>1,6 ms</w:t>
            </w:r>
          </w:p>
        </w:tc>
        <w:tc>
          <w:tcPr>
            <w:tcW w:type="dxa" w:w="1928"/>
          </w:tcPr>
          <w:p>
            <w:pPr>
              <w:spacing w:after="0" w:line="252" w:lineRule="auto"/>
            </w:pPr>
            <w:r>
              <w:rPr>
                <w:rFonts w:ascii="Calibri" w:hAnsi="Calibri"/>
                <w:b w:val="0"/>
                <w:i w:val="0"/>
                <w:color w:val="333333"/>
                <w:sz w:val="17"/>
              </w:rPr>
              <w:t>22,1 ms</w:t>
            </w:r>
          </w:p>
        </w:tc>
      </w:tr>
      <w:tr>
        <w:trPr>
          <w:cantSplit/>
        </w:trPr>
        <w:tc>
          <w:tcPr>
            <w:tcW w:type="dxa" w:w="3515"/>
            <w:shd w:val="clear" w:color="auto" w:fill="F1F5F9"/>
          </w:tcPr>
          <w:p>
            <w:pPr>
              <w:spacing w:after="0" w:line="252" w:lineRule="auto"/>
            </w:pPr>
            <w:r>
              <w:rPr>
                <w:rFonts w:ascii="Calibri" w:hAnsi="Calibri"/>
                <w:b w:val="0"/>
                <w:i w:val="0"/>
                <w:color w:val="333333"/>
                <w:sz w:val="17"/>
              </w:rPr>
              <w:t xml:space="preserve">Volumétrie réelle, 825 lignes, réexécution d'audit</w:t>
            </w:r>
          </w:p>
        </w:tc>
        <w:tc>
          <w:tcPr>
            <w:tcW w:type="dxa" w:w="1928"/>
            <w:shd w:val="clear" w:color="auto" w:fill="F1F5F9"/>
          </w:tcPr>
          <w:p>
            <w:pPr>
              <w:spacing w:after="0" w:line="252" w:lineRule="auto"/>
            </w:pPr>
            <w:r>
              <w:rPr>
                <w:rFonts w:ascii="Calibri" w:hAnsi="Calibri"/>
                <w:b w:val="0"/>
                <w:i w:val="0"/>
                <w:color w:val="333333"/>
                <w:sz w:val="17"/>
              </w:rPr>
              <w:t>9,5 ms</w:t>
            </w:r>
          </w:p>
        </w:tc>
        <w:tc>
          <w:tcPr>
            <w:tcW w:type="dxa" w:w="1928"/>
            <w:shd w:val="clear" w:color="auto" w:fill="F1F5F9"/>
          </w:tcPr>
          <w:p>
            <w:pPr>
              <w:spacing w:after="0" w:line="252" w:lineRule="auto"/>
            </w:pPr>
            <w:r>
              <w:rPr>
                <w:rFonts w:ascii="Calibri" w:hAnsi="Calibri"/>
                <w:b w:val="0"/>
                <w:i w:val="0"/>
                <w:color w:val="333333"/>
                <w:sz w:val="17"/>
              </w:rPr>
              <w:t>2,6 ms</w:t>
            </w:r>
          </w:p>
        </w:tc>
        <w:tc>
          <w:tcPr>
            <w:tcW w:type="dxa" w:w="1928"/>
            <w:shd w:val="clear" w:color="auto" w:fill="F1F5F9"/>
          </w:tcPr>
          <w:p>
            <w:pPr>
              <w:spacing w:after="0" w:line="252" w:lineRule="auto"/>
            </w:pPr>
            <w:r>
              <w:rPr>
                <w:rFonts w:ascii="Calibri" w:hAnsi="Calibri"/>
                <w:b w:val="0"/>
                <w:i w:val="0"/>
                <w:color w:val="333333"/>
                <w:sz w:val="17"/>
              </w:rPr>
              <w:t>26,3 ms</w:t>
            </w:r>
          </w:p>
        </w:tc>
      </w:tr>
      <w:tr>
        <w:trPr>
          <w:cantSplit/>
        </w:trPr>
        <w:tc>
          <w:tcPr>
            <w:tcW w:type="dxa" w:w="3515"/>
          </w:tcPr>
          <w:p>
            <w:pPr>
              <w:spacing w:after="0" w:line="252" w:lineRule="auto"/>
            </w:pPr>
            <w:r>
              <w:rPr>
                <w:rFonts w:ascii="Calibri" w:hAnsi="Calibri"/>
                <w:b w:val="0"/>
                <w:i w:val="0"/>
                <w:color w:val="333333"/>
                <w:sz w:val="17"/>
              </w:rPr>
              <w:t xml:space="preserve">Deux millions de lignes, premier poste</w:t>
            </w:r>
          </w:p>
        </w:tc>
        <w:tc>
          <w:tcPr>
            <w:tcW w:type="dxa" w:w="1928"/>
          </w:tcPr>
          <w:p>
            <w:pPr>
              <w:spacing w:after="0" w:line="252" w:lineRule="auto"/>
            </w:pPr>
            <w:r>
              <w:rPr>
                <w:rFonts w:ascii="Calibri" w:hAnsi="Calibri"/>
                <w:b w:val="0"/>
                <w:i w:val="0"/>
                <w:color w:val="333333"/>
                <w:sz w:val="17"/>
              </w:rPr>
              <w:t>238 ms (référence)</w:t>
            </w:r>
          </w:p>
        </w:tc>
        <w:tc>
          <w:tcPr>
            <w:tcW w:type="dxa" w:w="1928"/>
          </w:tcPr>
          <w:p>
            <w:pPr>
              <w:spacing w:after="0" w:line="252" w:lineRule="auto"/>
            </w:pPr>
            <w:r>
              <w:rPr>
                <w:rFonts w:ascii="Calibri" w:hAnsi="Calibri"/>
                <w:b w:val="0"/>
                <w:i w:val="0"/>
                <w:color w:val="333333"/>
                <w:sz w:val="17"/>
              </w:rPr>
              <w:t>41 ms, soit 5,9 fois plus rapide</w:t>
            </w:r>
          </w:p>
        </w:tc>
        <w:tc>
          <w:tcPr>
            <w:tcW w:type="dxa" w:w="1928"/>
          </w:tcPr>
          <w:p>
            <w:pPr>
              <w:spacing w:after="0" w:line="252" w:lineRule="auto"/>
            </w:pPr>
            <w:r>
              <w:rPr>
                <w:rFonts w:ascii="Calibri" w:hAnsi="Calibri"/>
                <w:b w:val="0"/>
                <w:i w:val="0"/>
                <w:color w:val="333333"/>
                <w:sz w:val="17"/>
              </w:rPr>
              <w:t>64 ms, soit 3,7 fois plus rapide</w:t>
            </w:r>
          </w:p>
        </w:tc>
      </w:tr>
      <w:tr>
        <w:trPr>
          <w:cantSplit/>
        </w:trPr>
        <w:tc>
          <w:tcPr>
            <w:tcW w:type="dxa" w:w="3515"/>
            <w:shd w:val="clear" w:color="auto" w:fill="F1F5F9"/>
          </w:tcPr>
          <w:p>
            <w:pPr>
              <w:spacing w:after="0" w:line="252" w:lineRule="auto"/>
            </w:pPr>
            <w:r>
              <w:rPr>
                <w:rFonts w:ascii="Calibri" w:hAnsi="Calibri"/>
                <w:b w:val="0"/>
                <w:i w:val="0"/>
                <w:color w:val="333333"/>
                <w:sz w:val="17"/>
              </w:rPr>
              <w:t xml:space="preserve">Deux millions de lignes, réexécution d'audit</w:t>
            </w:r>
          </w:p>
        </w:tc>
        <w:tc>
          <w:tcPr>
            <w:tcW w:type="dxa" w:w="1928"/>
            <w:shd w:val="clear" w:color="auto" w:fill="F1F5F9"/>
          </w:tcPr>
          <w:p>
            <w:pPr>
              <w:spacing w:after="0" w:line="252" w:lineRule="auto"/>
            </w:pPr>
            <w:r>
              <w:rPr>
                <w:rFonts w:ascii="Calibri" w:hAnsi="Calibri"/>
                <w:b w:val="0"/>
                <w:i w:val="0"/>
                <w:color w:val="333333"/>
                <w:sz w:val="17"/>
              </w:rPr>
              <w:t>273 ms (référence)</w:t>
            </w:r>
          </w:p>
        </w:tc>
        <w:tc>
          <w:tcPr>
            <w:tcW w:type="dxa" w:w="1928"/>
            <w:shd w:val="clear" w:color="auto" w:fill="F1F5F9"/>
          </w:tcPr>
          <w:p>
            <w:pPr>
              <w:spacing w:after="0" w:line="252" w:lineRule="auto"/>
            </w:pPr>
            <w:r>
              <w:rPr>
                <w:rFonts w:ascii="Calibri" w:hAnsi="Calibri"/>
                <w:b w:val="0"/>
                <w:i w:val="0"/>
                <w:color w:val="333333"/>
                <w:sz w:val="17"/>
              </w:rPr>
              <w:t>71 ms, soit 3,8 fois plus rapide</w:t>
            </w:r>
          </w:p>
        </w:tc>
        <w:tc>
          <w:tcPr>
            <w:tcW w:type="dxa" w:w="1928"/>
            <w:shd w:val="clear" w:color="auto" w:fill="F1F5F9"/>
          </w:tcPr>
          <w:p>
            <w:pPr>
              <w:spacing w:after="0" w:line="252" w:lineRule="auto"/>
            </w:pPr>
            <w:r>
              <w:rPr>
                <w:rFonts w:ascii="Calibri" w:hAnsi="Calibri"/>
                <w:b w:val="0"/>
                <w:i w:val="0"/>
                <w:color w:val="333333"/>
                <w:sz w:val="17"/>
              </w:rPr>
              <w:t>75 ms, soit 3,6 fois plus rapide</w:t>
            </w:r>
          </w:p>
        </w:tc>
      </w:tr>
    </w:tbl>
    <w:p>
      <w:pPr>
        <w:spacing w:after="40"/>
      </w:pPr>
    </w:p>
    <w:p>
      <w:pPr>
        <w:spacing w:before="60" w:after="160"/>
      </w:pPr>
      <w:r>
        <w:rPr>
          <w:rFonts w:ascii="Calibri" w:hAnsi="Calibri"/>
          <w:b/>
          <w:i w:val="0"/>
          <w:color w:val="333333"/>
          <w:sz w:val="20"/>
        </w:rPr>
        <w:t xml:space="preserve">Correction retenue.</w:t>
      </w:r>
      <w:r>
        <w:rPr>
          <w:rFonts w:ascii="Calibri" w:hAnsi="Calibri"/>
          <w:b w:val="0"/>
          <w:i w:val="0"/>
          <w:color w:val="333333"/>
          <w:sz w:val="20"/>
        </w:rPr>
        <w:t xml:space="preserve"> Les documents annonçaient alors un ordre de grandeur, un facteur 3 à 6 selon le nombre de cœurs disponibles, plutôt qu'une valeur unique. Le caractère matériel de la mesure est signalé : un évaluateur qui rejoue le test peut obtenir un autre chiffre. La décision de gestion reste la même : conserver pandas au volume actuel. Depuis le 28 septembre 2026, les documents citent des facteurs mesurés, en précisant la machine. Polars et DuckDB sont 4,1 et 2,9 fois plus rapides que pandas dans l'exécution livrée, 8,1 et 5,7 fois sur mon poste le 25 septembre.</w:t>
      </w:r>
    </w:p>
    <w:p>
      <w:pPr>
        <w:spacing w:after="40"/>
      </w:pPr>
    </w:p>
    <w:p>
      <w:r>
        <w:rPr>
          <w:rFonts w:ascii="Calibri" w:hAnsi="Calibri"/>
          <w:b w:val="0"/>
          <w:i w:val="0"/>
          <w:color w:val="333333"/>
          <w:sz w:val="21"/>
        </w:rPr>
        <w:t xml:space="preserve">Une seconde imprécision figurait dans la même section. Le texte affirmait qu'à la volumétrie réelle, les écarts entre moteurs restaient sous dix millisecondes, ce qui n'est vrai qu'entre pandas et Polars. DuckDB, pénalisé par son temps d'initialisation, se situe autour de vingt-cinq millisecondes. La formulation corrigée précise que toutes les exécutions restent sous les trente millisecondes (seuil porté à 40 millisecondes au second passage, écart 12), un ordre de grandeur sans effet sur l'usage.</w:t>
      </w:r>
    </w:p>
    <w:p>
      <w:pPr>
        <w:pStyle w:val="Heading3"/>
      </w:pPr>
      <w:bookmarkStart w:id="7014" w:name="_TocP130014"/>
      <w:r>
        <w:t>Écart 2 : composition de la liste des critères de comparaison</w:t>
      </w:r>
      <w:bookmarkEnd w:id="7014"/>
    </w:p>
    <w:p>
      <w:r>
        <w:rPr>
          <w:rFonts w:ascii="Calibri" w:hAnsi="Calibri"/>
          <w:b w:val="0"/>
          <w:i w:val="0"/>
          <w:color w:val="333333"/>
          <w:sz w:val="21"/>
        </w:rPr>
        <w:t xml:space="preserve">Les critères de comparaison devaient être fixes. Or six formulations circulaient, dont deux dans un même texte : on aurait pu croire la grille reconstituée après coup.</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2494"/>
            <w:shd w:val="clear" w:color="auto" w:fill="1F2937"/>
          </w:tcPr>
          <w:p>
            <w:pPr>
              <w:spacing w:after="0"/>
            </w:pPr>
            <w:r>
              <w:rPr>
                <w:rFonts w:ascii="Calibri" w:hAnsi="Calibri"/>
                <w:b/>
                <w:color w:val="FFFFFF"/>
                <w:sz w:val="17"/>
              </w:rPr>
              <w:t>Document</w:t>
            </w:r>
          </w:p>
        </w:tc>
        <w:tc>
          <w:tcPr>
            <w:tcW w:type="dxa" w:w="5102"/>
            <w:shd w:val="clear" w:color="auto" w:fill="1F2937"/>
          </w:tcPr>
          <w:p>
            <w:pPr>
              <w:spacing w:after="0"/>
            </w:pPr>
            <w:r>
              <w:rPr>
                <w:rFonts w:ascii="Calibri" w:hAnsi="Calibri"/>
                <w:b/>
                <w:color w:val="FFFFFF"/>
                <w:sz w:val="17"/>
              </w:rPr>
              <w:t xml:space="preserve">Liste annoncée au départ</w:t>
            </w:r>
          </w:p>
        </w:tc>
        <w:tc>
          <w:tcPr>
            <w:tcW w:type="dxa" w:w="1701"/>
            <w:shd w:val="clear" w:color="auto" w:fill="1F2937"/>
          </w:tcPr>
          <w:p>
            <w:pPr>
              <w:spacing w:after="0"/>
            </w:pPr>
            <w:r>
              <w:rPr>
                <w:rFonts w:ascii="Calibri" w:hAnsi="Calibri"/>
                <w:b/>
                <w:color w:val="FFFFFF"/>
                <w:sz w:val="17"/>
              </w:rPr>
              <w:t>Nombre</w:t>
            </w:r>
          </w:p>
        </w:tc>
      </w:tr>
      <w:tr>
        <w:trPr>
          <w:cantSplit/>
        </w:trPr>
        <w:tc>
          <w:tcPr>
            <w:tcW w:type="dxa" w:w="2494"/>
          </w:tcPr>
          <w:p>
            <w:pPr>
              <w:spacing w:after="0" w:line="252" w:lineRule="auto"/>
            </w:pPr>
            <w:r>
              <w:rPr>
                <w:rFonts w:ascii="Calibri" w:hAnsi="Calibri"/>
                <w:b w:val="0"/>
                <w:i w:val="0"/>
                <w:color w:val="333333"/>
                <w:sz w:val="17"/>
              </w:rPr>
              <w:t>Document de veille, section 2.1</w:t>
            </w:r>
          </w:p>
        </w:tc>
        <w:tc>
          <w:tcPr>
            <w:tcW w:type="dxa" w:w="5102"/>
          </w:tcPr>
          <w:p>
            <w:pPr>
              <w:spacing w:after="0" w:line="252" w:lineRule="auto"/>
            </w:pPr>
            <w:r>
              <w:rPr>
                <w:rFonts w:ascii="Calibri" w:hAnsi="Calibri"/>
                <w:b w:val="0"/>
                <w:i w:val="0"/>
                <w:color w:val="333333"/>
                <w:sz w:val="17"/>
              </w:rPr>
              <w:t>Qualité et robustesse, biais, coût en temps, reproductibilité, sécurité et conformité, maintenabilité, sobriété</w:t>
            </w:r>
          </w:p>
        </w:tc>
        <w:tc>
          <w:tcPr>
            <w:tcW w:type="dxa" w:w="1701"/>
          </w:tcPr>
          <w:p>
            <w:pPr>
              <w:spacing w:after="0" w:line="252" w:lineRule="auto"/>
            </w:pPr>
            <w:r>
              <w:rPr>
                <w:rFonts w:ascii="Calibri" w:hAnsi="Calibri"/>
                <w:b w:val="0"/>
                <w:i w:val="0"/>
                <w:color w:val="333333"/>
                <w:sz w:val="17"/>
              </w:rPr>
              <w:t>7</w:t>
            </w:r>
          </w:p>
        </w:tc>
      </w:tr>
      <w:tr>
        <w:trPr>
          <w:cantSplit/>
        </w:trPr>
        <w:tc>
          <w:tcPr>
            <w:tcW w:type="dxa" w:w="2494"/>
            <w:shd w:val="clear" w:color="auto" w:fill="F1F5F9"/>
          </w:tcPr>
          <w:p>
            <w:pPr>
              <w:spacing w:after="0" w:line="252" w:lineRule="auto"/>
            </w:pPr>
            <w:r>
              <w:rPr>
                <w:rFonts w:ascii="Calibri" w:hAnsi="Calibri"/>
                <w:b w:val="0"/>
                <w:i w:val="0"/>
                <w:color w:val="333333"/>
                <w:sz w:val="17"/>
              </w:rPr>
              <w:t>Documentation de la démarche</w:t>
            </w:r>
          </w:p>
        </w:tc>
        <w:tc>
          <w:tcPr>
            <w:tcW w:type="dxa" w:w="5102"/>
            <w:shd w:val="clear" w:color="auto" w:fill="F1F5F9"/>
          </w:tcPr>
          <w:p>
            <w:pPr>
              <w:spacing w:after="0" w:line="252" w:lineRule="auto"/>
            </w:pPr>
            <w:r>
              <w:rPr>
                <w:rFonts w:ascii="Calibri" w:hAnsi="Calibri"/>
                <w:b w:val="0"/>
                <w:i w:val="0"/>
                <w:color w:val="333333"/>
                <w:sz w:val="17"/>
              </w:rPr>
              <w:t>Qualité, biais, temps, reproductibilité, sécurité, conformité</w:t>
            </w:r>
          </w:p>
        </w:tc>
        <w:tc>
          <w:tcPr>
            <w:tcW w:type="dxa" w:w="1701"/>
            <w:shd w:val="clear" w:color="auto" w:fill="F1F5F9"/>
          </w:tcPr>
          <w:p>
            <w:pPr>
              <w:spacing w:after="0" w:line="252" w:lineRule="auto"/>
            </w:pPr>
            <w:r>
              <w:rPr>
                <w:rFonts w:ascii="Calibri" w:hAnsi="Calibri"/>
                <w:b w:val="0"/>
                <w:i w:val="0"/>
                <w:color w:val="333333"/>
                <w:sz w:val="17"/>
              </w:rPr>
              <w:t>6</w:t>
            </w:r>
          </w:p>
        </w:tc>
      </w:tr>
      <w:tr>
        <w:trPr>
          <w:cantSplit/>
        </w:trPr>
        <w:tc>
          <w:tcPr>
            <w:tcW w:type="dxa" w:w="2494"/>
          </w:tcPr>
          <w:p>
            <w:pPr>
              <w:spacing w:after="0" w:line="252" w:lineRule="auto"/>
            </w:pPr>
            <w:r>
              <w:rPr>
                <w:rFonts w:ascii="Calibri" w:hAnsi="Calibri"/>
                <w:b w:val="0"/>
                <w:i w:val="0"/>
                <w:color w:val="333333"/>
                <w:sz w:val="17"/>
              </w:rPr>
              <w:t>Synthèse globale, section 1</w:t>
            </w:r>
          </w:p>
        </w:tc>
        <w:tc>
          <w:tcPr>
            <w:tcW w:type="dxa" w:w="5102"/>
          </w:tcPr>
          <w:p>
            <w:pPr>
              <w:spacing w:after="0" w:line="252" w:lineRule="auto"/>
            </w:pPr>
            <w:r>
              <w:rPr>
                <w:rFonts w:ascii="Calibri" w:hAnsi="Calibri"/>
                <w:b w:val="0"/>
                <w:i w:val="0"/>
                <w:color w:val="333333"/>
                <w:sz w:val="17"/>
              </w:rPr>
              <w:t>Les sept précédents moins la maintenabilité</w:t>
            </w:r>
          </w:p>
        </w:tc>
        <w:tc>
          <w:tcPr>
            <w:tcW w:type="dxa" w:w="1701"/>
          </w:tcPr>
          <w:p>
            <w:pPr>
              <w:spacing w:after="0" w:line="252" w:lineRule="auto"/>
            </w:pPr>
            <w:r>
              <w:rPr>
                <w:rFonts w:ascii="Calibri" w:hAnsi="Calibri"/>
                <w:b w:val="0"/>
                <w:i w:val="0"/>
                <w:color w:val="333333"/>
                <w:sz w:val="17"/>
              </w:rPr>
              <w:t>7</w:t>
            </w:r>
          </w:p>
        </w:tc>
      </w:tr>
      <w:tr>
        <w:trPr>
          <w:cantSplit/>
        </w:trPr>
        <w:tc>
          <w:tcPr>
            <w:tcW w:type="dxa" w:w="2494"/>
            <w:shd w:val="clear" w:color="auto" w:fill="F1F5F9"/>
          </w:tcPr>
          <w:p>
            <w:pPr>
              <w:spacing w:after="0" w:line="252" w:lineRule="auto"/>
            </w:pPr>
            <w:r>
              <w:rPr>
                <w:rFonts w:ascii="Calibri" w:hAnsi="Calibri"/>
                <w:b w:val="0"/>
                <w:i w:val="0"/>
                <w:color w:val="333333"/>
                <w:sz w:val="17"/>
              </w:rPr>
              <w:t>Synthèse globale, section 2</w:t>
            </w:r>
          </w:p>
        </w:tc>
        <w:tc>
          <w:tcPr>
            <w:tcW w:type="dxa" w:w="5102"/>
            <w:shd w:val="clear" w:color="auto" w:fill="F1F5F9"/>
          </w:tcPr>
          <w:p>
            <w:pPr>
              <w:spacing w:after="0" w:line="252" w:lineRule="auto"/>
            </w:pPr>
            <w:r>
              <w:rPr>
                <w:rFonts w:ascii="Calibri" w:hAnsi="Calibri"/>
                <w:b w:val="0"/>
                <w:i w:val="0"/>
                <w:color w:val="333333"/>
                <w:sz w:val="17"/>
              </w:rPr>
              <w:t>Liste identique au document de veille</w:t>
            </w:r>
          </w:p>
        </w:tc>
        <w:tc>
          <w:tcPr>
            <w:tcW w:type="dxa" w:w="1701"/>
            <w:shd w:val="clear" w:color="auto" w:fill="F1F5F9"/>
          </w:tcPr>
          <w:p>
            <w:pPr>
              <w:spacing w:after="0" w:line="252" w:lineRule="auto"/>
            </w:pPr>
            <w:r>
              <w:rPr>
                <w:rFonts w:ascii="Calibri" w:hAnsi="Calibri"/>
                <w:b w:val="0"/>
                <w:i w:val="0"/>
                <w:color w:val="333333"/>
                <w:sz w:val="17"/>
              </w:rPr>
              <w:t>7</w:t>
            </w:r>
          </w:p>
        </w:tc>
      </w:tr>
      <w:tr>
        <w:trPr>
          <w:cantSplit/>
        </w:trPr>
        <w:tc>
          <w:tcPr>
            <w:tcW w:type="dxa" w:w="2494"/>
          </w:tcPr>
          <w:p>
            <w:pPr>
              <w:spacing w:after="0" w:line="252" w:lineRule="auto"/>
            </w:pPr>
            <w:r>
              <w:rPr>
                <w:rFonts w:ascii="Calibri" w:hAnsi="Calibri"/>
                <w:b w:val="0"/>
                <w:i w:val="0"/>
                <w:color w:val="333333"/>
                <w:sz w:val="17"/>
              </w:rPr>
              <w:t>Questions et réponses</w:t>
            </w:r>
          </w:p>
        </w:tc>
        <w:tc>
          <w:tcPr>
            <w:tcW w:type="dxa" w:w="5102"/>
          </w:tcPr>
          <w:p>
            <w:pPr>
              <w:spacing w:after="0" w:line="252" w:lineRule="auto"/>
            </w:pPr>
            <w:r>
              <w:rPr>
                <w:rFonts w:ascii="Calibri" w:hAnsi="Calibri"/>
                <w:b w:val="0"/>
                <w:i w:val="0"/>
                <w:color w:val="333333"/>
                <w:sz w:val="17"/>
              </w:rPr>
              <w:t>Six critères annoncés, la sobriété citée à part</w:t>
            </w:r>
          </w:p>
        </w:tc>
        <w:tc>
          <w:tcPr>
            <w:tcW w:type="dxa" w:w="1701"/>
          </w:tcPr>
          <w:p>
            <w:pPr>
              <w:spacing w:after="0" w:line="252" w:lineRule="auto"/>
            </w:pPr>
            <w:r>
              <w:rPr>
                <w:rFonts w:ascii="Calibri" w:hAnsi="Calibri"/>
                <w:b w:val="0"/>
                <w:i w:val="0"/>
                <w:color w:val="333333"/>
                <w:sz w:val="17"/>
              </w:rPr>
              <w:t>6 puis 7</w:t>
            </w:r>
          </w:p>
        </w:tc>
      </w:tr>
      <w:tr>
        <w:trPr>
          <w:cantSplit/>
        </w:trPr>
        <w:tc>
          <w:tcPr>
            <w:tcW w:type="dxa" w:w="2494"/>
            <w:shd w:val="clear" w:color="auto" w:fill="F1F5F9"/>
          </w:tcPr>
          <w:p>
            <w:pPr>
              <w:spacing w:after="0" w:line="252" w:lineRule="auto"/>
            </w:pPr>
            <w:r>
              <w:rPr>
                <w:rFonts w:ascii="Calibri" w:hAnsi="Calibri"/>
                <w:b w:val="0"/>
                <w:i w:val="0"/>
                <w:color w:val="333333"/>
                <w:sz w:val="17"/>
              </w:rPr>
              <w:t>Support de soutenance</w:t>
            </w:r>
          </w:p>
        </w:tc>
        <w:tc>
          <w:tcPr>
            <w:tcW w:type="dxa" w:w="5102"/>
            <w:shd w:val="clear" w:color="auto" w:fill="F1F5F9"/>
          </w:tcPr>
          <w:p>
            <w:pPr>
              <w:spacing w:after="0" w:line="252" w:lineRule="auto"/>
            </w:pPr>
            <w:r>
              <w:rPr>
                <w:rFonts w:ascii="Calibri" w:hAnsi="Calibri"/>
                <w:b w:val="0"/>
                <w:i w:val="0"/>
                <w:color w:val="333333"/>
                <w:sz w:val="17"/>
              </w:rPr>
              <w:t>Qualité, biais, temps, reproductibilité, sécurité, sobriété</w:t>
            </w:r>
          </w:p>
        </w:tc>
        <w:tc>
          <w:tcPr>
            <w:tcW w:type="dxa" w:w="1701"/>
            <w:shd w:val="clear" w:color="auto" w:fill="F1F5F9"/>
          </w:tcPr>
          <w:p>
            <w:pPr>
              <w:spacing w:after="0" w:line="252" w:lineRule="auto"/>
            </w:pPr>
            <w:r>
              <w:rPr>
                <w:rFonts w:ascii="Calibri" w:hAnsi="Calibri"/>
                <w:b w:val="0"/>
                <w:i w:val="0"/>
                <w:color w:val="333333"/>
                <w:sz w:val="17"/>
              </w:rPr>
              <w:t>6</w:t>
            </w:r>
          </w:p>
        </w:tc>
      </w:tr>
    </w:tbl>
    <w:p>
      <w:pPr>
        <w:spacing w:after="40"/>
      </w:pPr>
    </w:p>
    <w:p>
      <w:pPr>
        <w:spacing w:before="60" w:after="160"/>
      </w:pPr>
      <w:r>
        <w:rPr>
          <w:rFonts w:ascii="Calibri" w:hAnsi="Calibri"/>
          <w:b/>
          <w:i w:val="0"/>
          <w:color w:val="333333"/>
          <w:sz w:val="20"/>
        </w:rPr>
        <w:t xml:space="preserve">Correction retenue.</w:t>
      </w:r>
      <w:r>
        <w:rPr>
          <w:rFonts w:ascii="Calibri" w:hAnsi="Calibri"/>
          <w:b w:val="0"/>
          <w:i w:val="0"/>
          <w:color w:val="333333"/>
          <w:sz w:val="20"/>
        </w:rPr>
        <w:t xml:space="preserve"> Tous les documents renvoient désormais aux sept critères définis dans le document de veille, dans le même ordre et avec les mêmes intitulés. Même les supports courts, comme les diapositives, citent les sept.</w:t>
      </w:r>
    </w:p>
    <w:p>
      <w:pPr>
        <w:spacing w:after="40"/>
      </w:pPr>
    </w:p>
    <w:p>
      <w:pPr>
        <w:pStyle w:val="Heading3"/>
      </w:pPr>
      <w:bookmarkStart w:id="7015" w:name="_TocP130015"/>
      <w:r>
        <w:t>Écart 3 : numérotation des jalons</w:t>
      </w:r>
      <w:bookmarkEnd w:id="7015"/>
    </w:p>
    <w:p>
      <w:r>
        <w:rPr>
          <w:rFonts w:ascii="Calibri" w:hAnsi="Calibri"/>
          <w:b w:val="0"/>
          <w:i w:val="0"/>
          <w:color w:val="333333"/>
          <w:sz w:val="21"/>
        </w:rPr>
        <w:t xml:space="preserve">Le cahier des charges décrivait cinq jalons de J1 à J5 tandis que le document de gestion de projet en décrivait quatre, sur le même calendrier de quatre semaines. Seul J3 portait le même intitulé dans les deux textes. Les deux documents ont été alignés sur cinq jalons, car la documentation et la restitution sont deux étapes distinctes.</w:t>
      </w:r>
    </w:p>
    <w:p>
      <w:pPr>
        <w:pStyle w:val="Heading3"/>
      </w:pPr>
      <w:bookmarkStart w:id="7016" w:name="_TocP130016"/>
      <w:r>
        <w:t>Écart 4 : base de calcul de la concentration du chiffre d'affaires</w:t>
      </w:r>
      <w:bookmarkEnd w:id="7016"/>
    </w:p>
    <w:p>
      <w:r>
        <w:rPr>
          <w:rFonts w:ascii="Calibri" w:hAnsi="Calibri"/>
          <w:b w:val="0"/>
          <w:i w:val="0"/>
          <w:color w:val="333333"/>
          <w:sz w:val="21"/>
        </w:rPr>
        <w:t>Le résultat de 435 références pour 80 % du chiffre d'affaires était exact mais publié sans sa base. Le calcul porte sur les 689 références qui génèrent effectivement du chiffre d'affaires, et non sur les 714 produits du périmètre : 25 références n'ont enregistré aucune vente. Les documents précisent désormais cette base et le pourcentage correspondant, 63 %.</w:t>
      </w:r>
    </w:p>
    <w:p>
      <w:pPr>
        <w:pStyle w:val="Heading3"/>
      </w:pPr>
      <w:bookmarkStart w:id="7017" w:name="_TocP130017"/>
      <w:r>
        <w:t>Écart 5 : lisibilité du rapport de contrôle qualité dans le notebook</w:t>
      </w:r>
      <w:bookmarkEnd w:id="7017"/>
    </w:p>
    <w:p>
      <w:r>
        <w:rPr>
          <w:rFonts w:ascii="Calibri" w:hAnsi="Calibri"/>
          <w:b w:val="0"/>
          <w:i w:val="0"/>
          <w:color w:val="333333"/>
          <w:sz w:val="21"/>
        </w:rPr>
        <w:t xml:space="preserve">La cellule de validation affichait un décompte par règle qui donnait 42 cas pour la règle de marge négative, alors que 7 lignes seulement sont concernées. Pour les contrôles qui portent sur l'ensemble du tableau, Pandera signale en effet un cas par colonne et par ligne fautive, soit 7 lignes multipliées par 6 colonnes. Le rapport a été réécrit pour afficher le nombre de lignes uniques en infraction, 9 sur 825, ce qui correspond au chiffre publié dans le cahier des charges et lève toute ambiguïté.</w:t>
      </w:r>
    </w:p>
    <w:p>
      <w:pPr>
        <w:pStyle w:val="Heading3"/>
      </w:pPr>
      <w:bookmarkStart w:id="7018" w:name="_TocP130018"/>
      <w:r>
        <w:t>Écarts 6 à 11 : corrections rédactionnelles et de complétude</w:t>
      </w:r>
      <w:bookmarkEnd w:id="7018"/>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4649"/>
        <w:gridCol w:w="4649"/>
      </w:tblGrid>
      <w:tr>
        <w:trPr>
          <w:cantSplit/>
          <w:tblHeader w:val="true"/>
        </w:trPr>
        <w:tc>
          <w:tcPr>
            <w:tcW w:type="dxa" w:w="4762"/>
            <w:shd w:val="clear" w:color="auto" w:fill="1F2937"/>
          </w:tcPr>
          <w:p>
            <w:pPr>
              <w:spacing w:after="0"/>
            </w:pPr>
            <w:r>
              <w:rPr>
                <w:rFonts w:ascii="Calibri" w:hAnsi="Calibri"/>
                <w:b/>
                <w:color w:val="FFFFFF"/>
                <w:sz w:val="17"/>
              </w:rPr>
              <w:t>Écart</w:t>
            </w:r>
          </w:p>
        </w:tc>
        <w:tc>
          <w:tcPr>
            <w:tcW w:type="dxa" w:w="4535"/>
            <w:shd w:val="clear" w:color="auto" w:fill="1F2937"/>
          </w:tcPr>
          <w:p>
            <w:pPr>
              <w:spacing w:after="0"/>
            </w:pPr>
            <w:r>
              <w:rPr>
                <w:rFonts w:ascii="Calibri" w:hAnsi="Calibri"/>
                <w:b/>
                <w:color w:val="FFFFFF"/>
                <w:sz w:val="17"/>
              </w:rPr>
              <w:t>Correction apportée</w:t>
            </w:r>
          </w:p>
        </w:tc>
      </w:tr>
      <w:tr>
        <w:trPr>
          <w:cantSplit/>
        </w:trPr>
        <w:tc>
          <w:tcPr>
            <w:tcW w:type="dxa" w:w="4762"/>
          </w:tcPr>
          <w:p>
            <w:pPr>
              <w:spacing w:after="0" w:line="252" w:lineRule="auto"/>
            </w:pPr>
            <w:r>
              <w:rPr>
                <w:rFonts w:ascii="Calibri" w:hAnsi="Calibri"/>
                <w:b w:val="0"/>
                <w:i w:val="0"/>
                <w:color w:val="333333"/>
                <w:sz w:val="17"/>
              </w:rPr>
              <w:t>Le nombre de documents de la partie 1 variait entre cinq et six selon les supports</w:t>
            </w:r>
          </w:p>
        </w:tc>
        <w:tc>
          <w:tcPr>
            <w:tcW w:type="dxa" w:w="4535"/>
          </w:tcPr>
          <w:p>
            <w:pPr>
              <w:spacing w:after="0" w:line="252" w:lineRule="auto"/>
            </w:pPr>
            <w:r>
              <w:rPr>
                <w:rFonts w:ascii="Calibri" w:hAnsi="Calibri"/>
                <w:b w:val="0"/>
                <w:i w:val="0"/>
                <w:color w:val="333333"/>
                <w:sz w:val="17"/>
              </w:rPr>
              <w:t>Décompte unique de six documents, l'audit de conformité étant intégré</w:t>
            </w:r>
          </w:p>
        </w:tc>
      </w:tr>
      <w:tr>
        <w:trPr>
          <w:cantSplit/>
        </w:trPr>
        <w:tc>
          <w:tcPr>
            <w:tcW w:type="dxa" w:w="4762"/>
            <w:shd w:val="clear" w:color="auto" w:fill="F1F5F9"/>
          </w:tcPr>
          <w:p>
            <w:pPr>
              <w:spacing w:after="0" w:line="252" w:lineRule="auto"/>
            </w:pPr>
            <w:r>
              <w:rPr>
                <w:rFonts w:ascii="Calibri" w:hAnsi="Calibri"/>
                <w:b w:val="0"/>
                <w:i w:val="0"/>
                <w:color w:val="333333"/>
                <w:sz w:val="17"/>
              </w:rPr>
              <w:t>Le taux de marge était tantôt à 47 %, tantôt à 47,4 %</w:t>
            </w:r>
          </w:p>
        </w:tc>
        <w:tc>
          <w:tcPr>
            <w:tcW w:type="dxa" w:w="4535"/>
            <w:shd w:val="clear" w:color="auto" w:fill="F1F5F9"/>
          </w:tcPr>
          <w:p>
            <w:pPr>
              <w:spacing w:after="0" w:line="252" w:lineRule="auto"/>
            </w:pPr>
            <w:r>
              <w:rPr>
                <w:rFonts w:ascii="Calibri" w:hAnsi="Calibri"/>
                <w:b w:val="0"/>
                <w:i w:val="0"/>
                <w:color w:val="333333"/>
                <w:sz w:val="17"/>
              </w:rPr>
              <w:t>Valeur unique de 47,4 %, avec mention de la médiane à 48,3 %</w:t>
            </w:r>
          </w:p>
        </w:tc>
      </w:tr>
      <w:tr>
        <w:trPr>
          <w:cantSplit/>
        </w:trPr>
        <w:tc>
          <w:tcPr>
            <w:tcW w:type="dxa" w:w="4762"/>
          </w:tcPr>
          <w:p>
            <w:pPr>
              <w:spacing w:after="0" w:line="252" w:lineRule="auto"/>
            </w:pPr>
            <w:r>
              <w:rPr>
                <w:rFonts w:ascii="Calibri" w:hAnsi="Calibri"/>
                <w:b w:val="0"/>
                <w:i w:val="0"/>
                <w:color w:val="333333"/>
                <w:sz w:val="17"/>
              </w:rPr>
              <w:t>Aucune procédure de documentation formalisée n'existait, alors que c'est un objectif du projet</w:t>
            </w:r>
          </w:p>
        </w:tc>
        <w:tc>
          <w:tcPr>
            <w:tcW w:type="dxa" w:w="4535"/>
          </w:tcPr>
          <w:p>
            <w:pPr>
              <w:spacing w:after="0" w:line="252" w:lineRule="auto"/>
            </w:pPr>
            <w:r>
              <w:rPr>
                <w:rFonts w:ascii="Calibri" w:hAnsi="Calibri"/>
                <w:b w:val="0"/>
                <w:i w:val="0"/>
                <w:color w:val="333333"/>
                <w:sz w:val="17"/>
              </w:rPr>
              <w:t xml:space="preserve">Ajout d'une section dédiée dans la documentation de la démarche, avec règles écrites</w:t>
            </w:r>
          </w:p>
        </w:tc>
      </w:tr>
      <w:tr>
        <w:trPr>
          <w:cantSplit/>
        </w:trPr>
        <w:tc>
          <w:tcPr>
            <w:tcW w:type="dxa" w:w="4762"/>
            <w:shd w:val="clear" w:color="auto" w:fill="F1F5F9"/>
          </w:tcPr>
          <w:p>
            <w:pPr>
              <w:spacing w:after="0" w:line="252" w:lineRule="auto"/>
            </w:pPr>
            <w:r>
              <w:rPr>
                <w:rFonts w:ascii="Calibri" w:hAnsi="Calibri"/>
                <w:b w:val="0"/>
                <w:i w:val="0"/>
                <w:color w:val="333333"/>
                <w:sz w:val="17"/>
              </w:rPr>
              <w:t>L'accompagnement des équipes se limitait à un plan de formation</w:t>
            </w:r>
          </w:p>
        </w:tc>
        <w:tc>
          <w:tcPr>
            <w:tcW w:type="dxa" w:w="4535"/>
            <w:shd w:val="clear" w:color="auto" w:fill="F1F5F9"/>
          </w:tcPr>
          <w:p>
            <w:pPr>
              <w:spacing w:after="0" w:line="252" w:lineRule="auto"/>
            </w:pPr>
            <w:r>
              <w:rPr>
                <w:rFonts w:ascii="Calibri" w:hAnsi="Calibri"/>
                <w:b w:val="0"/>
                <w:i w:val="0"/>
                <w:color w:val="333333"/>
                <w:sz w:val="17"/>
              </w:rPr>
              <w:t>Ajout d'un guide de prise en main rédigé en langage métier, pensé pour être remis aux achats</w:t>
            </w:r>
          </w:p>
        </w:tc>
      </w:tr>
      <w:tr>
        <w:trPr>
          <w:cantSplit/>
        </w:trPr>
        <w:tc>
          <w:tcPr>
            <w:tcW w:type="dxa" w:w="4762"/>
          </w:tcPr>
          <w:p>
            <w:pPr>
              <w:spacing w:after="0" w:line="252" w:lineRule="auto"/>
            </w:pPr>
            <w:r>
              <w:rPr>
                <w:rFonts w:ascii="Calibri" w:hAnsi="Calibri"/>
                <w:b w:val="0"/>
                <w:i w:val="0"/>
                <w:color w:val="333333"/>
                <w:sz w:val="17"/>
              </w:rPr>
              <w:t>La posture de consultant était affirmée mais jamais explicitée</w:t>
            </w:r>
          </w:p>
        </w:tc>
        <w:tc>
          <w:tcPr>
            <w:tcW w:type="dxa" w:w="4535"/>
          </w:tcPr>
          <w:p>
            <w:pPr>
              <w:spacing w:after="0" w:line="252" w:lineRule="auto"/>
            </w:pPr>
            <w:r>
              <w:rPr>
                <w:rFonts w:ascii="Calibri" w:hAnsi="Calibri"/>
                <w:b w:val="0"/>
                <w:i w:val="0"/>
                <w:color w:val="333333"/>
                <w:sz w:val="17"/>
              </w:rPr>
              <w:t>Ajout d'une section décrivant le positionnement, les limites du mandat et le mode de restitution</w:t>
            </w:r>
          </w:p>
        </w:tc>
      </w:tr>
      <w:tr>
        <w:trPr>
          <w:cantSplit/>
        </w:trPr>
        <w:tc>
          <w:tcPr>
            <w:tcW w:type="dxa" w:w="4762"/>
            <w:shd w:val="clear" w:color="auto" w:fill="F1F5F9"/>
          </w:tcPr>
          <w:p>
            <w:pPr>
              <w:spacing w:after="0" w:line="252" w:lineRule="auto"/>
            </w:pPr>
            <w:r>
              <w:rPr>
                <w:rFonts w:ascii="Calibri" w:hAnsi="Calibri"/>
                <w:b w:val="0"/>
                <w:i w:val="0"/>
                <w:color w:val="333333"/>
                <w:sz w:val="17"/>
              </w:rPr>
              <w:t>Un chemin de fichier propre à un environnement de travail temporaire subsistait dans le notebook</w:t>
            </w:r>
          </w:p>
        </w:tc>
        <w:tc>
          <w:tcPr>
            <w:tcW w:type="dxa" w:w="4535"/>
            <w:shd w:val="clear" w:color="auto" w:fill="F1F5F9"/>
          </w:tcPr>
          <w:p>
            <w:pPr>
              <w:spacing w:after="0" w:line="252" w:lineRule="auto"/>
            </w:pPr>
            <w:r>
              <w:rPr>
                <w:rFonts w:ascii="Calibri" w:hAnsi="Calibri"/>
                <w:b w:val="0"/>
                <w:i w:val="0"/>
                <w:color w:val="333333"/>
                <w:sz w:val="17"/>
              </w:rPr>
              <w:t xml:space="preserve">Chemin supprimé et remplacé par un chemin relatif, avec résolution documentée</w:t>
            </w:r>
          </w:p>
        </w:tc>
      </w:tr>
    </w:tbl>
    <w:p>
      <w:pPr>
        <w:spacing w:after="40"/>
      </w:pPr>
    </w:p>
    <w:p>
      <w:pPr>
        <w:pStyle w:val="Heading1"/>
      </w:pPr>
      <w:bookmarkStart w:id="7019" w:name="_TocP130019"/>
      <w:r>
        <w:t>5. Contrôle rédactionnel et accessibilité</w:t>
      </w:r>
      <w:bookmarkEnd w:id="7019"/>
    </w:p>
    <w:p>
      <w:r>
        <w:rPr>
          <w:rFonts w:ascii="Calibri" w:hAnsi="Calibri"/>
          <w:b w:val="0"/>
          <w:i w:val="0"/>
          <w:color w:val="333333"/>
          <w:sz w:val="21"/>
        </w:rPr>
        <w:t xml:space="preserve">Les livrables doivent pouvoir être remis à des interlocuteurs variés, des ressources humaines à la direction. J'ai donc mené un contrôle rédactionnel en parallèle du contrôle technique.</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2494"/>
            <w:shd w:val="clear" w:color="auto" w:fill="1F2937"/>
          </w:tcPr>
          <w:p>
            <w:pPr>
              <w:spacing w:after="0"/>
            </w:pPr>
            <w:r>
              <w:rPr>
                <w:rFonts w:ascii="Calibri" w:hAnsi="Calibri"/>
                <w:b/>
                <w:color w:val="FFFFFF"/>
                <w:sz w:val="17"/>
              </w:rPr>
              <w:t>Point contrôlé</w:t>
            </w:r>
          </w:p>
        </w:tc>
        <w:tc>
          <w:tcPr>
            <w:tcW w:type="dxa" w:w="3969"/>
            <w:shd w:val="clear" w:color="auto" w:fill="1F2937"/>
          </w:tcPr>
          <w:p>
            <w:pPr>
              <w:spacing w:after="0"/>
            </w:pPr>
            <w:r>
              <w:rPr>
                <w:rFonts w:ascii="Calibri" w:hAnsi="Calibri"/>
                <w:b/>
                <w:color w:val="FFFFFF"/>
                <w:sz w:val="17"/>
              </w:rPr>
              <w:t>Constat</w:t>
            </w:r>
          </w:p>
        </w:tc>
        <w:tc>
          <w:tcPr>
            <w:tcW w:type="dxa" w:w="2835"/>
            <w:shd w:val="clear" w:color="auto" w:fill="1F2937"/>
          </w:tcPr>
          <w:p>
            <w:pPr>
              <w:spacing w:after="0"/>
            </w:pPr>
            <w:r>
              <w:rPr>
                <w:rFonts w:ascii="Calibri" w:hAnsi="Calibri"/>
                <w:b/>
                <w:color w:val="FFFFFF"/>
                <w:sz w:val="17"/>
              </w:rPr>
              <w:t>Suite donnée</w:t>
            </w:r>
          </w:p>
        </w:tc>
      </w:tr>
      <w:tr>
        <w:trPr>
          <w:cantSplit/>
        </w:trPr>
        <w:tc>
          <w:tcPr>
            <w:tcW w:type="dxa" w:w="2494"/>
          </w:tcPr>
          <w:p>
            <w:pPr>
              <w:spacing w:after="0" w:line="252" w:lineRule="auto"/>
            </w:pPr>
            <w:r>
              <w:rPr>
                <w:rFonts w:ascii="Calibri" w:hAnsi="Calibri"/>
                <w:b w:val="0"/>
                <w:i w:val="0"/>
                <w:color w:val="333333"/>
                <w:sz w:val="17"/>
              </w:rPr>
              <w:t>Typographie française</w:t>
            </w:r>
          </w:p>
        </w:tc>
        <w:tc>
          <w:tcPr>
            <w:tcW w:type="dxa" w:w="3969"/>
          </w:tcPr>
          <w:p>
            <w:pPr>
              <w:spacing w:after="0" w:line="252" w:lineRule="auto"/>
            </w:pPr>
            <w:r>
              <w:rPr>
                <w:rFonts w:ascii="Calibri" w:hAnsi="Calibri"/>
                <w:b w:val="0"/>
                <w:i w:val="0"/>
                <w:color w:val="333333"/>
                <w:sz w:val="17"/>
              </w:rPr>
              <w:t>Ponctuation décorative et tirets longs employés comme séparateurs, au détriment de la lisibilité à l'impression</w:t>
            </w:r>
          </w:p>
        </w:tc>
        <w:tc>
          <w:tcPr>
            <w:tcW w:type="dxa" w:w="2835"/>
          </w:tcPr>
          <w:p>
            <w:pPr>
              <w:spacing w:after="0" w:line="252" w:lineRule="auto"/>
            </w:pPr>
            <w:r>
              <w:rPr>
                <w:rFonts w:ascii="Calibri" w:hAnsi="Calibri"/>
                <w:b w:val="0"/>
                <w:i w:val="0"/>
                <w:color w:val="333333"/>
                <w:sz w:val="17"/>
              </w:rPr>
              <w:t>Réécriture en ponctuation courante</w:t>
            </w:r>
          </w:p>
        </w:tc>
      </w:tr>
      <w:tr>
        <w:trPr>
          <w:cantSplit/>
        </w:trPr>
        <w:tc>
          <w:tcPr>
            <w:tcW w:type="dxa" w:w="2494"/>
            <w:shd w:val="clear" w:color="auto" w:fill="F1F5F9"/>
          </w:tcPr>
          <w:p>
            <w:pPr>
              <w:spacing w:after="0" w:line="252" w:lineRule="auto"/>
            </w:pPr>
            <w:r>
              <w:rPr>
                <w:rFonts w:ascii="Calibri" w:hAnsi="Calibri"/>
                <w:b w:val="0"/>
                <w:i w:val="0"/>
                <w:color w:val="333333"/>
                <w:sz w:val="17"/>
              </w:rPr>
              <w:t>Accentuation</w:t>
            </w:r>
          </w:p>
        </w:tc>
        <w:tc>
          <w:tcPr>
            <w:tcW w:type="dxa" w:w="3969"/>
            <w:shd w:val="clear" w:color="auto" w:fill="F1F5F9"/>
          </w:tcPr>
          <w:p>
            <w:pPr>
              <w:spacing w:after="0" w:line="252" w:lineRule="auto"/>
            </w:pPr>
            <w:r>
              <w:rPr>
                <w:rFonts w:ascii="Calibri" w:hAnsi="Calibri"/>
                <w:b w:val="0"/>
                <w:i w:val="0"/>
                <w:color w:val="333333"/>
                <w:sz w:val="17"/>
              </w:rPr>
              <w:t>Quelques majuscules non accentuées</w:t>
            </w:r>
          </w:p>
        </w:tc>
        <w:tc>
          <w:tcPr>
            <w:tcW w:type="dxa" w:w="2835"/>
            <w:shd w:val="clear" w:color="auto" w:fill="F1F5F9"/>
          </w:tcPr>
          <w:p>
            <w:pPr>
              <w:spacing w:after="0" w:line="252" w:lineRule="auto"/>
            </w:pPr>
            <w:r>
              <w:rPr>
                <w:rFonts w:ascii="Calibri" w:hAnsi="Calibri"/>
                <w:b w:val="0"/>
                <w:i w:val="0"/>
                <w:color w:val="333333"/>
                <w:sz w:val="17"/>
              </w:rPr>
              <w:t>Correction sur l'ensemble des documents</w:t>
            </w:r>
          </w:p>
        </w:tc>
      </w:tr>
      <w:tr>
        <w:trPr>
          <w:cantSplit/>
        </w:trPr>
        <w:tc>
          <w:tcPr>
            <w:tcW w:type="dxa" w:w="2494"/>
          </w:tcPr>
          <w:p>
            <w:pPr>
              <w:spacing w:after="0" w:line="252" w:lineRule="auto"/>
            </w:pPr>
            <w:r>
              <w:rPr>
                <w:rFonts w:ascii="Calibri" w:hAnsi="Calibri"/>
                <w:b w:val="0"/>
                <w:i w:val="0"/>
                <w:color w:val="333333"/>
                <w:sz w:val="17"/>
              </w:rPr>
              <w:t>Terminologie</w:t>
            </w:r>
          </w:p>
        </w:tc>
        <w:tc>
          <w:tcPr>
            <w:tcW w:type="dxa" w:w="3969"/>
          </w:tcPr>
          <w:p>
            <w:pPr>
              <w:spacing w:after="0" w:line="252" w:lineRule="auto"/>
            </w:pPr>
            <w:r>
              <w:rPr>
                <w:rFonts w:ascii="Calibri" w:hAnsi="Calibri"/>
                <w:b w:val="0"/>
                <w:i w:val="0"/>
                <w:color w:val="333333"/>
                <w:sz w:val="17"/>
              </w:rPr>
              <w:t>Un même objet désigné par plusieurs termes, par exemple contrat de qualité et contrat de données</w:t>
            </w:r>
          </w:p>
        </w:tc>
        <w:tc>
          <w:tcPr>
            <w:tcW w:type="dxa" w:w="2835"/>
          </w:tcPr>
          <w:p>
            <w:pPr>
              <w:spacing w:after="0" w:line="252" w:lineRule="auto"/>
            </w:pPr>
            <w:r>
              <w:rPr>
                <w:rFonts w:ascii="Calibri" w:hAnsi="Calibri"/>
                <w:b w:val="0"/>
                <w:i w:val="0"/>
                <w:color w:val="333333"/>
                <w:sz w:val="17"/>
              </w:rPr>
              <w:t xml:space="preserve">Glossaire commun ; terme retenu : contrat de qualité</w:t>
            </w:r>
          </w:p>
        </w:tc>
      </w:tr>
      <w:tr>
        <w:trPr>
          <w:cantSplit/>
        </w:trPr>
        <w:tc>
          <w:tcPr>
            <w:tcW w:type="dxa" w:w="2494"/>
            <w:shd w:val="clear" w:color="auto" w:fill="F1F5F9"/>
          </w:tcPr>
          <w:p>
            <w:pPr>
              <w:spacing w:after="0" w:line="252" w:lineRule="auto"/>
            </w:pPr>
            <w:r>
              <w:rPr>
                <w:rFonts w:ascii="Calibri" w:hAnsi="Calibri"/>
                <w:b w:val="0"/>
                <w:i w:val="0"/>
                <w:color w:val="333333"/>
                <w:sz w:val="17"/>
              </w:rPr>
              <w:t>Structure</w:t>
            </w:r>
          </w:p>
        </w:tc>
        <w:tc>
          <w:tcPr>
            <w:tcW w:type="dxa" w:w="3969"/>
            <w:shd w:val="clear" w:color="auto" w:fill="F1F5F9"/>
          </w:tcPr>
          <w:p>
            <w:pPr>
              <w:spacing w:after="0" w:line="252" w:lineRule="auto"/>
            </w:pPr>
            <w:r>
              <w:rPr>
                <w:rFonts w:ascii="Calibri" w:hAnsi="Calibri"/>
                <w:b w:val="0"/>
                <w:i w:val="0"/>
                <w:color w:val="333333"/>
                <w:sz w:val="17"/>
              </w:rPr>
              <w:t>Sommaires présents mais non actualisés à l'ouverture</w:t>
            </w:r>
          </w:p>
        </w:tc>
        <w:tc>
          <w:tcPr>
            <w:tcW w:type="dxa" w:w="2835"/>
            <w:shd w:val="clear" w:color="auto" w:fill="F1F5F9"/>
          </w:tcPr>
          <w:p>
            <w:pPr>
              <w:spacing w:after="0" w:line="252" w:lineRule="auto"/>
            </w:pPr>
            <w:r>
              <w:rPr>
                <w:rFonts w:ascii="Calibri" w:hAnsi="Calibri"/>
                <w:b w:val="0"/>
                <w:i w:val="0"/>
                <w:color w:val="333333"/>
                <w:sz w:val="17"/>
              </w:rPr>
              <w:t>Champ de sommaire actualisable, avec la consigne d'actualisation</w:t>
            </w:r>
          </w:p>
        </w:tc>
      </w:tr>
      <w:tr>
        <w:trPr>
          <w:cantSplit/>
        </w:trPr>
        <w:tc>
          <w:tcPr>
            <w:tcW w:type="dxa" w:w="2494"/>
          </w:tcPr>
          <w:p>
            <w:pPr>
              <w:spacing w:after="0" w:line="252" w:lineRule="auto"/>
            </w:pPr>
            <w:r>
              <w:rPr>
                <w:rFonts w:ascii="Calibri" w:hAnsi="Calibri"/>
                <w:b w:val="0"/>
                <w:i w:val="0"/>
                <w:color w:val="333333"/>
                <w:sz w:val="17"/>
              </w:rPr>
              <w:t>Lisibilité pour un public non technique</w:t>
            </w:r>
          </w:p>
        </w:tc>
        <w:tc>
          <w:tcPr>
            <w:tcW w:type="dxa" w:w="3969"/>
          </w:tcPr>
          <w:p>
            <w:pPr>
              <w:spacing w:after="0" w:line="252" w:lineRule="auto"/>
            </w:pPr>
            <w:r>
              <w:rPr>
                <w:rFonts w:ascii="Calibri" w:hAnsi="Calibri"/>
                <w:b w:val="0"/>
                <w:i w:val="0"/>
                <w:color w:val="333333"/>
                <w:sz w:val="17"/>
              </w:rPr>
              <w:t>Notions statistiques employées sans définition</w:t>
            </w:r>
          </w:p>
        </w:tc>
        <w:tc>
          <w:tcPr>
            <w:tcW w:type="dxa" w:w="2835"/>
          </w:tcPr>
          <w:p>
            <w:pPr>
              <w:spacing w:after="0" w:line="252" w:lineRule="auto"/>
            </w:pPr>
            <w:r>
              <w:rPr>
                <w:rFonts w:ascii="Calibri" w:hAnsi="Calibri"/>
                <w:b w:val="0"/>
                <w:i w:val="0"/>
                <w:color w:val="333333"/>
                <w:sz w:val="17"/>
              </w:rPr>
              <w:t xml:space="preserve">Glossaire de douze termes en section 5 du guide de prise en main</w:t>
            </w:r>
          </w:p>
        </w:tc>
      </w:tr>
      <w:tr>
        <w:trPr>
          <w:cantSplit/>
        </w:trPr>
        <w:tc>
          <w:tcPr>
            <w:tcW w:type="dxa" w:w="2494"/>
            <w:shd w:val="clear" w:color="auto" w:fill="F1F5F9"/>
          </w:tcPr>
          <w:p>
            <w:pPr>
              <w:spacing w:after="0" w:line="252" w:lineRule="auto"/>
            </w:pPr>
            <w:r>
              <w:rPr>
                <w:rFonts w:ascii="Calibri" w:hAnsi="Calibri"/>
                <w:b w:val="0"/>
                <w:i w:val="0"/>
                <w:color w:val="333333"/>
                <w:sz w:val="17"/>
              </w:rPr>
              <w:t>Accessibilité</w:t>
            </w:r>
          </w:p>
        </w:tc>
        <w:tc>
          <w:tcPr>
            <w:tcW w:type="dxa" w:w="3969"/>
            <w:shd w:val="clear" w:color="auto" w:fill="F1F5F9"/>
          </w:tcPr>
          <w:p>
            <w:pPr>
              <w:spacing w:after="0" w:line="252" w:lineRule="auto"/>
            </w:pPr>
            <w:r>
              <w:rPr>
                <w:rFonts w:ascii="Calibri" w:hAnsi="Calibri"/>
                <w:b w:val="0"/>
                <w:i w:val="0"/>
                <w:color w:val="333333"/>
                <w:sz w:val="17"/>
              </w:rPr>
              <w:t>Contrastes conformes, mais information parfois portée par la seule couleur dans les figures</w:t>
            </w:r>
          </w:p>
        </w:tc>
        <w:tc>
          <w:tcPr>
            <w:tcW w:type="dxa" w:w="2835"/>
            <w:shd w:val="clear" w:color="auto" w:fill="F1F5F9"/>
          </w:tcPr>
          <w:p>
            <w:pPr>
              <w:spacing w:after="0" w:line="252" w:lineRule="auto"/>
            </w:pPr>
            <w:r>
              <w:rPr>
                <w:rFonts w:ascii="Calibri" w:hAnsi="Calibri"/>
                <w:b w:val="0"/>
                <w:i w:val="0"/>
                <w:color w:val="333333"/>
                <w:sz w:val="17"/>
              </w:rPr>
              <w:t>Ajout de libellés textuels sur les figures du notebook</w:t>
            </w:r>
          </w:p>
        </w:tc>
      </w:tr>
    </w:tbl>
    <w:p>
      <w:pPr>
        <w:spacing w:after="40"/>
      </w:pPr>
    </w:p>
    <w:p>
      <w:pPr>
        <w:pStyle w:val="Heading1"/>
      </w:pPr>
      <w:bookmarkStart w:id="7020" w:name="_TocP130020"/>
      <w:r>
        <w:t>6. Risques résiduels et limites de cet audit</w:t>
      </w:r>
      <w:bookmarkEnd w:id="7020"/>
    </w:p>
    <w:p>
      <w:r>
        <w:rPr>
          <w:rFonts w:ascii="Calibri" w:hAnsi="Calibri"/>
          <w:b w:val="0"/>
          <w:i w:val="0"/>
          <w:color w:val="333333"/>
          <w:sz w:val="21"/>
        </w:rPr>
        <w:t xml:space="preserve">Cet audit a trois limites.</w:t>
      </w:r>
    </w:p>
    <w:p>
      <w:pPr>
        <w:pStyle w:val="ListBullet"/>
        <w:spacing w:after="40"/>
        <w:ind w:left="369"/>
      </w:pPr>
      <w:r>
        <w:rPr>
          <w:rFonts w:ascii="Calibri" w:hAnsi="Calibri"/>
          <w:b/>
          <w:i w:val="0"/>
          <w:color w:val="333333"/>
          <w:sz w:val="21"/>
        </w:rPr>
        <w:t>Le jeu de données reste figé.</w:t>
      </w:r>
      <w:r>
        <w:rPr>
          <w:rFonts w:ascii="Calibri" w:hAnsi="Calibri"/>
          <w:b w:val="0"/>
          <w:i w:val="0"/>
          <w:color w:val="333333"/>
          <w:sz w:val="21"/>
        </w:rPr>
        <w:t xml:space="preserve"> L'audit valide la cohérence interne des chiffres, pas leur stabilité dans le temps. Une extraction ERP différente produirait d'autres valeurs et pourrait invalider certains seuils, par exemple le taux de contamination retenu pour Isolation Forest.</w:t>
      </w:r>
    </w:p>
    <w:p>
      <w:pPr>
        <w:pStyle w:val="ListBullet"/>
        <w:spacing w:after="40"/>
        <w:ind w:left="369"/>
      </w:pPr>
      <w:r>
        <w:rPr>
          <w:rFonts w:ascii="Calibri" w:hAnsi="Calibri"/>
          <w:b w:val="0"/>
          <w:i w:val="0"/>
          <w:color w:val="333333"/>
          <w:sz w:val="21"/>
        </w:rPr>
        <w:t xml:space="preserve">Le test de performance dépend du matériel : chaque exécution donne des facteurs différents. La conclusion de gestion ne change pas.</w:t>
      </w:r>
    </w:p>
    <w:p>
      <w:pPr>
        <w:pStyle w:val="ListBullet"/>
        <w:spacing w:after="40"/>
        <w:ind w:left="369"/>
      </w:pPr>
      <w:r>
        <w:rPr>
          <w:rFonts w:ascii="Calibri" w:hAnsi="Calibri"/>
          <w:b/>
          <w:i w:val="0"/>
          <w:color w:val="333333"/>
          <w:sz w:val="21"/>
        </w:rPr>
        <w:t>Le portfolio n'a pas été audité sur le fond des projets antérieurs.</w:t>
      </w:r>
      <w:r>
        <w:rPr>
          <w:rFonts w:ascii="Calibri" w:hAnsi="Calibri"/>
          <w:b w:val="0"/>
          <w:i w:val="0"/>
          <w:color w:val="333333"/>
          <w:sz w:val="21"/>
        </w:rPr>
        <w:t xml:space="preserve"> Le contrôle a porté sur la structure de la narration et sur l'intégration de la veille, pas sur l'exactitude des résultats des projets 1 à 12, qui ont été validés dans leur propre cadre.</w:t>
      </w:r>
    </w:p>
    <w:p>
      <w:pPr>
        <w:pStyle w:val="Heading1"/>
      </w:pPr>
      <w:bookmarkStart w:id="7021" w:name="_TocP130021"/>
      <w:r>
        <w:t>7. Conclusion de l'audit</w:t>
      </w:r>
      <w:bookmarkEnd w:id="7021"/>
    </w:p>
    <w:p>
      <w:r>
        <w:rPr>
          <w:rFonts w:ascii="Calibri" w:hAnsi="Calibri"/>
          <w:b w:val="0"/>
          <w:i w:val="0"/>
          <w:color w:val="333333"/>
          <w:sz w:val="21"/>
        </w:rPr>
        <w:t xml:space="preserve">Les seize indicateurs de la grille officielle (douze lors de ce premier passage, quatre ajoutés le 17 septembre 2026) sont couverts, chacun par une preuve localisable dans un document identifié. Les trois livrables sont produits et nommés conformément à la consigne ; le troisième, le portfolio, est en ligne depuis le 30 septembre 2026 et se dépose sous le nom Lippens_Charles_3_portfolio_092026, une page avec l'adresse du site. Les treize résultats déterministes du notebook ont été confirmés par une réexécution indépendante, puis retrouvés le 25 septembre sur mon poste, le 28 septembre dans un environnement neuf de l'assistant et le 30 septembre sur mon poste, dans un environnement neuf créé avec le seul requirements.txt (jalon J4). La marge, citée sans cellule de calcul, a été recalculée le 25 septembre par l'assistant (essai C), puis relue et relancée par moi le 7 octobre.</w:t>
      </w:r>
    </w:p>
    <w:p>
      <w:r>
        <w:rPr>
          <w:rFonts w:ascii="Calibri" w:hAnsi="Calibri"/>
          <w:b w:val="0"/>
          <w:i w:val="0"/>
          <w:color w:val="333333"/>
          <w:sz w:val="21"/>
        </w:rPr>
        <w:t xml:space="preserve">Onze écarts, dont trois sur des chiffres publiés. Aucun ne change une décision technique. Tous portaient sur la précision d'une phrase ou la complétude d'une preuve, ce qu'un évaluateur vérifie à l'oral.</w:t>
      </w:r>
    </w:p>
    <w:p>
      <w:pPr>
        <w:spacing w:before="60" w:after="160"/>
      </w:pPr>
      <w:r>
        <w:rPr>
          <w:rFonts w:ascii="Calibri" w:hAnsi="Calibri"/>
          <w:b/>
          <w:i w:val="0"/>
          <w:color w:val="333333"/>
          <w:sz w:val="20"/>
        </w:rPr>
        <w:t xml:space="preserve">Verdict. La première version complète est conforme et présentable.</w:t>
      </w:r>
      <w:r>
        <w:rPr>
          <w:rFonts w:ascii="Calibri" w:hAnsi="Calibri"/>
          <w:b w:val="0"/>
          <w:i w:val="0"/>
          <w:color w:val="333333"/>
          <w:sz w:val="20"/>
        </w:rPr>
        <w:t xml:space="preserve"> Chaque écart est corrigé et reste visible dans cet historique.</w:t>
      </w:r>
    </w:p>
    <w:p>
      <w:pPr>
        <w:spacing w:after="40"/>
      </w:pPr>
    </w:p>
    <w:p>
      <w:pPr>
        <w:pStyle w:val="Heading1"/>
      </w:pPr>
      <w:bookmarkStart w:id="7022" w:name="_TocP130022"/>
      <w:r>
        <w:t xml:space="preserve">8. Second passage d'audit, avant la livraison</w:t>
      </w:r>
      <w:bookmarkEnd w:id="7022"/>
    </w:p>
    <w:p>
      <w:r>
        <w:rPr>
          <w:rFonts w:ascii="Calibri" w:hAnsi="Calibri"/>
          <w:b w:val="0"/>
          <w:i w:val="0"/>
          <w:color w:val="333333"/>
          <w:sz w:val="21"/>
        </w:rPr>
        <w:t xml:space="preserve">Un second passage a été conduit avant la livraison, avec la même méthode que le premier : réexécution intégrale du notebook sur une troisième machine, extraction automatique des chiffres publiés, contrôle croisé document par document. Le périmètre s'étendait cette fois aux trois versions du portfolio, aux figures exportées et à la typographie du notebook.</w:t>
      </w:r>
    </w:p>
    <w:p>
      <w:pPr>
        <w:pStyle w:val="Heading2"/>
      </w:pPr>
      <w:bookmarkStart w:id="7023" w:name="_TocP130023"/>
      <w:r>
        <w:t xml:space="preserve">8.1 Ce que la troisième réexécution confirme</w:t>
      </w:r>
      <w:bookmarkEnd w:id="7023"/>
    </w:p>
    <w:p>
      <w:r>
        <w:rPr>
          <w:rFonts w:ascii="Calibri" w:hAnsi="Calibri"/>
          <w:b w:val="0"/>
          <w:i w:val="0"/>
          <w:color w:val="333333"/>
          <w:sz w:val="21"/>
        </w:rPr>
        <w:t xml:space="preserve">Les treize résultats déterministes calculés par le notebook sont confirmés à l'identique pour la troisième fois. Ce sont : 825 et 1 513 lignes sources, 9 types d'anomalies, 9 lignes en infraction sur 825, 714 produits, 143 680 euros, 5 751 unités, 13 et 36 anomalies dont 10 communes, 26 anomalies multivariées, pouvoir explicatif de 0,72, erreur moyenne de 1,54 unité, 435 références sur 689 pour 80 % du chiffre d'affaires. La marge, calculée à part, n'en fait pas partie. La reproductibilité annoncée est donc vérifiée sur trois machines distinctes, puis le 25 septembre 2026 sur mon poste, le 28 septembre dans un environnement neuf de l'assistant et le 30 septembre sur mon poste, dans un environnement neuf (jalon J4).</w:t>
      </w:r>
    </w:p>
    <w:p>
      <w:r>
        <w:rPr>
          <w:rFonts w:ascii="Calibri" w:hAnsi="Calibri"/>
          <w:b w:val="0"/>
          <w:i w:val="0"/>
          <w:color w:val="333333"/>
          <w:sz w:val="21"/>
        </w:rPr>
        <w:t xml:space="preserve">Le point sensible reste la mesure de performance, qui dépend du matériel. Le tableau ci-dessous réunit les mesures des trois machines, et depuis le 28 septembre 2026 celles de mon poste (25 septembre). Le dossier dit « moins de 40 millisecondes au volume réel ». Il cite deux mesures : Polars et DuckDB 4,1 et 2,9 fois plus rapides que pandas dans l'exécution livrée, 8,1 et 5,7 fois sur mon poste le 25 septembre.</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100"/>
        <w:gridCol w:w="1900"/>
        <w:gridCol w:w="2149"/>
        <w:gridCol w:w="2149"/>
      </w:tblGrid>
      <w:tr>
        <w:trPr>
          <w:cantSplit/>
          <w:tblHeader w:val="true"/>
        </w:trPr>
        <w:tc>
          <w:tcPr>
            <w:tcW w:type="dxa" w:w="3100"/>
            <w:shd w:val="clear" w:color="auto" w:fill="1F2937"/>
          </w:tcPr>
          <w:p>
            <w:pPr>
              <w:spacing w:after="0"/>
            </w:pPr>
            <w:r>
              <w:rPr>
                <w:rFonts w:ascii="Calibri" w:hAnsi="Calibri"/>
                <w:b/>
                <w:color w:val="FFFFFF"/>
                <w:sz w:val="18"/>
              </w:rPr>
              <w:t xml:space="preserve">Mesure</w:t>
            </w:r>
          </w:p>
        </w:tc>
        <w:tc>
          <w:tcPr>
            <w:tcW w:type="dxa" w:w="1900"/>
            <w:shd w:val="clear" w:color="auto" w:fill="1F2937"/>
          </w:tcPr>
          <w:p>
            <w:pPr>
              <w:spacing w:after="0"/>
            </w:pPr>
            <w:r>
              <w:rPr>
                <w:rFonts w:ascii="Calibri" w:hAnsi="Calibri"/>
                <w:b/>
                <w:color w:val="FFFFFF"/>
                <w:sz w:val="18"/>
              </w:rPr>
              <w:t xml:space="preserve">pandas</w:t>
            </w:r>
          </w:p>
        </w:tc>
        <w:tc>
          <w:tcPr>
            <w:tcW w:type="dxa" w:w="2149"/>
            <w:shd w:val="clear" w:color="auto" w:fill="1F2937"/>
          </w:tcPr>
          <w:p>
            <w:pPr>
              <w:spacing w:after="0"/>
            </w:pPr>
            <w:r>
              <w:rPr>
                <w:rFonts w:ascii="Calibri" w:hAnsi="Calibri"/>
                <w:b/>
                <w:color w:val="FFFFFF"/>
                <w:sz w:val="18"/>
              </w:rPr>
              <w:t xml:space="preserve">Polars</w:t>
            </w:r>
          </w:p>
        </w:tc>
        <w:tc>
          <w:tcPr>
            <w:tcW w:type="dxa" w:w="2149"/>
            <w:shd w:val="clear" w:color="auto" w:fill="1F2937"/>
          </w:tcPr>
          <w:p>
            <w:pPr>
              <w:spacing w:after="0"/>
            </w:pPr>
            <w:r>
              <w:rPr>
                <w:rFonts w:ascii="Calibri" w:hAnsi="Calibri"/>
                <w:b/>
                <w:color w:val="FFFFFF"/>
                <w:sz w:val="18"/>
              </w:rPr>
              <w:t xml:space="preserve">DuckDB</w:t>
            </w:r>
          </w:p>
        </w:tc>
      </w:tr>
      <w:tr>
        <w:trPr>
          <w:cantSplit/>
        </w:trPr>
        <w:tc>
          <w:tcPr>
            <w:tcW w:type="dxa" w:w="3100"/>
          </w:tcPr>
          <w:p>
            <w:pPr>
              <w:spacing w:after="0"/>
            </w:pPr>
            <w:r>
              <w:rPr>
                <w:rFonts w:ascii="Calibri" w:hAnsi="Calibri"/>
                <w:color w:val="333333"/>
                <w:sz w:val="18"/>
              </w:rPr>
              <w:t xml:space="preserve">Volumétrie réelle, premier poste</w:t>
            </w:r>
          </w:p>
        </w:tc>
        <w:tc>
          <w:tcPr>
            <w:tcW w:type="dxa" w:w="1900"/>
          </w:tcPr>
          <w:p>
            <w:pPr>
              <w:spacing w:after="0"/>
            </w:pPr>
            <w:r>
              <w:rPr>
                <w:rFonts w:ascii="Calibri" w:hAnsi="Calibri"/>
                <w:color w:val="333333"/>
                <w:sz w:val="18"/>
              </w:rPr>
              <w:t xml:space="preserve">5,3 ms</w:t>
            </w:r>
          </w:p>
        </w:tc>
        <w:tc>
          <w:tcPr>
            <w:tcW w:type="dxa" w:w="2149"/>
          </w:tcPr>
          <w:p>
            <w:pPr>
              <w:spacing w:after="0"/>
            </w:pPr>
            <w:r>
              <w:rPr>
                <w:rFonts w:ascii="Calibri" w:hAnsi="Calibri"/>
                <w:color w:val="333333"/>
                <w:sz w:val="18"/>
              </w:rPr>
              <w:t xml:space="preserve">1,6 ms</w:t>
            </w:r>
          </w:p>
        </w:tc>
        <w:tc>
          <w:tcPr>
            <w:tcW w:type="dxa" w:w="2149"/>
          </w:tcPr>
          <w:p>
            <w:pPr>
              <w:spacing w:after="0"/>
            </w:pPr>
            <w:r>
              <w:rPr>
                <w:rFonts w:ascii="Calibri" w:hAnsi="Calibri"/>
                <w:color w:val="333333"/>
                <w:sz w:val="18"/>
              </w:rPr>
              <w:t xml:space="preserve">22,1 ms</w:t>
            </w:r>
          </w:p>
        </w:tc>
      </w:tr>
      <w:tr>
        <w:trPr>
          <w:cantSplit/>
        </w:trPr>
        <w:tc>
          <w:tcPr>
            <w:tcW w:type="dxa" w:w="3100"/>
          </w:tcPr>
          <w:p>
            <w:pPr>
              <w:spacing w:after="0"/>
            </w:pPr>
            <w:r>
              <w:rPr>
                <w:rFonts w:ascii="Calibri" w:hAnsi="Calibri"/>
                <w:color w:val="333333"/>
                <w:sz w:val="18"/>
              </w:rPr>
              <w:t xml:space="preserve">Volumétrie réelle, réexécution d'audit</w:t>
            </w:r>
          </w:p>
        </w:tc>
        <w:tc>
          <w:tcPr>
            <w:tcW w:type="dxa" w:w="1900"/>
          </w:tcPr>
          <w:p>
            <w:pPr>
              <w:spacing w:after="0"/>
            </w:pPr>
            <w:r>
              <w:rPr>
                <w:rFonts w:ascii="Calibri" w:hAnsi="Calibri"/>
                <w:color w:val="333333"/>
                <w:sz w:val="18"/>
              </w:rPr>
              <w:t xml:space="preserve">9,5 ms</w:t>
            </w:r>
          </w:p>
        </w:tc>
        <w:tc>
          <w:tcPr>
            <w:tcW w:type="dxa" w:w="2149"/>
          </w:tcPr>
          <w:p>
            <w:pPr>
              <w:spacing w:after="0"/>
            </w:pPr>
            <w:r>
              <w:rPr>
                <w:rFonts w:ascii="Calibri" w:hAnsi="Calibri"/>
                <w:color w:val="333333"/>
                <w:sz w:val="18"/>
              </w:rPr>
              <w:t xml:space="preserve">2,6 ms</w:t>
            </w:r>
          </w:p>
        </w:tc>
        <w:tc>
          <w:tcPr>
            <w:tcW w:type="dxa" w:w="2149"/>
          </w:tcPr>
          <w:p>
            <w:pPr>
              <w:spacing w:after="0"/>
            </w:pPr>
            <w:r>
              <w:rPr>
                <w:rFonts w:ascii="Calibri" w:hAnsi="Calibri"/>
                <w:color w:val="333333"/>
                <w:sz w:val="18"/>
              </w:rPr>
              <w:t xml:space="preserve">26,3 ms</w:t>
            </w:r>
          </w:p>
        </w:tc>
      </w:tr>
      <w:tr>
        <w:trPr>
          <w:cantSplit/>
        </w:trPr>
        <w:tc>
          <w:tcPr>
            <w:tcW w:type="dxa" w:w="3100"/>
          </w:tcPr>
          <w:p>
            <w:pPr>
              <w:spacing w:after="0"/>
            </w:pPr>
            <w:r>
              <w:rPr>
                <w:rFonts w:ascii="Calibri" w:hAnsi="Calibri"/>
                <w:color w:val="333333"/>
                <w:sz w:val="18"/>
              </w:rPr>
              <w:t xml:space="preserve">Volumétrie réelle, poste de l'exécution livrée</w:t>
            </w:r>
          </w:p>
        </w:tc>
        <w:tc>
          <w:tcPr>
            <w:tcW w:type="dxa" w:w="1900"/>
          </w:tcPr>
          <w:p>
            <w:pPr>
              <w:spacing w:after="0"/>
            </w:pPr>
            <w:r>
              <w:rPr>
                <w:rFonts w:ascii="Calibri" w:hAnsi="Calibri"/>
                <w:color w:val="333333"/>
                <w:sz w:val="18"/>
              </w:rPr>
              <w:t xml:space="preserve">9,9 ms</w:t>
            </w:r>
          </w:p>
        </w:tc>
        <w:tc>
          <w:tcPr>
            <w:tcW w:type="dxa" w:w="2149"/>
          </w:tcPr>
          <w:p>
            <w:pPr>
              <w:spacing w:after="0"/>
            </w:pPr>
            <w:r>
              <w:rPr>
                <w:rFonts w:ascii="Calibri" w:hAnsi="Calibri"/>
                <w:color w:val="333333"/>
                <w:sz w:val="18"/>
              </w:rPr>
              <w:t xml:space="preserve">2,5 ms</w:t>
            </w:r>
          </w:p>
        </w:tc>
        <w:tc>
          <w:tcPr>
            <w:tcW w:type="dxa" w:w="2149"/>
          </w:tcPr>
          <w:p>
            <w:pPr>
              <w:spacing w:after="0"/>
            </w:pPr>
            <w:r>
              <w:rPr>
                <w:rFonts w:ascii="Calibri" w:hAnsi="Calibri"/>
                <w:color w:val="333333"/>
                <w:sz w:val="18"/>
              </w:rPr>
              <w:t xml:space="preserve">32,3 ms</w:t>
            </w:r>
          </w:p>
        </w:tc>
      </w:tr>
      <w:tr>
        <w:trPr>
          <w:cantSplit/>
        </w:trPr>
        <w:tc>
          <w:tcPr>
            <w:tcW w:type="dxa" w:w="3100"/>
          </w:tcPr>
          <w:p>
            <w:pPr>
              <w:spacing w:after="0"/>
            </w:pPr>
            <w:r>
              <w:rPr>
                <w:rFonts w:ascii="Calibri" w:hAnsi="Calibri"/>
                <w:b w:val="0"/>
                <w:color w:val="333333"/>
                <w:sz w:val="18"/>
              </w:rPr>
              <w:t xml:space="preserve">Volumétrie réelle, mon poste, 25 septembre 2026</w:t>
            </w:r>
          </w:p>
        </w:tc>
        <w:tc>
          <w:tcPr>
            <w:tcW w:type="dxa" w:w="1900"/>
          </w:tcPr>
          <w:p>
            <w:pPr>
              <w:spacing w:after="0"/>
            </w:pPr>
            <w:r>
              <w:rPr>
                <w:rFonts w:ascii="Calibri" w:hAnsi="Calibri"/>
                <w:b w:val="0"/>
                <w:color w:val="333333"/>
                <w:sz w:val="18"/>
              </w:rPr>
              <w:t xml:space="preserve">4,7 ms</w:t>
            </w:r>
          </w:p>
        </w:tc>
        <w:tc>
          <w:tcPr>
            <w:tcW w:type="dxa" w:w="2149"/>
          </w:tcPr>
          <w:p>
            <w:pPr>
              <w:spacing w:after="0"/>
            </w:pPr>
            <w:r>
              <w:rPr>
                <w:rFonts w:ascii="Calibri" w:hAnsi="Calibri"/>
                <w:b w:val="0"/>
                <w:color w:val="333333"/>
                <w:sz w:val="18"/>
              </w:rPr>
              <w:t xml:space="preserve">2,1 ms</w:t>
            </w:r>
          </w:p>
        </w:tc>
        <w:tc>
          <w:tcPr>
            <w:tcW w:type="dxa" w:w="2149"/>
          </w:tcPr>
          <w:p>
            <w:pPr>
              <w:spacing w:after="0"/>
            </w:pPr>
            <w:r>
              <w:rPr>
                <w:rFonts w:ascii="Calibri" w:hAnsi="Calibri"/>
                <w:b w:val="0"/>
                <w:color w:val="333333"/>
                <w:sz w:val="18"/>
              </w:rPr>
              <w:t xml:space="preserve">26,7 ms</w:t>
            </w:r>
          </w:p>
        </w:tc>
      </w:tr>
      <w:tr>
        <w:trPr>
          <w:cantSplit/>
        </w:trPr>
        <w:tc>
          <w:tcPr>
            <w:tcW w:type="dxa" w:w="3100"/>
          </w:tcPr>
          <w:p>
            <w:pPr>
              <w:spacing w:after="0"/>
            </w:pPr>
            <w:r>
              <w:rPr>
                <w:rFonts w:ascii="Calibri" w:hAnsi="Calibri"/>
                <w:color w:val="333333"/>
                <w:sz w:val="18"/>
              </w:rPr>
              <w:t xml:space="preserve">Deux millions de lignes, premier poste</w:t>
            </w:r>
          </w:p>
        </w:tc>
        <w:tc>
          <w:tcPr>
            <w:tcW w:type="dxa" w:w="1900"/>
          </w:tcPr>
          <w:p>
            <w:pPr>
              <w:spacing w:after="0"/>
            </w:pPr>
            <w:r>
              <w:rPr>
                <w:rFonts w:ascii="Calibri" w:hAnsi="Calibri"/>
                <w:color w:val="333333"/>
                <w:sz w:val="18"/>
              </w:rPr>
              <w:t xml:space="preserve">238 ms (référence)</w:t>
            </w:r>
          </w:p>
        </w:tc>
        <w:tc>
          <w:tcPr>
            <w:tcW w:type="dxa" w:w="2149"/>
          </w:tcPr>
          <w:p>
            <w:pPr>
              <w:spacing w:after="0"/>
            </w:pPr>
            <w:r>
              <w:rPr>
                <w:rFonts w:ascii="Calibri" w:hAnsi="Calibri"/>
                <w:color w:val="333333"/>
                <w:sz w:val="18"/>
              </w:rPr>
              <w:t xml:space="preserve">41 ms, soit 5,9 fois plus rapide</w:t>
            </w:r>
          </w:p>
        </w:tc>
        <w:tc>
          <w:tcPr>
            <w:tcW w:type="dxa" w:w="2149"/>
          </w:tcPr>
          <w:p>
            <w:pPr>
              <w:spacing w:after="0"/>
            </w:pPr>
            <w:r>
              <w:rPr>
                <w:rFonts w:ascii="Calibri" w:hAnsi="Calibri"/>
                <w:color w:val="333333"/>
                <w:sz w:val="18"/>
              </w:rPr>
              <w:t xml:space="preserve">64 ms, soit 3,7 fois plus rapide</w:t>
            </w:r>
          </w:p>
        </w:tc>
      </w:tr>
      <w:tr>
        <w:trPr>
          <w:cantSplit/>
        </w:trPr>
        <w:tc>
          <w:tcPr>
            <w:tcW w:type="dxa" w:w="3100"/>
          </w:tcPr>
          <w:p>
            <w:pPr>
              <w:spacing w:after="0"/>
            </w:pPr>
            <w:r>
              <w:rPr>
                <w:rFonts w:ascii="Calibri" w:hAnsi="Calibri"/>
                <w:color w:val="333333"/>
                <w:sz w:val="18"/>
              </w:rPr>
              <w:t xml:space="preserve">Deux millions de lignes, réexécution d'audit</w:t>
            </w:r>
          </w:p>
        </w:tc>
        <w:tc>
          <w:tcPr>
            <w:tcW w:type="dxa" w:w="1900"/>
          </w:tcPr>
          <w:p>
            <w:pPr>
              <w:spacing w:after="0"/>
            </w:pPr>
            <w:r>
              <w:rPr>
                <w:rFonts w:ascii="Calibri" w:hAnsi="Calibri"/>
                <w:color w:val="333333"/>
                <w:sz w:val="18"/>
              </w:rPr>
              <w:t xml:space="preserve">272,5 ms (référence)</w:t>
            </w:r>
          </w:p>
        </w:tc>
        <w:tc>
          <w:tcPr>
            <w:tcW w:type="dxa" w:w="2149"/>
          </w:tcPr>
          <w:p>
            <w:pPr>
              <w:spacing w:after="0"/>
            </w:pPr>
            <w:r>
              <w:rPr>
                <w:rFonts w:ascii="Calibri" w:hAnsi="Calibri"/>
                <w:color w:val="333333"/>
                <w:sz w:val="18"/>
              </w:rPr>
              <w:t xml:space="preserve">71,4 ms, soit 3,8 fois plus rapide</w:t>
            </w:r>
          </w:p>
        </w:tc>
        <w:tc>
          <w:tcPr>
            <w:tcW w:type="dxa" w:w="2149"/>
          </w:tcPr>
          <w:p>
            <w:pPr>
              <w:spacing w:after="0"/>
            </w:pPr>
            <w:r>
              <w:rPr>
                <w:rFonts w:ascii="Calibri" w:hAnsi="Calibri"/>
                <w:color w:val="333333"/>
                <w:sz w:val="18"/>
              </w:rPr>
              <w:t xml:space="preserve">74,8 ms, soit 3,6 fois plus rapide</w:t>
            </w:r>
          </w:p>
        </w:tc>
      </w:tr>
      <w:tr>
        <w:trPr>
          <w:cantSplit/>
        </w:trPr>
        <w:tc>
          <w:tcPr>
            <w:tcW w:type="dxa" w:w="3100"/>
          </w:tcPr>
          <w:p>
            <w:pPr>
              <w:spacing w:after="0"/>
            </w:pPr>
            <w:r>
              <w:rPr>
                <w:rFonts w:ascii="Calibri" w:hAnsi="Calibri"/>
                <w:color w:val="333333"/>
                <w:sz w:val="18"/>
              </w:rPr>
              <w:t xml:space="preserve">Deux millions de lignes, poste de l'exécution livrée</w:t>
            </w:r>
          </w:p>
        </w:tc>
        <w:tc>
          <w:tcPr>
            <w:tcW w:type="dxa" w:w="1900"/>
          </w:tcPr>
          <w:p>
            <w:pPr>
              <w:spacing w:after="0"/>
            </w:pPr>
            <w:r>
              <w:rPr>
                <w:rFonts w:ascii="Calibri" w:hAnsi="Calibri"/>
                <w:color w:val="333333"/>
                <w:sz w:val="18"/>
              </w:rPr>
              <w:t xml:space="preserve">240,3 ms (référence)</w:t>
            </w:r>
          </w:p>
        </w:tc>
        <w:tc>
          <w:tcPr>
            <w:tcW w:type="dxa" w:w="2149"/>
          </w:tcPr>
          <w:p>
            <w:pPr>
              <w:spacing w:after="0"/>
            </w:pPr>
            <w:r>
              <w:rPr>
                <w:rFonts w:ascii="Calibri" w:hAnsi="Calibri"/>
                <w:color w:val="333333"/>
                <w:sz w:val="18"/>
              </w:rPr>
              <w:t xml:space="preserve">58,7 ms, soit 4,1 fois plus rapide</w:t>
            </w:r>
          </w:p>
        </w:tc>
        <w:tc>
          <w:tcPr>
            <w:tcW w:type="dxa" w:w="2149"/>
          </w:tcPr>
          <w:p>
            <w:pPr>
              <w:spacing w:after="0"/>
            </w:pPr>
            <w:r>
              <w:rPr>
                <w:rFonts w:ascii="Calibri" w:hAnsi="Calibri"/>
                <w:color w:val="333333"/>
                <w:sz w:val="18"/>
              </w:rPr>
              <w:t xml:space="preserve">81,7 ms, soit 2,9 fois plus rapide</w:t>
            </w:r>
          </w:p>
        </w:tc>
      </w:tr>
      <w:tr>
        <w:trPr>
          <w:cantSplit/>
        </w:trPr>
        <w:tc>
          <w:tcPr>
            <w:tcW w:type="dxa" w:w="3100"/>
          </w:tcPr>
          <w:p>
            <w:pPr>
              <w:spacing w:after="0"/>
            </w:pPr>
            <w:r>
              <w:rPr>
                <w:rFonts w:ascii="Calibri" w:hAnsi="Calibri"/>
                <w:b w:val="0"/>
                <w:color w:val="333333"/>
                <w:sz w:val="18"/>
              </w:rPr>
              <w:t xml:space="preserve">Deux millions de lignes, mon poste, 25 septembre 2026</w:t>
            </w:r>
          </w:p>
        </w:tc>
        <w:tc>
          <w:tcPr>
            <w:tcW w:type="dxa" w:w="1900"/>
          </w:tcPr>
          <w:p>
            <w:pPr>
              <w:spacing w:after="0"/>
            </w:pPr>
            <w:r>
              <w:rPr>
                <w:rFonts w:ascii="Calibri" w:hAnsi="Calibri"/>
                <w:b w:val="0"/>
                <w:color w:val="333333"/>
                <w:sz w:val="18"/>
              </w:rPr>
              <w:t xml:space="preserve">240,3 ms (référence)</w:t>
            </w:r>
          </w:p>
        </w:tc>
        <w:tc>
          <w:tcPr>
            <w:tcW w:type="dxa" w:w="2149"/>
          </w:tcPr>
          <w:p>
            <w:pPr>
              <w:spacing w:after="0"/>
            </w:pPr>
            <w:r>
              <w:rPr>
                <w:rFonts w:ascii="Calibri" w:hAnsi="Calibri"/>
                <w:b w:val="0"/>
                <w:color w:val="333333"/>
                <w:sz w:val="18"/>
              </w:rPr>
              <w:t xml:space="preserve">29,8 ms, soit 8,1 fois plus rapide</w:t>
            </w:r>
          </w:p>
        </w:tc>
        <w:tc>
          <w:tcPr>
            <w:tcW w:type="dxa" w:w="2149"/>
          </w:tcPr>
          <w:p>
            <w:pPr>
              <w:spacing w:after="0"/>
            </w:pPr>
            <w:r>
              <w:rPr>
                <w:rFonts w:ascii="Calibri" w:hAnsi="Calibri"/>
                <w:b w:val="0"/>
                <w:color w:val="333333"/>
                <w:sz w:val="18"/>
              </w:rPr>
              <w:t xml:space="preserve">41,8 ms, soit 5,7 fois plus rapide</w:t>
            </w:r>
          </w:p>
        </w:tc>
      </w:tr>
    </w:tbl>
    <w:p>
      <w:pPr>
        <w:spacing w:before="160"/>
      </w:pPr>
      <w:r>
        <w:rPr>
          <w:rFonts w:ascii="Calibri" w:hAnsi="Calibri"/>
          <w:b w:val="0"/>
          <w:i w:val="0"/>
          <w:color w:val="333333"/>
          <w:sz w:val="21"/>
        </w:rPr>
        <w:t xml:space="preserve">L'exécution conservée de la première version complète (3,5 et 2,9) n'est pas dans ce tableau, qui garde la réexécution d'audit (3,8 et 3,6). Toutes les mesures sont listées en annexe A.2 de la documentation de la démarche et dans le journal des essais.</w:t>
      </w:r>
    </w:p>
    <w:p>
      <w:pPr>
        <w:spacing w:after="120"/>
      </w:pPr>
    </w:p>
    <w:p>
      <w:pPr>
        <w:pStyle w:val="Heading2"/>
      </w:pPr>
      <w:bookmarkStart w:id="7024" w:name="_TocP130024"/>
      <w:r>
        <w:t xml:space="preserve">8.2 Écarts relevés et corrigés, numérotés à la suite du premier passage</w:t>
      </w:r>
      <w:bookmarkEnd w:id="7024"/>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2200"/>
        <w:gridCol w:w="3549"/>
        <w:gridCol w:w="3549"/>
      </w:tblGrid>
      <w:tr>
        <w:trPr>
          <w:cantSplit/>
          <w:tblHeader w:val="true"/>
        </w:trPr>
        <w:tc>
          <w:tcPr>
            <w:tcW w:type="dxa" w:w="2200"/>
            <w:shd w:val="clear" w:color="auto" w:fill="1F2937"/>
          </w:tcPr>
          <w:p>
            <w:pPr>
              <w:spacing w:after="0"/>
            </w:pPr>
            <w:r>
              <w:rPr>
                <w:rFonts w:ascii="Calibri" w:hAnsi="Calibri"/>
                <w:b/>
                <w:color w:val="FFFFFF"/>
                <w:sz w:val="18"/>
              </w:rPr>
              <w:t xml:space="preserve">Écart</w:t>
            </w:r>
          </w:p>
        </w:tc>
        <w:tc>
          <w:tcPr>
            <w:tcW w:type="dxa" w:w="3549"/>
            <w:shd w:val="clear" w:color="auto" w:fill="1F2937"/>
          </w:tcPr>
          <w:p>
            <w:pPr>
              <w:spacing w:after="0"/>
            </w:pPr>
            <w:r>
              <w:rPr>
                <w:rFonts w:ascii="Calibri" w:hAnsi="Calibri"/>
                <w:b/>
                <w:color w:val="FFFFFF"/>
                <w:sz w:val="18"/>
              </w:rPr>
              <w:t xml:space="preserve">Constat</w:t>
            </w:r>
          </w:p>
        </w:tc>
        <w:tc>
          <w:tcPr>
            <w:tcW w:type="dxa" w:w="3549"/>
            <w:shd w:val="clear" w:color="auto" w:fill="1F2937"/>
          </w:tcPr>
          <w:p>
            <w:pPr>
              <w:spacing w:after="0"/>
            </w:pPr>
            <w:r>
              <w:rPr>
                <w:rFonts w:ascii="Calibri" w:hAnsi="Calibri"/>
                <w:b/>
                <w:color w:val="FFFFFF"/>
                <w:sz w:val="18"/>
              </w:rPr>
              <w:t xml:space="preserve">Correction apportée</w:t>
            </w:r>
          </w:p>
        </w:tc>
      </w:tr>
      <w:tr>
        <w:trPr>
          <w:cantSplit/>
        </w:trPr>
        <w:tc>
          <w:tcPr>
            <w:tcW w:type="dxa" w:w="2200"/>
          </w:tcPr>
          <w:p>
            <w:pPr>
              <w:spacing w:after="0"/>
            </w:pPr>
            <w:r>
              <w:rPr>
                <w:rFonts w:ascii="Calibri" w:hAnsi="Calibri"/>
                <w:color w:val="333333"/>
                <w:sz w:val="18"/>
              </w:rPr>
              <w:t xml:space="preserve">12. Exécution embarquée contre chiffres publiés</w:t>
            </w:r>
          </w:p>
        </w:tc>
        <w:tc>
          <w:tcPr>
            <w:tcW w:type="dxa" w:w="3549"/>
          </w:tcPr>
          <w:p>
            <w:pPr>
              <w:spacing w:after="0"/>
            </w:pPr>
            <w:r>
              <w:rPr>
                <w:rFonts w:ascii="Calibri" w:hAnsi="Calibri"/>
                <w:color w:val="333333"/>
                <w:sz w:val="18"/>
              </w:rPr>
              <w:t xml:space="preserve">L'exécution embarquée dans le notebook affichait 39,1 ms pour DuckDB et des facteurs de 3,5 et 2,9, ce qui contredisait la phrase « moins de trente millisecondes » et la mention « facteur 3 à 6 » publiées dans la documentation.</w:t>
            </w:r>
          </w:p>
        </w:tc>
        <w:tc>
          <w:tcPr>
            <w:tcW w:type="dxa" w:w="3549"/>
          </w:tcPr>
          <w:p>
            <w:pPr>
              <w:spacing w:after="0"/>
            </w:pPr>
            <w:r>
              <w:rPr>
                <w:rFonts w:ascii="Calibri" w:hAnsi="Calibri"/>
                <w:color w:val="333333"/>
                <w:sz w:val="18"/>
              </w:rPr>
              <w:t xml:space="preserve">Notebook réexécuté et livré avec une exécution cohérente ; formulations élargies dans tout le dossier : moins de 40 millisecondes, gain d'environ 3 à 6 fois selon le moteur et la machine ; tableau des trois machines publié ci-dessus. Formulation remplacée le 28 septembre 2026 par des facteurs mesurés.</w:t>
            </w:r>
          </w:p>
        </w:tc>
      </w:tr>
      <w:tr>
        <w:trPr>
          <w:cantSplit/>
        </w:trPr>
        <w:tc>
          <w:tcPr>
            <w:tcW w:type="dxa" w:w="2200"/>
          </w:tcPr>
          <w:p>
            <w:pPr>
              <w:spacing w:after="0"/>
            </w:pPr>
            <w:r>
              <w:rPr>
                <w:rFonts w:ascii="Calibri" w:hAnsi="Calibri"/>
                <w:color w:val="333333"/>
                <w:sz w:val="18"/>
              </w:rPr>
              <w:t xml:space="preserve">13. Figure des neuf types d'anomalies</w:t>
            </w:r>
          </w:p>
        </w:tc>
        <w:tc>
          <w:tcPr>
            <w:tcW w:type="dxa" w:w="3549"/>
          </w:tcPr>
          <w:p>
            <w:pPr>
              <w:spacing w:after="0"/>
            </w:pPr>
            <w:r>
              <w:rPr>
                <w:rFonts w:ascii="Calibri" w:hAnsi="Calibri"/>
                <w:color w:val="333333"/>
                <w:sz w:val="18"/>
              </w:rPr>
              <w:t xml:space="preserve">La figure exportée ne correspondait pas au tableau du notebook : elle affichait 85 références sans identifiant et 0 doublon, là où le notebook compte 2 SKU manquants et 1 doublon parmi les lignes produits.</w:t>
            </w:r>
          </w:p>
        </w:tc>
        <w:tc>
          <w:tcPr>
            <w:tcW w:type="dxa" w:w="3549"/>
          </w:tcPr>
          <w:p>
            <w:pPr>
              <w:spacing w:after="0"/>
            </w:pPr>
            <w:r>
              <w:rPr>
                <w:rFonts w:ascii="Calibri" w:hAnsi="Calibri"/>
                <w:color w:val="333333"/>
                <w:sz w:val="18"/>
              </w:rPr>
              <w:t xml:space="preserve">Figure régénérée à partir des neuf catégories et des valeurs exactes du notebook, puis remplacée dans le document de veille et le support de soutenance.</w:t>
            </w:r>
          </w:p>
        </w:tc>
      </w:tr>
      <w:tr>
        <w:trPr>
          <w:cantSplit/>
        </w:trPr>
        <w:tc>
          <w:tcPr>
            <w:tcW w:type="dxa" w:w="2200"/>
          </w:tcPr>
          <w:p>
            <w:pPr>
              <w:spacing w:after="0"/>
            </w:pPr>
            <w:r>
              <w:rPr>
                <w:rFonts w:ascii="Calibri" w:hAnsi="Calibri"/>
                <w:color w:val="333333"/>
                <w:sz w:val="18"/>
              </w:rPr>
              <w:t xml:space="preserve">14. Portfolio resté sur les valeurs d'avant le premier audit</w:t>
            </w:r>
          </w:p>
        </w:tc>
        <w:tc>
          <w:tcPr>
            <w:tcW w:type="dxa" w:w="3549"/>
          </w:tcPr>
          <w:p>
            <w:pPr>
              <w:spacing w:after="0"/>
            </w:pPr>
            <w:r>
              <w:rPr>
                <w:rFonts w:ascii="Calibri" w:hAnsi="Calibri"/>
                <w:color w:val="333333"/>
                <w:sz w:val="18"/>
              </w:rPr>
              <w:t xml:space="preserve">Les trois versions du site publiaient encore « écarts inférieurs à 10 ms », « Polars environ 4 fois » et « DuckDB environ 3 fois », ainsi qu'une figure issue de la première ébauche, avec un test à 10 millions de lignes absent du notebook.</w:t>
            </w:r>
          </w:p>
        </w:tc>
        <w:tc>
          <w:tcPr>
            <w:tcW w:type="dxa" w:w="3549"/>
          </w:tcPr>
          <w:p>
            <w:pPr>
              <w:spacing w:after="0"/>
            </w:pPr>
            <w:r>
              <w:rPr>
                <w:rFonts w:ascii="Calibri" w:hAnsi="Calibri"/>
                <w:color w:val="333333"/>
                <w:sz w:val="18"/>
              </w:rPr>
              <w:t xml:space="preserve">Textes, légendes et textes alternatifs alignés sur les formulations du dossier ; figure d'accélération régénérée depuis l'exécution livrée.</w:t>
            </w:r>
          </w:p>
        </w:tc>
      </w:tr>
      <w:tr>
        <w:trPr>
          <w:cantSplit/>
        </w:trPr>
        <w:tc>
          <w:tcPr>
            <w:tcW w:type="dxa" w:w="2200"/>
          </w:tcPr>
          <w:p>
            <w:pPr>
              <w:spacing w:after="0"/>
            </w:pPr>
            <w:r>
              <w:rPr>
                <w:rFonts w:ascii="Calibri" w:hAnsi="Calibri"/>
                <w:color w:val="333333"/>
                <w:sz w:val="18"/>
              </w:rPr>
              <w:t xml:space="preserve">15. Typographie héritée d'anciens séparateurs</w:t>
            </w:r>
          </w:p>
        </w:tc>
        <w:tc>
          <w:tcPr>
            <w:tcW w:type="dxa" w:w="3549"/>
          </w:tcPr>
          <w:p>
            <w:pPr>
              <w:spacing w:after="0"/>
            </w:pPr>
            <w:r>
              <w:rPr>
                <w:rFonts w:ascii="Calibri" w:hAnsi="Calibri"/>
                <w:color w:val="333333"/>
                <w:sz w:val="18"/>
              </w:rPr>
              <w:t xml:space="preserve">Dix virgules précédées d'une espace dans le notebook, et le mot « vers » employé à la place d'un signe de ponctuation, rendaient certaines phrases incorrectes.</w:t>
            </w:r>
          </w:p>
        </w:tc>
        <w:tc>
          <w:tcPr>
            <w:tcW w:type="dxa" w:w="3549"/>
          </w:tcPr>
          <w:p>
            <w:pPr>
              <w:spacing w:after="0"/>
            </w:pPr>
            <w:r>
              <w:rPr>
                <w:rFonts w:ascii="Calibri" w:hAnsi="Calibri"/>
                <w:color w:val="333333"/>
                <w:sz w:val="18"/>
              </w:rPr>
              <w:t xml:space="preserve">Ponctuation rétablie dans toutes les cellules concernées.</w:t>
            </w:r>
          </w:p>
        </w:tc>
      </w:tr>
      <w:tr>
        <w:trPr>
          <w:cantSplit/>
        </w:trPr>
        <w:tc>
          <w:tcPr>
            <w:tcW w:type="dxa" w:w="2200"/>
          </w:tcPr>
          <w:p>
            <w:pPr>
              <w:spacing w:after="0"/>
            </w:pPr>
            <w:r>
              <w:rPr>
                <w:rFonts w:ascii="Calibri" w:hAnsi="Calibri"/>
                <w:color w:val="333333"/>
                <w:sz w:val="18"/>
              </w:rPr>
              <w:t xml:space="preserve">16. Accents manquants</w:t>
            </w:r>
          </w:p>
        </w:tc>
        <w:tc>
          <w:tcPr>
            <w:tcW w:type="dxa" w:w="3549"/>
          </w:tcPr>
          <w:p>
            <w:pPr>
              <w:spacing w:after="0"/>
            </w:pPr>
            <w:r>
              <w:rPr>
                <w:rFonts w:ascii="Calibri" w:hAnsi="Calibri"/>
                <w:color w:val="333333"/>
                <w:sz w:val="18"/>
              </w:rPr>
              <w:t xml:space="preserve">« 3 a 6 » sans accent dans le notebook et dans une page du portfolio ; chaînes de caractères du code sans accents, visibles dans les sorties imprimées et les titres de figures.</w:t>
            </w:r>
          </w:p>
        </w:tc>
        <w:tc>
          <w:tcPr>
            <w:tcW w:type="dxa" w:w="3549"/>
          </w:tcPr>
          <w:p>
            <w:pPr>
              <w:spacing w:after="0"/>
            </w:pPr>
            <w:r>
              <w:rPr>
                <w:rFonts w:ascii="Calibri" w:hAnsi="Calibri"/>
                <w:color w:val="333333"/>
                <w:sz w:val="18"/>
              </w:rPr>
              <w:t xml:space="preserve">Accentuation rétablie dans le texte, dans le code et dans les sorties, notebook réexécuté en conséquence.</w:t>
            </w:r>
          </w:p>
        </w:tc>
      </w:tr>
      <w:tr>
        <w:trPr>
          <w:cantSplit/>
        </w:trPr>
        <w:tc>
          <w:tcPr>
            <w:tcW w:type="dxa" w:w="2200"/>
          </w:tcPr>
          <w:p>
            <w:pPr>
              <w:spacing w:after="0"/>
            </w:pPr>
            <w:r>
              <w:rPr>
                <w:rFonts w:ascii="Calibri" w:hAnsi="Calibri"/>
                <w:color w:val="333333"/>
                <w:sz w:val="18"/>
              </w:rPr>
              <w:t xml:space="preserve">17. Date du notebook</w:t>
            </w:r>
          </w:p>
        </w:tc>
        <w:tc>
          <w:tcPr>
            <w:tcW w:type="dxa" w:w="3549"/>
          </w:tcPr>
          <w:p>
            <w:pPr>
              <w:spacing w:after="0"/>
            </w:pPr>
            <w:r>
              <w:rPr>
                <w:rFonts w:ascii="Calibri" w:hAnsi="Calibri"/>
                <w:color w:val="333333"/>
                <w:sz w:val="18"/>
              </w:rPr>
              <w:t xml:space="preserve">L'en-tête du notebook et le dossier ne portaient pas la même date.</w:t>
            </w:r>
          </w:p>
        </w:tc>
        <w:tc>
          <w:tcPr>
            <w:tcW w:type="dxa" w:w="3549"/>
          </w:tcPr>
          <w:p>
            <w:pPr>
              <w:spacing w:after="0"/>
            </w:pPr>
            <w:r>
              <w:rPr>
                <w:rFonts w:ascii="Calibri" w:hAnsi="Calibri"/>
                <w:color w:val="333333"/>
                <w:sz w:val="18"/>
              </w:rPr>
              <w:t xml:space="preserve">Dates alignées.</w:t>
            </w:r>
          </w:p>
        </w:tc>
      </w:tr>
      <w:tr>
        <w:trPr>
          <w:cantSplit/>
        </w:trPr>
        <w:tc>
          <w:tcPr>
            <w:tcW w:type="dxa" w:w="2200"/>
          </w:tcPr>
          <w:p>
            <w:pPr>
              <w:spacing w:after="0"/>
            </w:pPr>
            <w:r>
              <w:rPr>
                <w:rFonts w:ascii="Calibri" w:hAnsi="Calibri"/>
                <w:color w:val="333333"/>
                <w:sz w:val="18"/>
              </w:rPr>
              <w:t xml:space="preserve">18. Taux de marge résiduel</w:t>
            </w:r>
          </w:p>
        </w:tc>
        <w:tc>
          <w:tcPr>
            <w:tcW w:type="dxa" w:w="3549"/>
          </w:tcPr>
          <w:p>
            <w:pPr>
              <w:spacing w:after="0"/>
            </w:pPr>
            <w:r>
              <w:rPr>
                <w:rFonts w:ascii="Calibri" w:hAnsi="Calibri"/>
                <w:color w:val="333333"/>
                <w:sz w:val="18"/>
              </w:rPr>
              <w:t xml:space="preserve">La synthèse du notebook affichait encore « environ 47 % » au lieu de la valeur harmonisée.</w:t>
            </w:r>
          </w:p>
        </w:tc>
        <w:tc>
          <w:tcPr>
            <w:tcW w:type="dxa" w:w="3549"/>
          </w:tcPr>
          <w:p>
            <w:pPr>
              <w:spacing w:after="0"/>
            </w:pPr>
            <w:r>
              <w:rPr>
                <w:rFonts w:ascii="Calibri" w:hAnsi="Calibri"/>
                <w:color w:val="333333"/>
                <w:sz w:val="18"/>
              </w:rPr>
              <w:t xml:space="preserve">Valeur unique de 47,4 %, avec la médiane à 48,3 %, comme dans le reste du dossier.</w:t>
            </w:r>
          </w:p>
        </w:tc>
      </w:tr>
      <w:tr>
        <w:trPr>
          <w:cantSplit/>
        </w:trPr>
        <w:tc>
          <w:tcPr>
            <w:tcW w:type="dxa" w:w="2200"/>
          </w:tcPr>
          <w:p>
            <w:pPr>
              <w:spacing w:after="0"/>
            </w:pPr>
            <w:r>
              <w:rPr>
                <w:rFonts w:ascii="Calibri" w:hAnsi="Calibri"/>
                <w:color w:val="333333"/>
                <w:sz w:val="18"/>
              </w:rPr>
              <w:t xml:space="preserve">19. Décompte des volets de la documentation</w:t>
            </w:r>
          </w:p>
        </w:tc>
        <w:tc>
          <w:tcPr>
            <w:tcW w:type="dxa" w:w="3549"/>
          </w:tcPr>
          <w:p>
            <w:pPr>
              <w:spacing w:after="0"/>
            </w:pPr>
            <w:r>
              <w:rPr>
                <w:rFonts w:ascii="Calibri" w:hAnsi="Calibri"/>
                <w:color w:val="333333"/>
                <w:sz w:val="18"/>
              </w:rPr>
              <w:t xml:space="preserve">Ce document annonçait une documentation en six volets et en énumérait six, alors que le dossier en compte sept, guide de prise en main compris.</w:t>
            </w:r>
          </w:p>
        </w:tc>
        <w:tc>
          <w:tcPr>
            <w:tcW w:type="dxa" w:w="3549"/>
          </w:tcPr>
          <w:p>
            <w:pPr>
              <w:spacing w:after="0"/>
            </w:pPr>
            <w:r>
              <w:rPr>
                <w:rFonts w:ascii="Calibri" w:hAnsi="Calibri"/>
                <w:color w:val="333333"/>
                <w:sz w:val="18"/>
              </w:rPr>
              <w:t xml:space="preserve">Décompte et énumération corrigés en sept volets, en cohérence avec l'index et le support de soutenance.</w:t>
            </w:r>
          </w:p>
        </w:tc>
      </w:tr>
    </w:tbl>
    <w:p>
      <w:pPr>
        <w:spacing w:after="120"/>
      </w:pPr>
    </w:p>
    <w:p>
      <w:pPr>
        <w:pStyle w:val="Heading2"/>
      </w:pPr>
      <w:bookmarkStart w:id="7025" w:name="_TocP130025"/>
      <w:r>
        <w:t xml:space="preserve">8.3 Autres vérifications sans écart</w:t>
      </w:r>
      <w:bookmarkEnd w:id="7025"/>
    </w:p>
    <w:p>
      <w:pPr>
        <w:pStyle w:val="ListBullet"/>
        <w:spacing w:after="40"/>
        <w:ind w:left="369"/>
      </w:pPr>
      <w:r>
        <w:rPr>
          <w:rFonts w:ascii="Calibri" w:hAnsi="Calibri"/>
          <w:b w:val="0"/>
          <w:i w:val="0"/>
          <w:color w:val="333333"/>
          <w:sz w:val="21"/>
        </w:rPr>
        <w:t xml:space="preserve">Les sept critères de comparaison sont cités à l'identique dans les huit documents contrôlés, le notebook et les diapositives.</w:t>
      </w:r>
    </w:p>
    <w:p>
      <w:pPr>
        <w:pStyle w:val="ListBullet"/>
        <w:spacing w:after="40"/>
        <w:ind w:left="369"/>
      </w:pPr>
      <w:r>
        <w:rPr>
          <w:rFonts w:ascii="Calibri" w:hAnsi="Calibri"/>
          <w:b w:val="0"/>
          <w:i w:val="0"/>
          <w:color w:val="333333"/>
          <w:sz w:val="21"/>
        </w:rPr>
        <w:t xml:space="preserve">La grille officielle (douze indicateurs alors renseignés, seize depuis le 17 septembre 2026) et les huit objectifs pédagogiques restent couverts, avec les mêmes preuves localisables.</w:t>
      </w:r>
    </w:p>
    <w:p>
      <w:pPr>
        <w:pStyle w:val="ListBullet"/>
        <w:spacing w:after="40"/>
        <w:ind w:left="369"/>
      </w:pPr>
      <w:r>
        <w:rPr>
          <w:rFonts w:ascii="Calibri" w:hAnsi="Calibri"/>
          <w:b w:val="0"/>
          <w:i w:val="0"/>
          <w:color w:val="333333"/>
          <w:sz w:val="21"/>
        </w:rPr>
        <w:t xml:space="preserve">Le guide de prise en main, le document de gestion de projet et les quatre fiches de cours ne comportaient aucun chiffre à corriger.</w:t>
      </w:r>
    </w:p>
    <w:p>
      <w:pPr>
        <w:pStyle w:val="ListBullet"/>
        <w:spacing w:after="40"/>
        <w:ind w:left="369"/>
      </w:pPr>
      <w:r>
        <w:rPr>
          <w:rFonts w:ascii="Calibri" w:hAnsi="Calibri"/>
          <w:b w:val="0"/>
          <w:i w:val="0"/>
          <w:color w:val="333333"/>
          <w:sz w:val="21"/>
        </w:rPr>
        <w:t xml:space="preserve">Aucun tiret cadratin, aucune majuscule non accentuée et aucun chemin absolu ne subsistent dans les livrables contrôlés.</w:t>
      </w:r>
    </w:p>
    <w:p>
      <w:pPr>
        <w:spacing w:before="60" w:after="160"/>
      </w:pPr>
      <w:r>
        <w:rPr>
          <w:rFonts w:ascii="Calibri" w:hAnsi="Calibri"/>
          <w:b/>
          <w:i w:val="0"/>
          <w:color w:val="333333"/>
          <w:sz w:val="20"/>
        </w:rPr>
        <w:t xml:space="preserve">Verdict du second passage.</w:t>
      </w:r>
      <w:r>
        <w:rPr>
          <w:rFonts w:ascii="Calibri" w:hAnsi="Calibri"/>
          <w:b w:val="0"/>
          <w:i w:val="0"/>
          <w:color w:val="333333"/>
          <w:sz w:val="20"/>
        </w:rPr>
        <w:t xml:space="preserve"> La version livrée est conforme et présentable. J'en retiens une règle : rejouer le contrôle après chaque modification, même après un audit réussi, car une correction peut en désynchroniser une autre.</w:t>
      </w:r>
    </w:p>
    <w:p>
      <w:pPr>
        <w:spacing w:after="120"/>
      </w:pPr>
    </w:p>
    <w:p>
      <w:pPr>
        <w:pStyle w:val="Heading1"/>
      </w:pPr>
      <w:bookmarkStart w:id="7026" w:name="_TocP130026"/>
      <w:r>
        <w:t xml:space="preserve">9. Troisième passage, 3 septembre 2026 : les portfolios et l'état réel du parcours</w:t>
      </w:r>
      <w:bookmarkEnd w:id="7026"/>
    </w:p>
    <w:p>
      <w:r>
        <w:rPr>
          <w:rFonts w:ascii="Calibri" w:hAnsi="Calibri"/>
          <w:b w:val="0"/>
          <w:i w:val="0"/>
          <w:color w:val="333333"/>
          <w:sz w:val="21"/>
        </w:rPr>
        <w:t xml:space="preserve">La relecture des trois versions du portfolio a montré qu'elles décrivaient un parcours dépassé. Le projet 10, étude sur l'eau potable restituée en histoire Tableau Public pour l'ONG DWFA, y figurait en cours à 30 % alors qu'il a été validé en juin 2026. Le projet 11, étude de marché internationale par ACP et clustering, y figurait à venir alors qu'il a été validé en août 2026. Le projet 12, en cours avec une soutenance prévue en septembre, y figurait aussi à venir. Les livrables des projets 10 et 11 étaient absents, et les versions 2 et 3 ne proposaient aucun livrable pour les projets 1 à 9. Le passage a corrigé ces écarts à partir des archives de soutenance et des dépôts de code, après sauvegarde des fichiers touchés.</w:t>
      </w:r>
    </w:p>
    <w:p>
      <w:pPr>
        <w:pStyle w:val="Heading2"/>
      </w:pPr>
      <w:bookmarkStart w:id="7027" w:name="_TocP130027"/>
      <w:r>
        <w:t xml:space="preserve">9.1 Écarts relevés et corrigés, numérotés à la suite des précédents</w:t>
      </w:r>
      <w:bookmarkEnd w:id="7027"/>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00"/>
        <w:gridCol w:w="3800"/>
        <w:gridCol w:w="2498"/>
      </w:tblGrid>
      <w:tr>
        <w:trPr>
          <w:cantSplit/>
          <w:tblHeader w:val="true"/>
        </w:trPr>
        <w:tc>
          <w:tcPr>
            <w:tcW w:type="dxa" w:w="3000"/>
            <w:shd w:val="clear" w:color="auto" w:fill="1F2937"/>
          </w:tcPr>
          <w:p>
            <w:pPr>
              <w:spacing w:after="0"/>
            </w:pPr>
            <w:r>
              <w:rPr>
                <w:rFonts w:ascii="Calibri" w:hAnsi="Calibri"/>
                <w:b/>
                <w:color w:val="FFFFFF"/>
                <w:sz w:val="18"/>
              </w:rPr>
              <w:t xml:space="preserve">Écart</w:t>
            </w:r>
          </w:p>
        </w:tc>
        <w:tc>
          <w:tcPr>
            <w:tcW w:type="dxa" w:w="3800"/>
            <w:shd w:val="clear" w:color="auto" w:fill="1F2937"/>
          </w:tcPr>
          <w:p>
            <w:pPr>
              <w:spacing w:after="0"/>
            </w:pPr>
            <w:r>
              <w:rPr>
                <w:rFonts w:ascii="Calibri" w:hAnsi="Calibri"/>
                <w:b/>
                <w:color w:val="FFFFFF"/>
                <w:sz w:val="18"/>
              </w:rPr>
              <w:t xml:space="preserve">Correction appliquée</w:t>
            </w:r>
          </w:p>
        </w:tc>
        <w:tc>
          <w:tcPr>
            <w:tcW w:type="dxa" w:w="2498"/>
            <w:shd w:val="clear" w:color="auto" w:fill="1F2937"/>
          </w:tcPr>
          <w:p>
            <w:pPr>
              <w:spacing w:after="0"/>
            </w:pPr>
            <w:r>
              <w:rPr>
                <w:rFonts w:ascii="Calibri" w:hAnsi="Calibri"/>
                <w:b/>
                <w:color w:val="FFFFFF"/>
                <w:sz w:val="18"/>
              </w:rPr>
              <w:t xml:space="preserve">Fichiers touchés</w:t>
            </w:r>
          </w:p>
        </w:tc>
      </w:tr>
      <w:tr>
        <w:trPr>
          <w:cantSplit/>
        </w:trPr>
        <w:tc>
          <w:tcPr>
            <w:tcW w:type="dxa" w:w="3000"/>
          </w:tcPr>
          <w:p>
            <w:pPr>
              <w:spacing w:after="0"/>
            </w:pPr>
            <w:r>
              <w:rPr>
                <w:rFonts w:ascii="Calibri" w:hAnsi="Calibri"/>
                <w:color w:val="333333"/>
                <w:sz w:val="18"/>
              </w:rPr>
              <w:t xml:space="preserve">20. Projets 10 et 11 présentés comme en cours et à venir</w:t>
            </w:r>
          </w:p>
        </w:tc>
        <w:tc>
          <w:tcPr>
            <w:tcW w:type="dxa" w:w="3800"/>
          </w:tcPr>
          <w:p>
            <w:pPr>
              <w:spacing w:after="0"/>
            </w:pPr>
            <w:r>
              <w:rPr>
                <w:rFonts w:ascii="Calibri" w:hAnsi="Calibri"/>
                <w:color w:val="333333"/>
                <w:sz w:val="18"/>
              </w:rPr>
              <w:t xml:space="preserve">Cartes réécrites en cinq temps avec les résultats réels : 194 pays et quatre vues Tableau pour le projet 10 ; 172 pays, 14 variables, 4 composantes, 21 pays cibles pour le projet 11</w:t>
            </w:r>
          </w:p>
        </w:tc>
        <w:tc>
          <w:tcPr>
            <w:tcW w:type="dxa" w:w="2498"/>
          </w:tcPr>
          <w:p>
            <w:pPr>
              <w:spacing w:after="0"/>
            </w:pPr>
            <w:r>
              <w:rPr>
                <w:rFonts w:ascii="Calibri" w:hAnsi="Calibri"/>
                <w:color w:val="333333"/>
                <w:sz w:val="18"/>
              </w:rPr>
              <w:t xml:space="preserve">Page projets des versions 1 et 2, page unique de la version 3</w:t>
            </w:r>
          </w:p>
        </w:tc>
      </w:tr>
      <w:tr>
        <w:trPr>
          <w:cantSplit/>
        </w:trPr>
        <w:tc>
          <w:tcPr>
            <w:tcW w:type="dxa" w:w="3000"/>
          </w:tcPr>
          <w:p>
            <w:pPr>
              <w:spacing w:after="0"/>
            </w:pPr>
            <w:r>
              <w:rPr>
                <w:rFonts w:ascii="Calibri" w:hAnsi="Calibri"/>
                <w:color w:val="333333"/>
                <w:sz w:val="18"/>
              </w:rPr>
              <w:t xml:space="preserve">21. Livrables des projets 10 et 11 absents</w:t>
            </w:r>
          </w:p>
        </w:tc>
        <w:tc>
          <w:tcPr>
            <w:tcW w:type="dxa" w:w="3800"/>
          </w:tcPr>
          <w:p>
            <w:pPr>
              <w:spacing w:after="0"/>
            </w:pPr>
            <w:r>
              <w:rPr>
                <w:rFonts w:ascii="Calibri" w:hAnsi="Calibri"/>
                <w:color w:val="333333"/>
                <w:sz w:val="18"/>
              </w:rPr>
              <w:t xml:space="preserve">Dossiers de livrables créés dans les trois versions : présentation et export du tableau de bord pour le projet 10, deux notebooks, présentation et liste des 21 pays pour le projet 11, lien vers l'histoire Tableau Public</w:t>
            </w:r>
          </w:p>
        </w:tc>
        <w:tc>
          <w:tcPr>
            <w:tcW w:type="dxa" w:w="2498"/>
          </w:tcPr>
          <w:p>
            <w:pPr>
              <w:spacing w:after="0"/>
            </w:pPr>
            <w:r>
              <w:rPr>
                <w:rFonts w:ascii="Calibri" w:hAnsi="Calibri"/>
                <w:color w:val="333333"/>
                <w:sz w:val="18"/>
              </w:rPr>
              <w:t xml:space="preserve">Dossier livrables/projets des trois versions</w:t>
            </w:r>
          </w:p>
        </w:tc>
      </w:tr>
      <w:tr>
        <w:trPr>
          <w:cantSplit/>
        </w:trPr>
        <w:tc>
          <w:tcPr>
            <w:tcW w:type="dxa" w:w="3000"/>
          </w:tcPr>
          <w:p>
            <w:pPr>
              <w:spacing w:after="0"/>
            </w:pPr>
            <w:r>
              <w:rPr>
                <w:rFonts w:ascii="Calibri" w:hAnsi="Calibri"/>
                <w:color w:val="333333"/>
                <w:sz w:val="18"/>
              </w:rPr>
              <w:t xml:space="preserve">22. Versions 2 et 3 sans livrable pour les projets 1 à 9</w:t>
            </w:r>
          </w:p>
        </w:tc>
        <w:tc>
          <w:tcPr>
            <w:tcW w:type="dxa" w:w="3800"/>
          </w:tcPr>
          <w:p>
            <w:pPr>
              <w:spacing w:after="0"/>
            </w:pPr>
            <w:r>
              <w:rPr>
                <w:rFonts w:ascii="Calibri" w:hAnsi="Calibri"/>
                <w:color w:val="333333"/>
                <w:sz w:val="18"/>
              </w:rPr>
              <w:t xml:space="preserve">Livrables réels copiés depuis la version 1 et liés sur chaque carte, style de liens ajouté à la version 2</w:t>
            </w:r>
          </w:p>
        </w:tc>
        <w:tc>
          <w:tcPr>
            <w:tcW w:type="dxa" w:w="2498"/>
          </w:tcPr>
          <w:p>
            <w:pPr>
              <w:spacing w:after="0"/>
            </w:pPr>
            <w:r>
              <w:rPr>
                <w:rFonts w:ascii="Calibri" w:hAnsi="Calibri"/>
                <w:color w:val="333333"/>
                <w:sz w:val="18"/>
              </w:rPr>
              <w:t xml:space="preserve">Page projets et feuille de style de la version 2, page unique de la version 3</w:t>
            </w:r>
          </w:p>
        </w:tc>
      </w:tr>
      <w:tr>
        <w:trPr>
          <w:cantSplit/>
        </w:trPr>
        <w:tc>
          <w:tcPr>
            <w:tcW w:type="dxa" w:w="3000"/>
          </w:tcPr>
          <w:p>
            <w:pPr>
              <w:spacing w:after="0"/>
            </w:pPr>
            <w:r>
              <w:rPr>
                <w:rFonts w:ascii="Calibri" w:hAnsi="Calibri"/>
                <w:color w:val="333333"/>
                <w:sz w:val="18"/>
              </w:rPr>
              <w:t xml:space="preserve">23. Projet 12 présenté à venir</w:t>
            </w:r>
          </w:p>
        </w:tc>
        <w:tc>
          <w:tcPr>
            <w:tcW w:type="dxa" w:w="3800"/>
          </w:tcPr>
          <w:p>
            <w:pPr>
              <w:spacing w:after="0"/>
            </w:pPr>
            <w:r>
              <w:rPr>
                <w:rFonts w:ascii="Calibri" w:hAnsi="Calibri"/>
                <w:color w:val="333333"/>
                <w:sz w:val="18"/>
              </w:rPr>
              <w:t xml:space="preserve">Carte passée en cours, soutenance en septembre 2026, démarche et résultat provisoire décrits, sans livrable avant validation</w:t>
            </w:r>
          </w:p>
        </w:tc>
        <w:tc>
          <w:tcPr>
            <w:tcW w:type="dxa" w:w="2498"/>
          </w:tcPr>
          <w:p>
            <w:pPr>
              <w:spacing w:after="0"/>
            </w:pPr>
            <w:r>
              <w:rPr>
                <w:rFonts w:ascii="Calibri" w:hAnsi="Calibri"/>
                <w:color w:val="333333"/>
                <w:sz w:val="18"/>
              </w:rPr>
              <w:t xml:space="preserve">Trois versions</w:t>
            </w:r>
          </w:p>
        </w:tc>
      </w:tr>
      <w:tr>
        <w:trPr>
          <w:cantSplit/>
        </w:trPr>
        <w:tc>
          <w:tcPr>
            <w:tcW w:type="dxa" w:w="3000"/>
          </w:tcPr>
          <w:p>
            <w:pPr>
              <w:spacing w:after="0"/>
            </w:pPr>
            <w:r>
              <w:rPr>
                <w:rFonts w:ascii="Calibri" w:hAnsi="Calibri"/>
                <w:color w:val="333333"/>
                <w:sz w:val="18"/>
              </w:rPr>
              <w:t xml:space="preserve">24. Compteurs et frises figés sur neuf projets et 500 heures</w:t>
            </w:r>
          </w:p>
        </w:tc>
        <w:tc>
          <w:tcPr>
            <w:tcW w:type="dxa" w:w="3800"/>
          </w:tcPr>
          <w:p>
            <w:pPr>
              <w:spacing w:after="0"/>
            </w:pPr>
            <w:r>
              <w:rPr>
                <w:rFonts w:ascii="Calibri" w:hAnsi="Calibri"/>
                <w:color w:val="333333"/>
                <w:sz w:val="18"/>
              </w:rPr>
              <w:t xml:space="preserve">11 projets validés, 660 heures, deux projets en cours, un à venir ; frises complétées jusqu'à l'automne 2026 ; radar de compétences de la version 1 actualisé</w:t>
            </w:r>
          </w:p>
        </w:tc>
        <w:tc>
          <w:tcPr>
            <w:tcW w:type="dxa" w:w="2498"/>
          </w:tcPr>
          <w:p>
            <w:pPr>
              <w:spacing w:after="0"/>
            </w:pPr>
            <w:r>
              <w:rPr>
                <w:rFonts w:ascii="Calibri" w:hAnsi="Calibri"/>
                <w:color w:val="333333"/>
                <w:sz w:val="18"/>
              </w:rPr>
              <w:t xml:space="preserve">Accueil, profil et projets de la version 1, compétences de la version 2, en-tête de la version 3, script des graphiques</w:t>
            </w:r>
          </w:p>
        </w:tc>
      </w:tr>
      <w:tr>
        <w:trPr>
          <w:cantSplit/>
        </w:trPr>
        <w:tc>
          <w:tcPr>
            <w:tcW w:type="dxa" w:w="3000"/>
          </w:tcPr>
          <w:p>
            <w:pPr>
              <w:spacing w:after="0"/>
            </w:pPr>
            <w:r>
              <w:rPr>
                <w:rFonts w:ascii="Calibri" w:hAnsi="Calibri"/>
                <w:color w:val="333333"/>
                <w:sz w:val="18"/>
              </w:rPr>
              <w:t xml:space="preserve">25. Encart Tableau Public de la version 1 resté un emplacement vide</w:t>
            </w:r>
          </w:p>
        </w:tc>
        <w:tc>
          <w:tcPr>
            <w:tcW w:type="dxa" w:w="3800"/>
          </w:tcPr>
          <w:p>
            <w:pPr>
              <w:spacing w:after="0"/>
            </w:pPr>
            <w:r>
              <w:rPr>
                <w:rFonts w:ascii="Calibri" w:hAnsi="Calibri"/>
                <w:color w:val="333333"/>
                <w:sz w:val="18"/>
              </w:rPr>
              <w:t xml:space="preserve">Remplacé par le lien vers l'histoire interactive du projet 10</w:t>
            </w:r>
          </w:p>
        </w:tc>
        <w:tc>
          <w:tcPr>
            <w:tcW w:type="dxa" w:w="2498"/>
          </w:tcPr>
          <w:p>
            <w:pPr>
              <w:spacing w:after="0"/>
            </w:pPr>
            <w:r>
              <w:rPr>
                <w:rFonts w:ascii="Calibri" w:hAnsi="Calibri"/>
                <w:color w:val="333333"/>
                <w:sz w:val="18"/>
              </w:rPr>
              <w:t xml:space="preserve">Page profil de la version 1</w:t>
            </w:r>
          </w:p>
        </w:tc>
      </w:tr>
      <w:tr>
        <w:trPr>
          <w:cantSplit/>
        </w:trPr>
        <w:tc>
          <w:tcPr>
            <w:tcW w:type="dxa" w:w="3000"/>
          </w:tcPr>
          <w:p>
            <w:pPr>
              <w:spacing w:after="0"/>
            </w:pPr>
            <w:r>
              <w:rPr>
                <w:rFonts w:ascii="Calibri" w:hAnsi="Calibri"/>
                <w:color w:val="333333"/>
                <w:sz w:val="18"/>
              </w:rPr>
              <w:t xml:space="preserve">26. Lien GitHub générique</w:t>
            </w:r>
          </w:p>
        </w:tc>
        <w:tc>
          <w:tcPr>
            <w:tcW w:type="dxa" w:w="3800"/>
          </w:tcPr>
          <w:p>
            <w:pPr>
              <w:spacing w:after="0"/>
            </w:pPr>
            <w:r>
              <w:rPr>
                <w:rFonts w:ascii="Calibri" w:hAnsi="Calibri"/>
                <w:color w:val="333333"/>
                <w:sz w:val="18"/>
              </w:rPr>
              <w:t xml:space="preserve">Profil réel renseigné dans les trois versions ; le lien LinkedIn reste à renseigner</w:t>
            </w:r>
          </w:p>
        </w:tc>
        <w:tc>
          <w:tcPr>
            <w:tcW w:type="dxa" w:w="2498"/>
          </w:tcPr>
          <w:p>
            <w:pPr>
              <w:spacing w:after="0"/>
            </w:pPr>
            <w:r>
              <w:rPr>
                <w:rFonts w:ascii="Calibri" w:hAnsi="Calibri"/>
                <w:color w:val="333333"/>
                <w:sz w:val="18"/>
              </w:rPr>
              <w:t xml:space="preserve">Toutes les pages</w:t>
            </w:r>
          </w:p>
        </w:tc>
      </w:tr>
      <w:tr>
        <w:trPr>
          <w:cantSplit/>
        </w:trPr>
        <w:tc>
          <w:tcPr>
            <w:tcW w:type="dxa" w:w="3000"/>
          </w:tcPr>
          <w:p>
            <w:pPr>
              <w:spacing w:after="0"/>
            </w:pPr>
            <w:r>
              <w:rPr>
                <w:rFonts w:ascii="Calibri" w:hAnsi="Calibri"/>
                <w:color w:val="333333"/>
                <w:sz w:val="18"/>
              </w:rPr>
              <w:t xml:space="preserve">27. CV téléchargeable périmé : neuf projets, ancien sujet</w:t>
            </w:r>
          </w:p>
        </w:tc>
        <w:tc>
          <w:tcPr>
            <w:tcW w:type="dxa" w:w="3800"/>
          </w:tcPr>
          <w:p>
            <w:pPr>
              <w:spacing w:after="0"/>
            </w:pPr>
            <w:r>
              <w:rPr>
                <w:rFonts w:ascii="Calibri" w:hAnsi="Calibri"/>
                <w:color w:val="333333"/>
                <w:sz w:val="18"/>
              </w:rPr>
              <w:t xml:space="preserve">CV régénéré au 3 septembre avec les onze projets, sans cadratin ; à remplacer par le CV définitif avant publication</w:t>
            </w:r>
          </w:p>
        </w:tc>
        <w:tc>
          <w:tcPr>
            <w:tcW w:type="dxa" w:w="2498"/>
          </w:tcPr>
          <w:p>
            <w:pPr>
              <w:spacing w:after="0"/>
            </w:pPr>
            <w:r>
              <w:rPr>
                <w:rFonts w:ascii="Calibri" w:hAnsi="Calibri"/>
                <w:color w:val="333333"/>
                <w:sz w:val="18"/>
              </w:rPr>
              <w:t xml:space="preserve">Fichier CV des trois versions</w:t>
            </w:r>
          </w:p>
        </w:tc>
      </w:tr>
      <w:tr>
        <w:trPr>
          <w:cantSplit/>
        </w:trPr>
        <w:tc>
          <w:tcPr>
            <w:tcW w:type="dxa" w:w="3000"/>
          </w:tcPr>
          <w:p>
            <w:pPr>
              <w:spacing w:after="0"/>
            </w:pPr>
            <w:r>
              <w:rPr>
                <w:rFonts w:ascii="Calibri" w:hAnsi="Calibri"/>
                <w:color w:val="333333"/>
                <w:sz w:val="18"/>
              </w:rPr>
              <w:t xml:space="preserve">28. README et brief interne en retard sur le contenu</w:t>
            </w:r>
          </w:p>
        </w:tc>
        <w:tc>
          <w:tcPr>
            <w:tcW w:type="dxa" w:w="3800"/>
          </w:tcPr>
          <w:p>
            <w:pPr>
              <w:spacing w:after="0"/>
            </w:pPr>
            <w:r>
              <w:rPr>
                <w:rFonts w:ascii="Calibri" w:hAnsi="Calibri"/>
                <w:color w:val="333333"/>
                <w:sz w:val="18"/>
              </w:rPr>
              <w:t xml:space="preserve">README des trois versions et brief actualisés, avec correction des formulations maladroites héritées d'un remplacement de flèches</w:t>
            </w:r>
          </w:p>
        </w:tc>
        <w:tc>
          <w:tcPr>
            <w:tcW w:type="dxa" w:w="2498"/>
          </w:tcPr>
          <w:p>
            <w:pPr>
              <w:spacing w:after="0"/>
            </w:pPr>
            <w:r>
              <w:rPr>
                <w:rFonts w:ascii="Calibri" w:hAnsi="Calibri"/>
                <w:color w:val="333333"/>
                <w:sz w:val="18"/>
              </w:rPr>
              <w:t xml:space="preserve">README des trois versions, brief interne</w:t>
            </w:r>
          </w:p>
        </w:tc>
      </w:tr>
      <w:tr>
        <w:trPr>
          <w:cantSplit/>
        </w:trPr>
        <w:tc>
          <w:tcPr>
            <w:tcW w:type="dxa" w:w="3000"/>
          </w:tcPr>
          <w:p>
            <w:pPr>
              <w:spacing w:after="0"/>
            </w:pPr>
            <w:r>
              <w:rPr>
                <w:rFonts w:ascii="Calibri" w:hAnsi="Calibri"/>
                <w:color w:val="333333"/>
                <w:sz w:val="18"/>
              </w:rPr>
              <w:t xml:space="preserve">29. Les portfolios annonçaient six critères de comparaison là où la veille, le cahier des charges et le support en comptent sept</w:t>
            </w:r>
          </w:p>
        </w:tc>
        <w:tc>
          <w:tcPr>
            <w:tcW w:type="dxa" w:w="3800"/>
          </w:tcPr>
          <w:p>
            <w:pPr>
              <w:spacing w:after="0"/>
            </w:pPr>
            <w:r>
              <w:rPr>
                <w:rFonts w:ascii="Calibri" w:hAnsi="Calibri"/>
                <w:color w:val="333333"/>
                <w:sz w:val="18"/>
              </w:rPr>
              <w:t xml:space="preserve">Sept critères nommés partout, maintenabilité comprise, dans les pages des trois versions et le brief interne</w:t>
            </w:r>
          </w:p>
        </w:tc>
        <w:tc>
          <w:tcPr>
            <w:tcW w:type="dxa" w:w="2498"/>
          </w:tcPr>
          <w:p>
            <w:pPr>
              <w:spacing w:after="0"/>
            </w:pPr>
            <w:r>
              <w:rPr>
                <w:rFonts w:ascii="Calibri" w:hAnsi="Calibri"/>
                <w:color w:val="333333"/>
                <w:sz w:val="18"/>
              </w:rPr>
              <w:t xml:space="preserve">Pages des versions 1, 2 et 3, brief interne</w:t>
            </w:r>
          </w:p>
        </w:tc>
      </w:tr>
    </w:tbl>
    <w:p>
      <w:pPr>
        <w:spacing w:after="120"/>
      </w:pPr>
    </w:p>
    <w:p>
      <w:pPr>
        <w:pStyle w:val="Heading2"/>
      </w:pPr>
      <w:bookmarkStart w:id="7028" w:name="_TocP130028"/>
      <w:r>
        <w:t xml:space="preserve">9.2 Vérifications rejouées</w:t>
      </w:r>
      <w:bookmarkEnd w:id="7028"/>
    </w:p>
    <w:p>
      <w:pPr>
        <w:pStyle w:val="ListBullet"/>
        <w:spacing w:after="40"/>
        <w:ind w:left="369"/>
      </w:pPr>
      <w:r>
        <w:rPr>
          <w:rFonts w:ascii="Calibri" w:hAnsi="Calibri"/>
          <w:b w:val="0"/>
          <w:i w:val="0"/>
          <w:color w:val="333333"/>
          <w:sz w:val="21"/>
        </w:rPr>
        <w:t xml:space="preserve">Rendu des douze pages dans un navigateur sans erreur de script ; cartes, filtres et compteurs fonctionnels.</w:t>
      </w:r>
    </w:p>
    <w:p>
      <w:pPr>
        <w:pStyle w:val="ListBullet"/>
        <w:spacing w:after="40"/>
        <w:ind w:left="369"/>
      </w:pPr>
      <w:r>
        <w:rPr>
          <w:rFonts w:ascii="Calibri" w:hAnsi="Calibri"/>
          <w:b w:val="0"/>
          <w:i w:val="0"/>
          <w:color w:val="333333"/>
          <w:sz w:val="21"/>
        </w:rPr>
        <w:t xml:space="preserve">Les 163 références locales des trois sites, livrables et images, vérifiées une à une sur le poste : aucune manquante.</w:t>
      </w:r>
    </w:p>
    <w:p>
      <w:pPr>
        <w:pStyle w:val="ListBullet"/>
        <w:spacing w:after="40"/>
        <w:ind w:left="369"/>
      </w:pPr>
      <w:r>
        <w:rPr>
          <w:rFonts w:ascii="Calibri" w:hAnsi="Calibri"/>
          <w:b w:val="0"/>
          <w:i w:val="0"/>
          <w:color w:val="333333"/>
          <w:sz w:val="21"/>
        </w:rPr>
        <w:t xml:space="preserve">Équilibre des balises vérifié sur les treize pages ; aucun cadratin, aucun compteur périmé, aucun marqueur de gabarit résiduel.</w:t>
      </w:r>
    </w:p>
    <w:p>
      <w:pPr>
        <w:pStyle w:val="ListBullet"/>
        <w:spacing w:after="40"/>
        <w:ind w:left="369"/>
      </w:pPr>
      <w:r>
        <w:rPr>
          <w:rFonts w:ascii="Calibri" w:hAnsi="Calibri"/>
          <w:b w:val="0"/>
          <w:i w:val="0"/>
          <w:color w:val="333333"/>
          <w:sz w:val="21"/>
        </w:rPr>
        <w:t xml:space="preserve">Les livrables du projet IA embarqués dans les portfolios restent ceux de la version livrée ; aucun chiffre publié n'a changé.</w:t>
      </w:r>
    </w:p>
    <w:p>
      <w:pPr>
        <w:spacing w:before="60" w:after="160"/>
      </w:pPr>
      <w:r>
        <w:rPr>
          <w:rFonts w:ascii="Calibri" w:hAnsi="Calibri"/>
          <w:b/>
          <w:i w:val="0"/>
          <w:color w:val="1F2937"/>
          <w:sz w:val="20"/>
        </w:rPr>
        <w:t xml:space="preserve">Verdict du troisième passage.</w:t>
      </w:r>
      <w:r>
        <w:rPr>
          <w:rFonts w:ascii="Calibri" w:hAnsi="Calibri"/>
          <w:b w:val="0"/>
          <w:i w:val="0"/>
          <w:color w:val="333333"/>
          <w:sz w:val="20"/>
        </w:rPr>
        <w:t xml:space="preserve"> La version du 3 septembre 2026 est conforme et présentable. Règle ajoutée : relire le portfolio à chaque projet validé, pas seulement après une correction. Le prochain point de relecture est la validation du projet 12 : livrables à ajouter, compteurs à porter à douze projets et 730 heures.</w:t>
      </w:r>
    </w:p>
    <w:p>
      <w:pPr>
        <w:spacing w:after="120"/>
      </w:pPr>
    </w:p>
    <w:p>
      <w:pPr>
        <w:pStyle w:val="Heading1"/>
      </w:pPr>
      <w:bookmarkStart w:id="7029" w:name="_TocP130029"/>
      <w:r>
        <w:t xml:space="preserve">10. Mise à jour du 17 septembre 2026, à la validation du projet 12</w:t>
      </w:r>
      <w:bookmarkEnd w:id="7029"/>
    </w:p>
    <w:p>
      <w:r>
        <w:rPr>
          <w:rFonts w:ascii="Calibri" w:hAnsi="Calibri"/>
          <w:b w:val="0"/>
          <w:i w:val="0"/>
          <w:color w:val="333333"/>
          <w:sz w:val="21"/>
        </w:rPr>
        <w:t xml:space="preserve">Le point de relecture annoncé au verdict du troisième passage a eu lieu : le projet 12, détection de faux billets pour l'ONCFM, a été validé en soutenance en septembre 2026. Ce passage n'ajoute pas d'écart au bilan d'audit, qui reste à vingt-neuf en trois passages ; il applique la procédure de mise à jour prévue et consigne deux corrections de contenu.</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2200"/>
        <w:gridCol w:w="7098"/>
      </w:tblGrid>
      <w:tr>
        <w:trPr>
          <w:cantSplit/>
          <w:tblHeader w:val="true"/>
        </w:trPr>
        <w:tc>
          <w:tcPr>
            <w:tcW w:type="dxa" w:w="2200"/>
            <w:shd w:val="clear" w:color="auto" w:fill="1F2937"/>
          </w:tcPr>
          <w:p>
            <w:pPr>
              <w:spacing w:after="0"/>
            </w:pPr>
            <w:r>
              <w:rPr>
                <w:rFonts w:ascii="Calibri" w:hAnsi="Calibri"/>
                <w:b/>
                <w:color w:val="FFFFFF"/>
                <w:sz w:val="18"/>
              </w:rPr>
              <w:t xml:space="preserve">Sujet</w:t>
            </w:r>
          </w:p>
        </w:tc>
        <w:tc>
          <w:tcPr>
            <w:tcW w:type="dxa" w:w="7098"/>
            <w:shd w:val="clear" w:color="auto" w:fill="1F2937"/>
          </w:tcPr>
          <w:p>
            <w:pPr>
              <w:spacing w:after="0"/>
            </w:pPr>
            <w:r>
              <w:rPr>
                <w:rFonts w:ascii="Calibri" w:hAnsi="Calibri"/>
                <w:b/>
                <w:color w:val="FFFFFF"/>
                <w:sz w:val="18"/>
              </w:rPr>
              <w:t xml:space="preserve">Mise à jour</w:t>
            </w:r>
          </w:p>
        </w:tc>
      </w:tr>
      <w:tr>
        <w:trPr>
          <w:cantSplit/>
        </w:trPr>
        <w:tc>
          <w:tcPr>
            <w:tcW w:type="dxa" w:w="2200"/>
          </w:tcPr>
          <w:p>
            <w:pPr>
              <w:spacing w:after="0"/>
            </w:pPr>
            <w:r>
              <w:rPr>
                <w:rFonts w:ascii="Calibri" w:hAnsi="Calibri"/>
                <w:color w:val="333333"/>
                <w:sz w:val="18"/>
              </w:rPr>
              <w:t xml:space="preserve">Projet 12</w:t>
            </w:r>
          </w:p>
        </w:tc>
        <w:tc>
          <w:tcPr>
            <w:tcW w:type="dxa" w:w="7098"/>
          </w:tcPr>
          <w:p>
            <w:pPr>
              <w:spacing w:after="0"/>
            </w:pPr>
            <w:r>
              <w:rPr>
                <w:rFonts w:ascii="Calibri" w:hAnsi="Calibri"/>
                <w:color w:val="333333"/>
                <w:sz w:val="18"/>
              </w:rPr>
              <w:t xml:space="preserve">Cartes et entrée de registre passées en validé avec les résultats définitifs : quatre modèles comparés, régression logistique retenue (F1 0,993, ROC-AUC 0,9995), seuil de décision documenté à 0,69, application Streamlit et application terminal ; six livrables téléchargeables dans chacune des quatre versions</w:t>
            </w:r>
          </w:p>
        </w:tc>
      </w:tr>
      <w:tr>
        <w:trPr>
          <w:cantSplit/>
        </w:trPr>
        <w:tc>
          <w:tcPr>
            <w:tcW w:type="dxa" w:w="2200"/>
          </w:tcPr>
          <w:p>
            <w:pPr>
              <w:spacing w:after="0"/>
            </w:pPr>
            <w:r>
              <w:rPr>
                <w:rFonts w:ascii="Calibri" w:hAnsi="Calibri"/>
                <w:color w:val="333333"/>
                <w:sz w:val="18"/>
              </w:rPr>
              <w:t xml:space="preserve">Projets 13 et 14</w:t>
            </w:r>
          </w:p>
        </w:tc>
        <w:tc>
          <w:tcPr>
            <w:tcW w:type="dxa" w:w="7098"/>
          </w:tcPr>
          <w:p>
            <w:pPr>
              <w:spacing w:after="0"/>
            </w:pPr>
            <w:r>
              <w:rPr>
                <w:rFonts w:ascii="Calibri" w:hAnsi="Calibri"/>
                <w:color w:val="333333"/>
                <w:sz w:val="18"/>
              </w:rPr>
              <w:t xml:space="preserve">Projet 13 affiché en cours depuis septembre 2026 ; projet 14 présenté comme stage de Consultant Data / BI et Data Analyst chez S4R, du 19 octobre au 20 novembre 2026</w:t>
            </w:r>
          </w:p>
        </w:tc>
      </w:tr>
      <w:tr>
        <w:trPr>
          <w:cantSplit/>
        </w:trPr>
        <w:tc>
          <w:tcPr>
            <w:tcW w:type="dxa" w:w="2200"/>
          </w:tcPr>
          <w:p>
            <w:pPr>
              <w:spacing w:after="0"/>
            </w:pPr>
            <w:r>
              <w:rPr>
                <w:rFonts w:ascii="Calibri" w:hAnsi="Calibri"/>
                <w:color w:val="333333"/>
                <w:sz w:val="18"/>
              </w:rPr>
              <w:t xml:space="preserve">Compteurs et ordre</w:t>
            </w:r>
          </w:p>
        </w:tc>
        <w:tc>
          <w:tcPr>
            <w:tcW w:type="dxa" w:w="7098"/>
          </w:tcPr>
          <w:p>
            <w:pPr>
              <w:spacing w:after="0"/>
            </w:pPr>
            <w:r>
              <w:rPr>
                <w:rFonts w:ascii="Calibri" w:hAnsi="Calibri"/>
                <w:color w:val="333333"/>
                <w:sz w:val="18"/>
              </w:rPr>
              <w:t xml:space="preserve">Douze projets validés et 730 heures partout (734 au total exact des heures du registre) ; grilles et registre en ordre chronologique inverse</w:t>
            </w:r>
          </w:p>
        </w:tc>
      </w:tr>
      <w:tr>
        <w:trPr>
          <w:cantSplit/>
        </w:trPr>
        <w:tc>
          <w:tcPr>
            <w:tcW w:type="dxa" w:w="2200"/>
          </w:tcPr>
          <w:p>
            <w:pPr>
              <w:spacing w:after="0"/>
            </w:pPr>
            <w:r>
              <w:rPr>
                <w:rFonts w:ascii="Calibri" w:hAnsi="Calibri"/>
                <w:color w:val="333333"/>
                <w:sz w:val="18"/>
              </w:rPr>
              <w:t xml:space="preserve">Contact et CV</w:t>
            </w:r>
          </w:p>
        </w:tc>
        <w:tc>
          <w:tcPr>
            <w:tcW w:type="dxa" w:w="7098"/>
          </w:tcPr>
          <w:p>
            <w:pPr>
              <w:spacing w:after="0"/>
            </w:pPr>
            <w:r>
              <w:rPr>
                <w:rFonts w:ascii="Calibri" w:hAnsi="Calibri"/>
                <w:color w:val="333333"/>
                <w:sz w:val="18"/>
              </w:rPr>
              <w:t xml:space="preserve">Lien LinkedIn réel et adresse unique charles.lippens@orange.fr dans les quatre versions (l'adresse de gabarit restée dans le bouton e-mail de la version 3 est corrigée) ; CV Data Analyst version 4 embarqué, avec les quatorze projets et le stage</w:t>
            </w:r>
          </w:p>
        </w:tc>
      </w:tr>
      <w:tr>
        <w:trPr>
          <w:cantSplit/>
        </w:trPr>
        <w:tc>
          <w:tcPr>
            <w:tcW w:type="dxa" w:w="2200"/>
          </w:tcPr>
          <w:p>
            <w:pPr>
              <w:spacing w:after="0"/>
            </w:pPr>
            <w:r>
              <w:rPr>
                <w:rFonts w:ascii="Calibri" w:hAnsi="Calibri"/>
                <w:color w:val="333333"/>
                <w:sz w:val="18"/>
              </w:rPr>
              <w:t xml:space="preserve">Dépôts GitHub</w:t>
            </w:r>
          </w:p>
        </w:tc>
        <w:tc>
          <w:tcPr>
            <w:tcW w:type="dxa" w:w="7098"/>
          </w:tcPr>
          <w:p>
            <w:pPr>
              <w:spacing w:after="0"/>
            </w:pPr>
            <w:r>
              <w:rPr>
                <w:rFonts w:ascii="Calibri" w:hAnsi="Calibri"/>
                <w:color w:val="333333"/>
                <w:sz w:val="18"/>
              </w:rPr>
              <w:t xml:space="preserve">README du profil, du dépôt Portfolio et des projets 10 à 14 réécrits pour que GitHub et le portfolio racontent la même chose</w:t>
            </w:r>
          </w:p>
        </w:tc>
      </w:tr>
      <w:tr>
        <w:trPr>
          <w:cantSplit/>
        </w:trPr>
        <w:tc>
          <w:tcPr>
            <w:tcW w:type="dxa" w:w="2200"/>
          </w:tcPr>
          <w:p>
            <w:pPr>
              <w:spacing w:after="0"/>
            </w:pPr>
            <w:r>
              <w:rPr>
                <w:rFonts w:ascii="Calibri" w:hAnsi="Calibri"/>
                <w:color w:val="333333"/>
                <w:sz w:val="18"/>
              </w:rPr>
              <w:t xml:space="preserve">Vérifications</w:t>
            </w:r>
          </w:p>
        </w:tc>
        <w:tc>
          <w:tcPr>
            <w:tcW w:type="dxa" w:w="7098"/>
          </w:tcPr>
          <w:p>
            <w:pPr>
              <w:spacing w:after="0"/>
            </w:pPr>
            <w:r>
              <w:rPr>
                <w:rFonts w:ascii="Calibri" w:hAnsi="Calibri"/>
                <w:color w:val="333333"/>
                <w:sz w:val="18"/>
              </w:rPr>
              <w:t xml:space="preserve">401 références locales vérifiées, aucune manquante ; contrastes AA sans défaut sur 28 pages et thèmes (4 220 textes) ; balises équilibrées ; aucun cadratin ni compteur périmé</w:t>
            </w:r>
          </w:p>
        </w:tc>
      </w:tr>
    </w:tbl>
    <w:p>
      <w:pPr>
        <w:spacing w:after="120"/>
      </w:pPr>
    </w:p>
    <w:p>
      <w:pPr>
        <w:spacing w:before="60" w:after="160"/>
      </w:pPr>
      <w:r>
        <w:rPr>
          <w:rFonts w:ascii="Calibri" w:hAnsi="Calibri"/>
          <w:b/>
          <w:i w:val="0"/>
          <w:color w:val="1F2937"/>
          <w:sz w:val="20"/>
        </w:rPr>
        <w:t xml:space="preserve">Verdict de la mise à jour.</w:t>
      </w:r>
      <w:r>
        <w:rPr>
          <w:rFonts w:ascii="Calibri" w:hAnsi="Calibri"/>
          <w:b w:val="0"/>
          <w:i w:val="0"/>
          <w:color w:val="333333"/>
          <w:sz w:val="20"/>
        </w:rPr>
        <w:t xml:space="preserve"> La version du 17 septembre 2026 est conforme et présentable ; elle décrit l'état réel du parcours au jour de la relecture. Le prochain point de relecture est la fin de la mission en entreprise, vers décembre 2026.</w:t>
      </w:r>
    </w:p>
    <w:p>
      <w:pPr>
        <w:pStyle w:val="Heading1"/>
      </w:pPr>
      <w:bookmarkStart w:id="7030" w:name="_TocP130030"/>
      <w:r>
        <w:t xml:space="preserve">11. Quatrième passage, 17 septembre 2026 : audit des attendus de l'énoncé mis à jour</w:t>
      </w:r>
      <w:bookmarkEnd w:id="7030"/>
    </w:p>
    <w:p>
      <w:r>
        <w:rPr>
          <w:rFonts w:ascii="Calibri" w:hAnsi="Calibri"/>
          <w:b w:val="0"/>
          <w:i w:val="0"/>
          <w:color w:val="333333"/>
          <w:sz w:val="21"/>
        </w:rPr>
        <w:t xml:space="preserve">Le dossier a été confronté point par point à la grille de seize indicateurs de l'énoncé en vigueur, à ses huit objectifs pédagogiques, aux attendus concrets des quatre étapes de la partie 1 et à la consigne de dépôt. Ce passage n'a relevé aucun écart de fond ni de chiffre ; il a relevé onze écarts de forme, entre ce que le dossier prouve et l'exemple de preuve attendu par la grille. Ils sont numérotés à la suite des vingt-neuf précédents et ont tous été traités le jour même.</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700"/>
        <w:gridCol w:w="3800"/>
        <w:gridCol w:w="4798"/>
      </w:tblGrid>
      <w:tr>
        <w:trPr>
          <w:cantSplit/>
          <w:tblHeader w:val="true"/>
        </w:trPr>
        <w:tc>
          <w:tcPr>
            <w:tcW w:type="dxa" w:w="700"/>
            <w:shd w:val="clear" w:color="auto" w:fill="1F2937"/>
          </w:tcPr>
          <w:p>
            <w:pPr>
              <w:spacing w:after="0"/>
            </w:pPr>
            <w:r>
              <w:rPr>
                <w:rFonts w:ascii="Calibri" w:hAnsi="Calibri"/>
                <w:b/>
                <w:color w:val="FFFFFF"/>
                <w:sz w:val="18"/>
              </w:rPr>
              <w:t xml:space="preserve">Réf.</w:t>
            </w:r>
          </w:p>
        </w:tc>
        <w:tc>
          <w:tcPr>
            <w:tcW w:type="dxa" w:w="3800"/>
            <w:shd w:val="clear" w:color="auto" w:fill="1F2937"/>
          </w:tcPr>
          <w:p>
            <w:pPr>
              <w:spacing w:after="0"/>
            </w:pPr>
            <w:r>
              <w:rPr>
                <w:rFonts w:ascii="Calibri" w:hAnsi="Calibri"/>
                <w:b/>
                <w:color w:val="FFFFFF"/>
                <w:sz w:val="18"/>
              </w:rPr>
              <w:t xml:space="preserve">Écart relevé</w:t>
            </w:r>
          </w:p>
        </w:tc>
        <w:tc>
          <w:tcPr>
            <w:tcW w:type="dxa" w:w="4798"/>
            <w:shd w:val="clear" w:color="auto" w:fill="1F2937"/>
          </w:tcPr>
          <w:p>
            <w:pPr>
              <w:spacing w:after="0"/>
            </w:pPr>
            <w:r>
              <w:rPr>
                <w:rFonts w:ascii="Calibri" w:hAnsi="Calibri"/>
                <w:b/>
                <w:color w:val="FFFFFF"/>
                <w:sz w:val="18"/>
              </w:rPr>
              <w:t xml:space="preserve">Correction</w:t>
            </w:r>
          </w:p>
        </w:tc>
      </w:tr>
      <w:tr>
        <w:trPr>
          <w:cantSplit/>
        </w:trPr>
        <w:tc>
          <w:tcPr>
            <w:tcW w:type="dxa" w:w="700"/>
          </w:tcPr>
          <w:p>
            <w:pPr>
              <w:spacing w:after="0"/>
            </w:pPr>
            <w:r>
              <w:rPr>
                <w:rFonts w:ascii="Calibri" w:hAnsi="Calibri"/>
                <w:color w:val="333333"/>
                <w:sz w:val="18"/>
              </w:rPr>
              <w:t xml:space="preserve">30</w:t>
            </w:r>
          </w:p>
        </w:tc>
        <w:tc>
          <w:tcPr>
            <w:tcW w:type="dxa" w:w="3800"/>
          </w:tcPr>
          <w:p>
            <w:pPr>
              <w:spacing w:after="0"/>
            </w:pPr>
            <w:r>
              <w:rPr>
                <w:rFonts w:ascii="Calibri" w:hAnsi="Calibri"/>
                <w:color w:val="333333"/>
                <w:sz w:val="18"/>
              </w:rPr>
              <w:t xml:space="preserve">Documentation livrée en sept fichiers Word ; noms de dépôt hors convention</w:t>
            </w:r>
          </w:p>
        </w:tc>
        <w:tc>
          <w:tcPr>
            <w:tcW w:type="dxa" w:w="4798"/>
          </w:tcPr>
          <w:p>
            <w:pPr>
              <w:spacing w:after="0"/>
            </w:pPr>
            <w:r>
              <w:rPr>
                <w:rFonts w:ascii="Calibri" w:hAnsi="Calibri"/>
                <w:color w:val="333333"/>
                <w:sz w:val="18"/>
              </w:rPr>
              <w:t xml:space="preserve">PDF unique avec sommaires actualisés et signets. Pagination : 69 pages à ce passage, 70 le 18 septembre, 73 le 24 septembre, 76 le 25 septembre au matin, 82 après le second passage du 25 septembre et 83 dans le dépôt actuel, depuis la mise à jour du 28 septembre. Dossier de dépôt aux noms de la convention, mois de démarrage 092026</w:t>
            </w:r>
          </w:p>
        </w:tc>
      </w:tr>
      <w:tr>
        <w:trPr>
          <w:cantSplit/>
        </w:trPr>
        <w:tc>
          <w:tcPr>
            <w:tcW w:type="dxa" w:w="700"/>
          </w:tcPr>
          <w:p>
            <w:pPr>
              <w:spacing w:after="0"/>
            </w:pPr>
            <w:r>
              <w:rPr>
                <w:rFonts w:ascii="Calibri" w:hAnsi="Calibri"/>
                <w:color w:val="333333"/>
                <w:sz w:val="18"/>
              </w:rPr>
              <w:t xml:space="preserve">31</w:t>
            </w:r>
          </w:p>
        </w:tc>
        <w:tc>
          <w:tcPr>
            <w:tcW w:type="dxa" w:w="3800"/>
          </w:tcPr>
          <w:p>
            <w:pPr>
              <w:spacing w:after="0"/>
            </w:pPr>
            <w:r>
              <w:rPr>
                <w:rFonts w:ascii="Calibri" w:hAnsi="Calibri"/>
                <w:color w:val="333333"/>
                <w:sz w:val="18"/>
              </w:rPr>
              <w:t xml:space="preserve">Fiches projet du portfolio sans données ni limites, alors que le support annonce une narration en cinq temps</w:t>
            </w:r>
          </w:p>
        </w:tc>
        <w:tc>
          <w:tcPr>
            <w:tcW w:type="dxa" w:w="4798"/>
          </w:tcPr>
          <w:p>
            <w:pPr>
              <w:spacing w:after="0"/>
            </w:pPr>
            <w:r>
              <w:rPr>
                <w:rFonts w:ascii="Calibri" w:hAnsi="Calibri"/>
                <w:color w:val="333333"/>
                <w:sz w:val="18"/>
              </w:rPr>
              <w:t xml:space="preserve">Rubriques « Données » et « Limites et pistes » ajoutées aux quatorze fiches des quatre versions</w:t>
            </w:r>
          </w:p>
        </w:tc>
      </w:tr>
      <w:tr>
        <w:trPr>
          <w:cantSplit/>
        </w:trPr>
        <w:tc>
          <w:tcPr>
            <w:tcW w:type="dxa" w:w="700"/>
          </w:tcPr>
          <w:p>
            <w:pPr>
              <w:spacing w:after="0"/>
            </w:pPr>
            <w:r>
              <w:rPr>
                <w:rFonts w:ascii="Calibri" w:hAnsi="Calibri"/>
                <w:color w:val="333333"/>
                <w:sz w:val="18"/>
              </w:rPr>
              <w:t xml:space="preserve">32</w:t>
            </w:r>
          </w:p>
        </w:tc>
        <w:tc>
          <w:tcPr>
            <w:tcW w:type="dxa" w:w="3800"/>
          </w:tcPr>
          <w:p>
            <w:pPr>
              <w:spacing w:after="0"/>
            </w:pPr>
            <w:r>
              <w:rPr>
                <w:rFonts w:ascii="Calibri" w:hAnsi="Calibri"/>
                <w:color w:val="333333"/>
                <w:sz w:val="18"/>
              </w:rPr>
              <w:t xml:space="preserve">Grille renseignée à douze indicateurs, seize dans l'énoncé</w:t>
            </w:r>
          </w:p>
        </w:tc>
        <w:tc>
          <w:tcPr>
            <w:tcW w:type="dxa" w:w="4798"/>
          </w:tcPr>
          <w:p>
            <w:pPr>
              <w:spacing w:after="0"/>
            </w:pPr>
            <w:r>
              <w:rPr>
                <w:rFonts w:ascii="Calibri" w:hAnsi="Calibri"/>
                <w:color w:val="333333"/>
                <w:sz w:val="18"/>
              </w:rPr>
              <w:t xml:space="preserve">Bloc cahier des charges ajouté (synthèse 6.3, audit 3.3), support et scripts alignés</w:t>
            </w:r>
          </w:p>
        </w:tc>
      </w:tr>
      <w:tr>
        <w:trPr>
          <w:cantSplit/>
        </w:trPr>
        <w:tc>
          <w:tcPr>
            <w:tcW w:type="dxa" w:w="700"/>
          </w:tcPr>
          <w:p>
            <w:pPr>
              <w:spacing w:after="0"/>
            </w:pPr>
            <w:r>
              <w:rPr>
                <w:rFonts w:ascii="Calibri" w:hAnsi="Calibri"/>
                <w:color w:val="333333"/>
                <w:sz w:val="18"/>
              </w:rPr>
              <w:t xml:space="preserve">33</w:t>
            </w:r>
          </w:p>
        </w:tc>
        <w:tc>
          <w:tcPr>
            <w:tcW w:type="dxa" w:w="3800"/>
          </w:tcPr>
          <w:p>
            <w:pPr>
              <w:spacing w:after="0"/>
            </w:pPr>
            <w:r>
              <w:rPr>
                <w:rFonts w:ascii="Calibri" w:hAnsi="Calibri"/>
                <w:color w:val="333333"/>
                <w:sz w:val="18"/>
              </w:rPr>
              <w:t xml:space="preserve">Journal des essais sans demandes intégrales, sans outil ni date par essai</w:t>
            </w:r>
          </w:p>
        </w:tc>
        <w:tc>
          <w:tcPr>
            <w:tcW w:type="dxa" w:w="4798"/>
          </w:tcPr>
          <w:p>
            <w:pPr>
              <w:spacing w:after="0"/>
            </w:pPr>
            <w:r>
              <w:rPr>
                <w:rFonts w:ascii="Calibri" w:hAnsi="Calibri"/>
                <w:color w:val="333333"/>
                <w:sz w:val="18"/>
              </w:rPr>
              <w:t xml:space="preserve">Annexe A de la démarche et dossier journal_essais_IA : outil, dates, demandes (reconstituées et signalées), extraits, modifications manuelles</w:t>
            </w:r>
          </w:p>
        </w:tc>
      </w:tr>
      <w:tr>
        <w:trPr>
          <w:cantSplit/>
        </w:trPr>
        <w:tc>
          <w:tcPr>
            <w:tcW w:type="dxa" w:w="700"/>
          </w:tcPr>
          <w:p>
            <w:pPr>
              <w:spacing w:after="0"/>
            </w:pPr>
            <w:r>
              <w:rPr>
                <w:rFonts w:ascii="Calibri" w:hAnsi="Calibri"/>
                <w:color w:val="333333"/>
                <w:sz w:val="18"/>
              </w:rPr>
              <w:t xml:space="preserve">34</w:t>
            </w:r>
          </w:p>
        </w:tc>
        <w:tc>
          <w:tcPr>
            <w:tcW w:type="dxa" w:w="3800"/>
          </w:tcPr>
          <w:p>
            <w:pPr>
              <w:spacing w:after="0"/>
            </w:pPr>
            <w:r>
              <w:rPr>
                <w:rFonts w:ascii="Calibri" w:hAnsi="Calibri"/>
                <w:color w:val="333333"/>
                <w:sz w:val="18"/>
              </w:rPr>
              <w:t xml:space="preserve">Sources de veille désignées sans adresse dans le document</w:t>
            </w:r>
          </w:p>
        </w:tc>
        <w:tc>
          <w:tcPr>
            <w:tcW w:type="dxa" w:w="4798"/>
          </w:tcPr>
          <w:p>
            <w:pPr>
              <w:spacing w:after="0"/>
            </w:pPr>
            <w:r>
              <w:rPr>
                <w:rFonts w:ascii="Calibri" w:hAnsi="Calibri"/>
                <w:color w:val="333333"/>
                <w:sz w:val="18"/>
              </w:rPr>
              <w:t xml:space="preserve">Douze sources nommées, avec leur adresse (seize depuis le 25 septembre) ; sources cliquables dans les quatre versions du portfolio</w:t>
            </w:r>
          </w:p>
        </w:tc>
      </w:tr>
      <w:tr>
        <w:trPr>
          <w:cantSplit/>
        </w:trPr>
        <w:tc>
          <w:tcPr>
            <w:tcW w:type="dxa" w:w="700"/>
          </w:tcPr>
          <w:p>
            <w:pPr>
              <w:spacing w:after="0"/>
            </w:pPr>
            <w:r>
              <w:rPr>
                <w:rFonts w:ascii="Calibri" w:hAnsi="Calibri"/>
                <w:color w:val="333333"/>
                <w:sz w:val="18"/>
              </w:rPr>
              <w:t xml:space="preserve">35</w:t>
            </w:r>
          </w:p>
        </w:tc>
        <w:tc>
          <w:tcPr>
            <w:tcW w:type="dxa" w:w="3800"/>
          </w:tcPr>
          <w:p>
            <w:pPr>
              <w:spacing w:after="0"/>
            </w:pPr>
            <w:r>
              <w:rPr>
                <w:rFonts w:ascii="Calibri" w:hAnsi="Calibri"/>
                <w:color w:val="333333"/>
                <w:sz w:val="18"/>
              </w:rPr>
              <w:t xml:space="preserve">Automatisation de la veille décrite mais non prouvée</w:t>
            </w:r>
          </w:p>
        </w:tc>
        <w:tc>
          <w:tcPr>
            <w:tcW w:type="dxa" w:w="4798"/>
          </w:tcPr>
          <w:p>
            <w:pPr>
              <w:spacing w:after="0"/>
            </w:pPr>
            <w:r>
              <w:rPr>
                <w:rFonts w:ascii="Calibri" w:hAnsi="Calibri"/>
                <w:color w:val="333333"/>
                <w:sz w:val="18"/>
              </w:rPr>
              <w:t xml:space="preserve">Dispositif installé (Feedly, GitHub, Google Scholar) et capturé : annexe A de la veille, page veille des portfolios</w:t>
            </w:r>
          </w:p>
        </w:tc>
      </w:tr>
      <w:tr>
        <w:trPr>
          <w:cantSplit/>
        </w:trPr>
        <w:tc>
          <w:tcPr>
            <w:tcW w:type="dxa" w:w="700"/>
          </w:tcPr>
          <w:p>
            <w:pPr>
              <w:spacing w:after="0"/>
            </w:pPr>
            <w:r>
              <w:rPr>
                <w:rFonts w:ascii="Calibri" w:hAnsi="Calibri"/>
                <w:color w:val="333333"/>
                <w:sz w:val="18"/>
              </w:rPr>
              <w:t xml:space="preserve">36</w:t>
            </w:r>
          </w:p>
        </w:tc>
        <w:tc>
          <w:tcPr>
            <w:tcW w:type="dxa" w:w="3800"/>
          </w:tcPr>
          <w:p>
            <w:pPr>
              <w:spacing w:after="0"/>
            </w:pPr>
            <w:r>
              <w:rPr>
                <w:rFonts w:ascii="Calibri" w:hAnsi="Calibri"/>
                <w:color w:val="333333"/>
                <w:sz w:val="18"/>
              </w:rPr>
              <w:t xml:space="preserve">Outil de suivi non nommé, pas de capture du tableau, jalons sans date</w:t>
            </w:r>
          </w:p>
        </w:tc>
        <w:tc>
          <w:tcPr>
            <w:tcW w:type="dxa" w:w="4798"/>
          </w:tcPr>
          <w:p>
            <w:pPr>
              <w:spacing w:after="0"/>
            </w:pPr>
            <w:r>
              <w:rPr>
                <w:rFonts w:ascii="Calibri" w:hAnsi="Calibri"/>
                <w:color w:val="333333"/>
                <w:sz w:val="18"/>
              </w:rPr>
              <w:t xml:space="preserve">Kanban dans Notion et GitHub Projects capturés en section 3 de la gestion de projet, frise datée, dates réelles des séances et de la soutenance</w:t>
            </w:r>
          </w:p>
        </w:tc>
      </w:tr>
      <w:tr>
        <w:trPr>
          <w:cantSplit/>
        </w:trPr>
        <w:tc>
          <w:tcPr>
            <w:tcW w:type="dxa" w:w="700"/>
          </w:tcPr>
          <w:p>
            <w:pPr>
              <w:spacing w:after="0"/>
            </w:pPr>
            <w:r>
              <w:rPr>
                <w:rFonts w:ascii="Calibri" w:hAnsi="Calibri"/>
                <w:color w:val="333333"/>
                <w:sz w:val="18"/>
              </w:rPr>
              <w:t xml:space="preserve">37</w:t>
            </w:r>
          </w:p>
        </w:tc>
        <w:tc>
          <w:tcPr>
            <w:tcW w:type="dxa" w:w="3800"/>
          </w:tcPr>
          <w:p>
            <w:pPr>
              <w:spacing w:after="0"/>
            </w:pPr>
            <w:r>
              <w:rPr>
                <w:rFonts w:ascii="Calibri" w:hAnsi="Calibri"/>
                <w:color w:val="333333"/>
                <w:sz w:val="18"/>
              </w:rPr>
              <w:t xml:space="preserve">Options écartées sans cellule d'exécution ; pas de fichier de dépendances</w:t>
            </w:r>
          </w:p>
        </w:tc>
        <w:tc>
          <w:tcPr>
            <w:tcW w:type="dxa" w:w="4798"/>
          </w:tcPr>
          <w:p>
            <w:pPr>
              <w:spacing w:after="0"/>
            </w:pPr>
            <w:r>
              <w:rPr>
                <w:rFonts w:ascii="Calibri" w:hAnsi="Calibri"/>
                <w:color w:val="333333"/>
                <w:sz w:val="18"/>
              </w:rPr>
              <w:t xml:space="preserve">Notebook complémentaire exécuté (Local Outlier Factor, importances globales) ; requirements.txt et README dans le dépôt</w:t>
            </w:r>
          </w:p>
        </w:tc>
      </w:tr>
      <w:tr>
        <w:trPr>
          <w:cantSplit/>
        </w:trPr>
        <w:tc>
          <w:tcPr>
            <w:tcW w:type="dxa" w:w="700"/>
          </w:tcPr>
          <w:p>
            <w:pPr>
              <w:spacing w:after="0"/>
            </w:pPr>
            <w:r>
              <w:rPr>
                <w:rFonts w:ascii="Calibri" w:hAnsi="Calibri"/>
                <w:color w:val="333333"/>
                <w:sz w:val="18"/>
              </w:rPr>
              <w:t xml:space="preserve">38</w:t>
            </w:r>
          </w:p>
        </w:tc>
        <w:tc>
          <w:tcPr>
            <w:tcW w:type="dxa" w:w="3800"/>
          </w:tcPr>
          <w:p>
            <w:pPr>
              <w:spacing w:after="0"/>
            </w:pPr>
            <w:r>
              <w:rPr>
                <w:rFonts w:ascii="Calibri" w:hAnsi="Calibri"/>
                <w:color w:val="333333"/>
                <w:sz w:val="18"/>
              </w:rPr>
              <w:t xml:space="preserve">Défauts bureautiques : numérotation, sommaires, structure de fichier, copies mal nommées</w:t>
            </w:r>
          </w:p>
        </w:tc>
        <w:tc>
          <w:tcPr>
            <w:tcW w:type="dxa" w:w="4798"/>
          </w:tcPr>
          <w:p>
            <w:pPr>
              <w:spacing w:after="0"/>
            </w:pPr>
            <w:r>
              <w:rPr>
                <w:rFonts w:ascii="Calibri" w:hAnsi="Calibri"/>
                <w:color w:val="333333"/>
                <w:sz w:val="18"/>
              </w:rPr>
              <w:t xml:space="preserve">Corrigés ; sommaires actualisés dans le PDF ; copies embarquées en 092026</w:t>
            </w:r>
          </w:p>
        </w:tc>
      </w:tr>
      <w:tr>
        <w:trPr>
          <w:cantSplit/>
        </w:trPr>
        <w:tc>
          <w:tcPr>
            <w:tcW w:type="dxa" w:w="700"/>
          </w:tcPr>
          <w:p>
            <w:pPr>
              <w:spacing w:after="0"/>
            </w:pPr>
            <w:r>
              <w:rPr>
                <w:rFonts w:ascii="Calibri" w:hAnsi="Calibri"/>
                <w:color w:val="333333"/>
                <w:sz w:val="18"/>
              </w:rPr>
              <w:t xml:space="preserve">39</w:t>
            </w:r>
          </w:p>
        </w:tc>
        <w:tc>
          <w:tcPr>
            <w:tcW w:type="dxa" w:w="3800"/>
          </w:tcPr>
          <w:p>
            <w:pPr>
              <w:spacing w:after="0"/>
            </w:pPr>
            <w:r>
              <w:rPr>
                <w:rFonts w:ascii="Calibri" w:hAnsi="Calibri"/>
                <w:color w:val="333333"/>
                <w:sz w:val="18"/>
              </w:rPr>
              <w:t xml:space="preserve">Cahier des charges sans page de synthèse ni liste dédiée de critères d'acceptation</w:t>
            </w:r>
          </w:p>
        </w:tc>
        <w:tc>
          <w:tcPr>
            <w:tcW w:type="dxa" w:w="4798"/>
          </w:tcPr>
          <w:p>
            <w:pPr>
              <w:spacing w:after="0"/>
            </w:pPr>
            <w:r>
              <w:rPr>
                <w:rFonts w:ascii="Calibri" w:hAnsi="Calibri"/>
                <w:color w:val="333333"/>
                <w:sz w:val="18"/>
              </w:rPr>
              <w:t xml:space="preserve">Cadrage en une page et tableau des fonctionnalités avec critères d'acceptation (version 2.3)</w:t>
            </w:r>
          </w:p>
        </w:tc>
      </w:tr>
      <w:tr>
        <w:trPr>
          <w:cantSplit/>
        </w:trPr>
        <w:tc>
          <w:tcPr>
            <w:tcW w:type="dxa" w:w="700"/>
          </w:tcPr>
          <w:p>
            <w:pPr>
              <w:spacing w:after="0"/>
            </w:pPr>
            <w:r>
              <w:rPr>
                <w:rFonts w:ascii="Calibri" w:hAnsi="Calibri"/>
                <w:color w:val="333333"/>
                <w:sz w:val="18"/>
              </w:rPr>
              <w:t xml:space="preserve">40</w:t>
            </w:r>
          </w:p>
        </w:tc>
        <w:tc>
          <w:tcPr>
            <w:tcW w:type="dxa" w:w="3800"/>
          </w:tcPr>
          <w:p>
            <w:pPr>
              <w:spacing w:after="0"/>
            </w:pPr>
            <w:r>
              <w:rPr>
                <w:rFonts w:ascii="Calibri" w:hAnsi="Calibri"/>
                <w:color w:val="333333"/>
                <w:sz w:val="18"/>
              </w:rPr>
              <w:t xml:space="preserve">Version 1 du portfolio sans tableau de sources</w:t>
            </w:r>
          </w:p>
        </w:tc>
        <w:tc>
          <w:tcPr>
            <w:tcW w:type="dxa" w:w="4798"/>
          </w:tcPr>
          <w:p>
            <w:pPr>
              <w:spacing w:after="0"/>
            </w:pPr>
            <w:r>
              <w:rPr>
                <w:rFonts w:ascii="Calibri" w:hAnsi="Calibri"/>
                <w:color w:val="333333"/>
                <w:sz w:val="18"/>
              </w:rPr>
              <w:t xml:space="preserve">Encart des huit sources principales, avec liens, sur la page mission</w:t>
            </w:r>
          </w:p>
        </w:tc>
      </w:tr>
    </w:tbl>
    <w:p>
      <w:pPr>
        <w:spacing w:after="120"/>
      </w:pPr>
    </w:p>
    <w:p>
      <w:r>
        <w:rPr>
          <w:rFonts w:ascii="Calibri" w:hAnsi="Calibri"/>
          <w:b/>
          <w:i w:val="0"/>
          <w:color w:val="1F2937"/>
          <w:sz w:val="21"/>
        </w:rPr>
        <w:t xml:space="preserve">Vérifications rejouées à la clôture du passage.</w:t>
      </w:r>
      <w:r>
        <w:rPr>
          <w:rFonts w:ascii="Calibri" w:hAnsi="Calibri"/>
          <w:b w:val="0"/>
          <w:i w:val="0"/>
          <w:color w:val="333333"/>
          <w:sz w:val="21"/>
        </w:rPr>
        <w:t xml:space="preserve"> Vingt-sept fichiers Word validés, aux dates, versions et pagination cohérentes ; 565 liens internes et ancres des quatre portfolios vérifiés, aucun manquant ; 28 pages et thèmes sans défaut de contraste ; copies embarquées et dossier de dépôt identiques aux originaux (sommes de contrôle) ; dix dépôts GitHub poussés.</w:t>
      </w:r>
    </w:p>
    <w:p>
      <w:r>
        <w:rPr>
          <w:rFonts w:ascii="Calibri" w:hAnsi="Calibri"/>
          <w:b/>
          <w:i w:val="0"/>
          <w:color w:val="1F2937"/>
          <w:sz w:val="21"/>
        </w:rPr>
        <w:t xml:space="preserve">Verdict du quatrième passage.</w:t>
      </w:r>
      <w:r>
        <w:rPr>
          <w:rFonts w:ascii="Calibri" w:hAnsi="Calibri"/>
          <w:b w:val="0"/>
          <w:i w:val="0"/>
          <w:color w:val="333333"/>
          <w:sz w:val="21"/>
        </w:rPr>
        <w:t xml:space="preserve"> Le dossier répond aux seize indicateurs et aux huit objectifs pédagogiques avec, pour chacun, une preuve de la nature attendue par la grille. Le bilan passe à quarante écarts en quatre passages, tous corrigés : vingt-neuf sur le fond et les chiffres, onze sur la forme. Règle confirmée : confronter le dossier au texte de l'énoncé, en plus de ma liste de contrôle.</w:t>
      </w:r>
    </w:p>
    <w:sectPr w:rsidR="00FC693F" w:rsidRPr="0006063C" w:rsidSect="00034616">
      <w:footerReference w:type="default" r:id="rId9"/>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E2E8F0"/>
      </w:pBdr>
      <w:tabs>
        <w:tab w:pos="9298" w:val="right"/>
      </w:tabs>
    </w:pPr>
    <w:r/>
    <w:r>
      <w:rPr>
        <w:rFonts w:ascii="Calibri" w:hAnsi="Calibri"/>
        <w:color w:val="64748B"/>
        <w:sz w:val="15"/>
      </w:rPr>
      <w:t>BottleNeck, audit de conformité</w:t>
    </w:r>
    <w:r>
      <w:rPr>
        <w:sz w:val="15"/>
      </w:rPr>
      <w:tab/>
    </w:r>
    <w:r>
      <w:rPr>
        <w:rFonts w:ascii="Calibri" w:hAnsi="Calibri"/>
        <w:color w:val="64748B"/>
        <w:sz w:val="15"/>
      </w:rPr>
      <w:t xml:space="preserve">Page </w:t>
    </w:r>
    <w:r>
      <w:rPr>
        <w:rFonts w:ascii="Calibri" w:hAnsi="Calibri"/>
        <w:color w:val="64748B"/>
        <w:sz w:val="15"/>
      </w:rPr>
      <w:fldChar w:fldCharType="begin"/>
      <w:instrText xml:space="preserve"> PAGE </w:instrText>
      <w:fldChar w:fldCharType="separate"/>
      <w:fldChar w:fldCharType="end"/>
    </w:r>
    <w:r>
      <w:rPr>
        <w:rFonts w:ascii="Calibri" w:hAnsi="Calibri"/>
        <w:color w:val="64748B"/>
        <w:sz w:val="15"/>
      </w:rPr>
      <w:t xml:space="preserve"> sur </w:t>
    </w:r>
    <w:r>
      <w:rPr>
        <w:rFonts w:ascii="Calibri" w:hAnsi="Calibri"/>
        <w:color w:val="64748B"/>
        <w:sz w:val="15"/>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eastAsia="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Calibri" w:hAnsi="Calibri"/>
      <w:b/>
      <w:bCs/>
      <w:caps w:val="0"/>
      <w:color w:val="1F3A5F"/>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aps w:val="0"/>
      <w:color w:val="3D5A8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aps w:val="0"/>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aps w:val="0"/>
      <w:color w:val="1F2937"/>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olor w:val="3333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olor w:val="3333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6447</Words>
  <Characters>34030</Characters>
  <Application>Microsoft Office Word</Application>
  <DocSecurity>0</DocSecurity>
  <Lines>510</Lines>
  <Paragraphs>510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Lippens</dc:creator>
  <cp:keywords/>
  <dc:description/>
  <cp:lastModifiedBy>Charles Lippens</cp:lastModifiedBy>
  <cp:revision>1</cp:revision>
  <dcterms:created xsi:type="dcterms:W3CDTF">2026-10-10T10:00:00Z</dcterms:created>
  <dcterms:modified xsi:type="dcterms:W3CDTF">2026-10-13T21:55:00Z</dcterms:modified>
</cp:coreProperties>
</file>